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3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73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(Amendment No. )</w:t>
      </w:r>
    </w:p>
    <w:p>
      <w:pPr>
        <w:spacing w:after="0" w:line="256"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GRAND CANYON ED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38526M106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73660</wp:posOffset>
            </wp:positionV>
            <wp:extent cx="430911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September 30,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Arial" w:cs="Arial" w:eastAsia="Arial" w:hAnsi="Arial"/>
          <w:sz w:val="21"/>
          <w:szCs w:val="21"/>
          <w:color w:val="auto"/>
        </w:rPr>
        <w:t>(Date of Event Which Requires Filing of this Statement)</w:t>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95"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ectPr>
          <w:pgSz w:w="11900" w:h="16838" w:orient="portrait"/>
          <w:cols w:equalWidth="0" w:num="1">
            <w:col w:w="10219"/>
          </w:cols>
          <w:pgMar w:left="240" w:top="1440" w:right="1440" w:bottom="142" w:gutter="0" w:footer="0" w:header="0"/>
        </w:sectPr>
      </w:pPr>
    </w:p>
    <w:p>
      <w:pPr>
        <w:spacing w:after="0" w:line="98" w:lineRule="exact"/>
        <w:rPr>
          <w:sz w:val="24"/>
          <w:szCs w:val="24"/>
          <w:color w:val="auto"/>
        </w:r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132" w:lineRule="exact"/>
        <w:rPr>
          <w:sz w:val="24"/>
          <w:szCs w:val="24"/>
          <w:color w:val="auto"/>
        </w:rPr>
      </w:pPr>
    </w:p>
    <w:p>
      <w:pPr>
        <w:sectPr>
          <w:pgSz w:w="11900" w:h="16838" w:orient="portrait"/>
          <w:cols w:equalWidth="0" w:num="2">
            <w:col w:w="200" w:space="420"/>
            <w:col w:w="9599"/>
          </w:cols>
          <w:pgMar w:left="240" w:top="1440" w:right="1440" w:bottom="142" w:gutter="0" w:footer="0" w:header="0"/>
          <w:type w:val="continuous"/>
        </w:sect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Rule 13d-1(d)</w:t>
      </w:r>
    </w:p>
    <w:p>
      <w:pPr>
        <w:spacing w:after="0" w:line="92" w:lineRule="exact"/>
        <w:rPr>
          <w:sz w:val="24"/>
          <w:szCs w:val="24"/>
          <w:color w:val="auto"/>
        </w:rPr>
      </w:pPr>
    </w:p>
    <w:p>
      <w:pPr>
        <w:sectPr>
          <w:pgSz w:w="11900" w:h="16838" w:orient="portrait"/>
          <w:cols w:equalWidth="0" w:num="2">
            <w:col w:w="200" w:space="420"/>
            <w:col w:w="9599"/>
          </w:cols>
          <w:pgMar w:left="240" w:top="1440" w:right="1440" w:bottom="142" w:gutter="0" w:footer="0" w:header="0"/>
          <w:type w:val="continuous"/>
        </w:sectPr>
      </w:pPr>
    </w:p>
    <w:p>
      <w:pPr>
        <w:jc w:val="both"/>
        <w:ind w:left="20" w:right="125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125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8"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38526M106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6940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4"/>
          <w:szCs w:val="24"/>
          <w:color w:val="auto"/>
        </w:rPr>
      </w:pPr>
    </w:p>
    <w:p>
      <w:pPr>
        <w:ind w:left="700" w:right="6699" w:hanging="435"/>
        <w:spacing w:after="0" w:line="326"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(a) Names of Reporting Persons. Wells Fargo &amp; Company</w:t>
      </w:r>
    </w:p>
    <w:p>
      <w:pPr>
        <w:spacing w:after="0" w:line="1" w:lineRule="exact"/>
        <w:rPr>
          <w:sz w:val="24"/>
          <w:szCs w:val="24"/>
          <w:color w:val="auto"/>
        </w:rPr>
      </w:pPr>
    </w:p>
    <w:p>
      <w:pPr>
        <w:ind w:left="700" w:right="8479" w:hanging="3"/>
        <w:spacing w:after="0" w:line="328" w:lineRule="auto"/>
        <w:tabs>
          <w:tab w:leader="none" w:pos="1006" w:val="left"/>
        </w:tabs>
        <w:numPr>
          <w:ilvl w:val="1"/>
          <w:numId w:val="3"/>
        </w:numPr>
        <w:rPr>
          <w:rFonts w:ascii="Arial" w:cs="Arial" w:eastAsia="Arial" w:hAnsi="Arial"/>
          <w:sz w:val="19"/>
          <w:szCs w:val="19"/>
          <w:color w:val="auto"/>
        </w:rPr>
      </w:pPr>
      <w:r>
        <w:rPr>
          <w:rFonts w:ascii="Arial" w:cs="Arial" w:eastAsia="Arial" w:hAnsi="Arial"/>
          <w:sz w:val="19"/>
          <w:szCs w:val="19"/>
          <w:color w:val="auto"/>
        </w:rPr>
        <w:t>Tax ID 41-0449260</w:t>
      </w:r>
    </w:p>
    <w:p>
      <w:pPr>
        <w:spacing w:after="0" w:line="348" w:lineRule="exact"/>
        <w:rPr>
          <w:rFonts w:ascii="Arial" w:cs="Arial" w:eastAsia="Arial" w:hAnsi="Arial"/>
          <w:sz w:val="19"/>
          <w:szCs w:val="19"/>
          <w:color w:val="auto"/>
        </w:rPr>
      </w:pPr>
    </w:p>
    <w:p>
      <w:pPr>
        <w:ind w:left="700" w:hanging="435"/>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040" w:hanging="343"/>
        <w:spacing w:after="0"/>
        <w:tabs>
          <w:tab w:leader="none" w:pos="104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60" w:hanging="363"/>
        <w:spacing w:after="0"/>
        <w:tabs>
          <w:tab w:leader="none" w:pos="106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-748665</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1440" w:right="1440" w:bottom="142" w:gutter="0" w:footer="0" w:header="0"/>
          <w:type w:val="continuous"/>
        </w:sectPr>
      </w:pPr>
    </w:p>
    <w:bookmarkStart w:id="1" w:name="page2"/>
    <w:bookmarkEnd w:id="1"/>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32,829</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4,927,299</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32,829</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Dispositive Power 5,107,715</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5,140,544</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11.01 %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GRAND CANYON ED INC</w:t>
      </w:r>
    </w:p>
    <w:p>
      <w:pPr>
        <w:spacing w:after="0" w:line="80" w:lineRule="exact"/>
        <w:rPr>
          <w:rFonts w:ascii="Arial" w:cs="Arial" w:eastAsia="Arial" w:hAnsi="Arial"/>
          <w:sz w:val="22"/>
          <w:szCs w:val="22"/>
          <w:color w:val="auto"/>
        </w:rPr>
      </w:pPr>
    </w:p>
    <w:p>
      <w:pPr>
        <w:jc w:val="both"/>
        <w:ind w:left="700" w:right="5399" w:hanging="374"/>
        <w:spacing w:after="0" w:line="382" w:lineRule="auto"/>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Address of Issuer's Principal Executive Offices 3300 W. Camelback Road, Phoenix, AZ 85017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right="731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Name of Person Filing Wells Fargo &amp; Company</w:t>
      </w:r>
    </w:p>
    <w:p>
      <w:pPr>
        <w:ind w:left="700" w:right="433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420 Montgomery Street, San Francisco, CA 94104</w:t>
      </w:r>
    </w:p>
    <w:p>
      <w:pPr>
        <w:ind w:left="700" w:right="847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Citizenship Delaware</w:t>
      </w:r>
    </w:p>
    <w:p>
      <w:pPr>
        <w:ind w:left="700" w:hanging="374"/>
        <w:spacing w:after="0"/>
        <w:tabs>
          <w:tab w:leader="none" w:pos="7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COM</w:t>
      </w:r>
    </w:p>
    <w:p>
      <w:pPr>
        <w:spacing w:after="0" w:line="80"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CUSIP Number 38526M106</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120" w:right="1399" w:hanging="816"/>
        <w:spacing w:after="0" w:line="251" w:lineRule="auto"/>
        <w:tabs>
          <w:tab w:leader="none" w:pos="782"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60" w:lineRule="exact"/>
        <w:rPr>
          <w:rFonts w:ascii="Arial" w:cs="Arial" w:eastAsia="Arial" w:hAnsi="Arial"/>
          <w:sz w:val="22"/>
          <w:szCs w:val="22"/>
          <w:color w:val="auto"/>
        </w:rPr>
      </w:pPr>
    </w:p>
    <w:p>
      <w:pPr>
        <w:ind w:left="780" w:hanging="440"/>
        <w:spacing w:after="0"/>
        <w:tabs>
          <w:tab w:leader="none" w:pos="7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240.13d-1(b)(1)(ii)(F);</w:t>
      </w:r>
    </w:p>
    <w:p>
      <w:pPr>
        <w:sectPr>
          <w:pgSz w:w="11900" w:h="16838" w:orient="portrait"/>
          <w:cols w:equalWidth="0" w:num="1">
            <w:col w:w="10159"/>
          </w:cols>
          <w:pgMar w:left="300" w:top="118" w:right="1440" w:bottom="0" w:gutter="0" w:footer="0" w:header="0"/>
        </w:sectPr>
      </w:pPr>
    </w:p>
    <w:bookmarkStart w:id="2" w:name="page3"/>
    <w:bookmarkEnd w:id="2"/>
    <w:p>
      <w:pPr>
        <w:ind w:left="780" w:hanging="476"/>
        <w:spacing w:after="0"/>
        <w:tabs>
          <w:tab w:leader="none" w:pos="7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[X A parent holding company or control person in accordance with 240.13d-1(b)(1)(ii)(G);</w:t>
      </w:r>
    </w:p>
    <w:p>
      <w:pPr>
        <w:spacing w:after="0" w:line="42" w:lineRule="exact"/>
        <w:rPr>
          <w:rFonts w:ascii="Arial" w:cs="Arial" w:eastAsia="Arial" w:hAnsi="Arial"/>
          <w:sz w:val="19"/>
          <w:szCs w:val="19"/>
          <w:color w:val="auto"/>
        </w:rPr>
      </w:pPr>
    </w:p>
    <w:p>
      <w:pPr>
        <w:ind w:left="78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80" w:lineRule="exact"/>
        <w:rPr>
          <w:rFonts w:ascii="Arial" w:cs="Arial" w:eastAsia="Arial" w:hAnsi="Arial"/>
          <w:sz w:val="19"/>
          <w:szCs w:val="19"/>
          <w:color w:val="auto"/>
        </w:rPr>
      </w:pPr>
    </w:p>
    <w:p>
      <w:pPr>
        <w:ind w:left="1120" w:right="1559" w:hanging="816"/>
        <w:spacing w:after="0" w:line="251" w:lineRule="auto"/>
        <w:tabs>
          <w:tab w:leader="none" w:pos="78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120" w:right="1819" w:hanging="768"/>
        <w:spacing w:after="0" w:line="239" w:lineRule="auto"/>
        <w:tabs>
          <w:tab w:leader="none" w:pos="78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12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non-U.S.institution in accordance with 240.13d-1(b)(1)(ii)(J);</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Group, in accordance with 240.13d-1(b)(1)(ii)(K).</w:t>
      </w:r>
    </w:p>
    <w:p>
      <w:pPr>
        <w:spacing w:after="0" w:line="260" w:lineRule="exact"/>
        <w:rPr>
          <w:sz w:val="20"/>
          <w:szCs w:val="20"/>
          <w:color w:val="auto"/>
        </w:rPr>
      </w:pPr>
    </w:p>
    <w:p>
      <w:pPr>
        <w:ind w:left="1120" w:right="1339"/>
        <w:spacing w:after="0" w:line="251" w:lineRule="auto"/>
        <w:rPr>
          <w:sz w:val="20"/>
          <w:szCs w:val="20"/>
          <w:color w:val="auto"/>
        </w:rPr>
      </w:pPr>
      <w:r>
        <w:rPr>
          <w:rFonts w:ascii="Arial" w:cs="Arial" w:eastAsia="Arial" w:hAnsi="Arial"/>
          <w:sz w:val="22"/>
          <w:szCs w:val="22"/>
          <w:color w:val="auto"/>
        </w:rPr>
        <w:t>If filing as a non-U.S.institution in accordance with 240.13d-1(b)(1)(ii)(J), please specify the type of institution: ______________</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Amount beneficially owned: 5,140,544</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11.01%</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vote or to direct the vote 32,829</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vote or to direct the vote 4,927,299</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32,829</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5,107,715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365760</wp:posOffset>
            </wp:positionV>
            <wp:extent cx="562991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45720</wp:posOffset>
            </wp:positionV>
            <wp:extent cx="56940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0"/>
          <w:szCs w:val="20"/>
          <w:color w:val="auto"/>
        </w:rPr>
      </w:pPr>
    </w:p>
    <w:p>
      <w:pPr>
        <w:ind w:left="640" w:hanging="435"/>
        <w:spacing w:after="0"/>
        <w:tabs>
          <w:tab w:leader="none" w:pos="6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 Names of Reporting Persons.</w:t>
      </w:r>
    </w:p>
    <w:p>
      <w:pPr>
        <w:spacing w:after="0" w:line="8"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22"/>
          <w:szCs w:val="22"/>
          <w:color w:val="auto"/>
        </w:rPr>
        <w:t>Wells Capital Management Incorporated</w:t>
      </w:r>
    </w:p>
    <w:p>
      <w:pPr>
        <w:spacing w:after="0" w:line="80" w:lineRule="exact"/>
        <w:rPr>
          <w:sz w:val="20"/>
          <w:szCs w:val="20"/>
          <w:color w:val="auto"/>
        </w:rPr>
      </w:pPr>
    </w:p>
    <w:p>
      <w:pPr>
        <w:ind w:left="640" w:right="8479" w:hanging="3"/>
        <w:spacing w:after="0" w:line="328" w:lineRule="auto"/>
        <w:tabs>
          <w:tab w:leader="none" w:pos="946" w:val="left"/>
        </w:tabs>
        <w:numPr>
          <w:ilvl w:val="1"/>
          <w:numId w:val="14"/>
        </w:numPr>
        <w:rPr>
          <w:rFonts w:ascii="Arial" w:cs="Arial" w:eastAsia="Arial" w:hAnsi="Arial"/>
          <w:sz w:val="19"/>
          <w:szCs w:val="19"/>
          <w:color w:val="auto"/>
        </w:rPr>
      </w:pPr>
      <w:r>
        <w:rPr>
          <w:rFonts w:ascii="Arial" w:cs="Arial" w:eastAsia="Arial" w:hAnsi="Arial"/>
          <w:sz w:val="19"/>
          <w:szCs w:val="19"/>
          <w:color w:val="auto"/>
        </w:rPr>
        <w:t>Tax ID 95-3692822</w:t>
      </w:r>
    </w:p>
    <w:p>
      <w:pPr>
        <w:spacing w:after="0" w:line="348" w:lineRule="exact"/>
        <w:rPr>
          <w:rFonts w:ascii="Arial" w:cs="Arial" w:eastAsia="Arial" w:hAnsi="Arial"/>
          <w:sz w:val="19"/>
          <w:szCs w:val="19"/>
          <w:color w:val="auto"/>
        </w:rPr>
      </w:pPr>
    </w:p>
    <w:p>
      <w:pPr>
        <w:ind w:left="640" w:hanging="435"/>
        <w:spacing w:after="0"/>
        <w:tabs>
          <w:tab w:leader="none" w:pos="6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980" w:hanging="343"/>
        <w:spacing w:after="0"/>
        <w:tabs>
          <w:tab w:leader="none" w:pos="980" w:val="left"/>
        </w:tabs>
        <w:numPr>
          <w:ilvl w:val="1"/>
          <w:numId w:val="15"/>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00" w:hanging="363"/>
        <w:spacing w:after="0"/>
        <w:tabs>
          <w:tab w:leader="none" w:pos="1000" w:val="left"/>
        </w:tabs>
        <w:numPr>
          <w:ilvl w:val="1"/>
          <w:numId w:val="15"/>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color w:val="auto"/>
        </w:rPr>
        <w:t>4.</w:t>
        <w:tab/>
        <w:t>Citizenship or Place of Organization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0</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278,874</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0</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vMerge w:val="restart"/>
          </w:tcPr>
          <w:p>
            <w:pPr>
              <w:spacing w:after="0"/>
              <w:rPr>
                <w:sz w:val="20"/>
                <w:szCs w:val="20"/>
                <w:color w:val="auto"/>
              </w:rPr>
            </w:pPr>
            <w:r>
              <w:rPr>
                <w:rFonts w:ascii="Arial" w:cs="Arial" w:eastAsia="Arial" w:hAnsi="Arial"/>
                <w:sz w:val="22"/>
                <w:szCs w:val="22"/>
                <w:color w:val="auto"/>
              </w:rPr>
              <w:t>8. Shared Dispositive Power 4,787,484</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4"/>
                <w:szCs w:val="24"/>
                <w:color w:val="auto"/>
              </w:rPr>
            </w:pPr>
          </w:p>
        </w:tc>
        <w:tc>
          <w:tcPr>
            <w:tcW w:w="7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-1202055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-1202055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-756285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-756285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-309880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-309880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562991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159"/>
          </w:cols>
          <w:pgMar w:left="300" w:top="348" w:right="1440" w:bottom="68" w:gutter="0" w:footer="0" w:header="0"/>
        </w:sectPr>
      </w:pPr>
    </w:p>
    <w:p>
      <w:pPr>
        <w:spacing w:after="0" w:line="200" w:lineRule="exact"/>
        <w:rPr>
          <w:sz w:val="20"/>
          <w:szCs w:val="20"/>
          <w:color w:val="auto"/>
        </w:rPr>
      </w:pPr>
    </w:p>
    <w:p>
      <w:pPr>
        <w:spacing w:after="0" w:line="228" w:lineRule="exact"/>
        <w:rPr>
          <w:sz w:val="20"/>
          <w:szCs w:val="20"/>
          <w:color w:val="auto"/>
        </w:rPr>
      </w:pPr>
    </w:p>
    <w:p>
      <w:pPr>
        <w:ind w:left="640" w:hanging="435"/>
        <w:spacing w:after="0"/>
        <w:tabs>
          <w:tab w:leader="none" w:pos="6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4,787,484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562991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159"/>
          </w:cols>
          <w:pgMar w:left="300" w:top="348" w:right="1440" w:bottom="68" w:gutter="0" w:footer="0" w:header="0"/>
          <w:type w:val="continuous"/>
        </w:sectPr>
      </w:pPr>
    </w:p>
    <w:bookmarkStart w:id="3" w:name="page4"/>
    <w:bookmarkEnd w:id="3"/>
    <w:p>
      <w:pPr>
        <w:ind w:left="640" w:hanging="435"/>
        <w:spacing w:after="0"/>
        <w:tabs>
          <w:tab w:leader="none" w:pos="640" w:val="left"/>
        </w:tabs>
        <w:numPr>
          <w:ilvl w:val="0"/>
          <w:numId w:val="1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1" w:lineRule="exact"/>
        <w:rPr>
          <w:rFonts w:ascii="Arial" w:cs="Arial" w:eastAsia="Arial" w:hAnsi="Arial"/>
          <w:sz w:val="21"/>
          <w:szCs w:val="21"/>
          <w:color w:val="auto"/>
        </w:rPr>
      </w:pPr>
    </w:p>
    <w:p>
      <w:pPr>
        <w:ind w:left="640" w:hanging="435"/>
        <w:spacing w:after="0"/>
        <w:tabs>
          <w:tab w:leader="none" w:pos="6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Percent of Class Represented by Amount in Row (9) 10.25 %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GRAND CANYON ED INC</w:t>
      </w:r>
    </w:p>
    <w:p>
      <w:pPr>
        <w:spacing w:after="0" w:line="80" w:lineRule="exact"/>
        <w:rPr>
          <w:rFonts w:ascii="Arial" w:cs="Arial" w:eastAsia="Arial" w:hAnsi="Arial"/>
          <w:sz w:val="22"/>
          <w:szCs w:val="22"/>
          <w:color w:val="auto"/>
        </w:rPr>
      </w:pPr>
    </w:p>
    <w:p>
      <w:pPr>
        <w:jc w:val="both"/>
        <w:ind w:left="700" w:right="5399" w:hanging="374"/>
        <w:spacing w:after="0" w:line="382" w:lineRule="auto"/>
        <w:tabs>
          <w:tab w:leader="none" w:pos="7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Address of Issuer's Principal Executive Offices 3300 W. Camelback Road, Phoenix, AZ 85017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hanging="374"/>
        <w:spacing w:after="0"/>
        <w:tabs>
          <w:tab w:leader="none" w:pos="7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Wells Capital Management Incorporated</w:t>
      </w:r>
    </w:p>
    <w:p>
      <w:pPr>
        <w:spacing w:after="0" w:line="80" w:lineRule="exact"/>
        <w:rPr>
          <w:rFonts w:ascii="Arial" w:cs="Arial" w:eastAsia="Arial" w:hAnsi="Arial"/>
          <w:sz w:val="22"/>
          <w:szCs w:val="22"/>
          <w:color w:val="auto"/>
        </w:rPr>
      </w:pPr>
    </w:p>
    <w:p>
      <w:pPr>
        <w:ind w:left="700" w:right="4339" w:hanging="374"/>
        <w:spacing w:after="0" w:line="326"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525 Market St, 10th Floor, San Francisco, CA 94105</w:t>
      </w:r>
    </w:p>
    <w:p>
      <w:pPr>
        <w:ind w:left="700" w:right="8479" w:hanging="374"/>
        <w:spacing w:after="0" w:line="326"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Citizenship California</w:t>
      </w:r>
    </w:p>
    <w:p>
      <w:pPr>
        <w:ind w:left="700" w:hanging="374"/>
        <w:spacing w:after="0"/>
        <w:tabs>
          <w:tab w:leader="none" w:pos="7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COM</w:t>
      </w:r>
    </w:p>
    <w:p>
      <w:pPr>
        <w:spacing w:after="0" w:line="80"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CUSIP Number 38526M106</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120" w:right="1399" w:hanging="816"/>
        <w:spacing w:after="0" w:line="251" w:lineRule="auto"/>
        <w:tabs>
          <w:tab w:leader="none" w:pos="782"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[X An investment adviser in accordance with 240.13d-1(b)(1)(ii)(E);</w:t>
      </w:r>
    </w:p>
    <w:p>
      <w:pPr>
        <w:spacing w:after="0" w:line="8" w:lineRule="exact"/>
        <w:rPr>
          <w:rFonts w:ascii="Arial" w:cs="Arial" w:eastAsia="Arial" w:hAnsi="Arial"/>
          <w:sz w:val="22"/>
          <w:szCs w:val="22"/>
          <w:color w:val="auto"/>
        </w:rPr>
      </w:pPr>
    </w:p>
    <w:p>
      <w:pPr>
        <w:ind w:left="78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80" w:lineRule="exact"/>
        <w:rPr>
          <w:rFonts w:ascii="Arial" w:cs="Arial" w:eastAsia="Arial" w:hAnsi="Arial"/>
          <w:sz w:val="22"/>
          <w:szCs w:val="22"/>
          <w:color w:val="auto"/>
        </w:rPr>
      </w:pPr>
    </w:p>
    <w:p>
      <w:pPr>
        <w:ind w:left="780" w:hanging="440"/>
        <w:spacing w:after="0"/>
        <w:tabs>
          <w:tab w:leader="none" w:pos="7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240.13d-1(b)(1)(ii)(F);</w:t>
      </w:r>
    </w:p>
    <w:p>
      <w:pPr>
        <w:spacing w:after="0" w:line="294" w:lineRule="exact"/>
        <w:rPr>
          <w:rFonts w:ascii="Arial" w:cs="Arial" w:eastAsia="Arial" w:hAnsi="Arial"/>
          <w:sz w:val="19"/>
          <w:szCs w:val="19"/>
          <w:color w:val="auto"/>
        </w:rPr>
      </w:pPr>
    </w:p>
    <w:p>
      <w:pPr>
        <w:ind w:left="780" w:hanging="476"/>
        <w:spacing w:after="0"/>
        <w:tabs>
          <w:tab w:leader="none" w:pos="7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 ]  A parent holding company or control person in accordance with 240.13d-1(b)(1)(ii)(G);</w:t>
      </w:r>
    </w:p>
    <w:p>
      <w:pPr>
        <w:spacing w:after="0" w:line="294" w:lineRule="exact"/>
        <w:rPr>
          <w:rFonts w:ascii="Arial" w:cs="Arial" w:eastAsia="Arial" w:hAnsi="Arial"/>
          <w:sz w:val="19"/>
          <w:szCs w:val="19"/>
          <w:color w:val="auto"/>
        </w:rPr>
      </w:pPr>
    </w:p>
    <w:p>
      <w:pPr>
        <w:ind w:left="1120" w:right="1559" w:hanging="816"/>
        <w:spacing w:after="0" w:line="251" w:lineRule="auto"/>
        <w:tabs>
          <w:tab w:leader="none" w:pos="782"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120" w:right="1819" w:hanging="768"/>
        <w:spacing w:after="0" w:line="239" w:lineRule="auto"/>
        <w:tabs>
          <w:tab w:leader="none" w:pos="782"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12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A non-U.S.institution in accordance with 240.13d-1(b)(1)(ii)(J);</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Group, in accordance with 240.13d-1(b)(1)(ii)(K).</w:t>
      </w:r>
    </w:p>
    <w:p>
      <w:pPr>
        <w:spacing w:after="0" w:line="260" w:lineRule="exact"/>
        <w:rPr>
          <w:sz w:val="20"/>
          <w:szCs w:val="20"/>
          <w:color w:val="auto"/>
        </w:rPr>
      </w:pPr>
    </w:p>
    <w:p>
      <w:pPr>
        <w:ind w:left="1120" w:right="1339"/>
        <w:spacing w:after="0" w:line="251" w:lineRule="auto"/>
        <w:rPr>
          <w:sz w:val="20"/>
          <w:szCs w:val="20"/>
          <w:color w:val="auto"/>
        </w:rPr>
      </w:pPr>
      <w:r>
        <w:rPr>
          <w:rFonts w:ascii="Arial" w:cs="Arial" w:eastAsia="Arial" w:hAnsi="Arial"/>
          <w:sz w:val="22"/>
          <w:szCs w:val="22"/>
          <w:color w:val="auto"/>
        </w:rPr>
        <w:t>If filing as a non-U.S.institution in accordance with 240.13d-1(b)(1)(ii)(J), please specify the type of institution: ______________</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color w:val="auto"/>
        </w:rPr>
        <w:t>Provide the following information regarding the aggregate number and percentage of the class of</w:t>
      </w:r>
    </w:p>
    <w:p>
      <w:pPr>
        <w:sectPr>
          <w:pgSz w:w="11900" w:h="16838" w:orient="portrait"/>
          <w:cols w:equalWidth="0" w:num="1">
            <w:col w:w="10159"/>
          </w:cols>
          <w:pgMar w:left="300" w:top="118" w:right="1440"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securities of the issuer identified in Item 1.</w:t>
      </w:r>
    </w:p>
    <w:p>
      <w:pPr>
        <w:spacing w:after="0" w:line="99" w:lineRule="exact"/>
        <w:rPr>
          <w:sz w:val="20"/>
          <w:szCs w:val="20"/>
          <w:color w:val="auto"/>
        </w:rPr>
      </w:pPr>
    </w:p>
    <w:p>
      <w:pPr>
        <w:ind w:left="800" w:hanging="433"/>
        <w:spacing w:after="0"/>
        <w:tabs>
          <w:tab w:leader="none" w:pos="8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Amount beneficially owned: 4,787,484</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Percent of class: 10.25%</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Shared power to vote or to direct the vote 278,874</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4,787,484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365760</wp:posOffset>
            </wp:positionV>
            <wp:extent cx="562991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45720</wp:posOffset>
            </wp:positionV>
            <wp:extent cx="569404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0"/>
          <w:szCs w:val="20"/>
          <w:color w:val="auto"/>
        </w:rPr>
      </w:pPr>
    </w:p>
    <w:p>
      <w:pPr>
        <w:ind w:left="640" w:right="6199" w:hanging="435"/>
        <w:spacing w:after="0" w:line="326" w:lineRule="auto"/>
        <w:tabs>
          <w:tab w:leader="none" w:pos="6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 Names of Reporting Persons. Wells Fargo Funds Management, LLC</w:t>
      </w:r>
    </w:p>
    <w:p>
      <w:pPr>
        <w:spacing w:after="0" w:line="1" w:lineRule="exact"/>
        <w:rPr>
          <w:sz w:val="20"/>
          <w:szCs w:val="20"/>
          <w:color w:val="auto"/>
        </w:rPr>
      </w:pPr>
    </w:p>
    <w:p>
      <w:pPr>
        <w:ind w:left="640" w:right="8479" w:hanging="3"/>
        <w:spacing w:after="0" w:line="328" w:lineRule="auto"/>
        <w:tabs>
          <w:tab w:leader="none" w:pos="946" w:val="left"/>
        </w:tabs>
        <w:numPr>
          <w:ilvl w:val="1"/>
          <w:numId w:val="23"/>
        </w:numPr>
        <w:rPr>
          <w:rFonts w:ascii="Arial" w:cs="Arial" w:eastAsia="Arial" w:hAnsi="Arial"/>
          <w:sz w:val="19"/>
          <w:szCs w:val="19"/>
          <w:color w:val="auto"/>
        </w:rPr>
      </w:pPr>
      <w:r>
        <w:rPr>
          <w:rFonts w:ascii="Arial" w:cs="Arial" w:eastAsia="Arial" w:hAnsi="Arial"/>
          <w:sz w:val="19"/>
          <w:szCs w:val="19"/>
          <w:color w:val="auto"/>
        </w:rPr>
        <w:t>Tax ID 94-3382001</w:t>
      </w:r>
    </w:p>
    <w:p>
      <w:pPr>
        <w:spacing w:after="0" w:line="348" w:lineRule="exact"/>
        <w:rPr>
          <w:rFonts w:ascii="Arial" w:cs="Arial" w:eastAsia="Arial" w:hAnsi="Arial"/>
          <w:sz w:val="19"/>
          <w:szCs w:val="19"/>
          <w:color w:val="auto"/>
        </w:rPr>
      </w:pPr>
    </w:p>
    <w:p>
      <w:pPr>
        <w:ind w:left="640" w:hanging="435"/>
        <w:spacing w:after="0"/>
        <w:tabs>
          <w:tab w:leader="none" w:pos="6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980" w:hanging="343"/>
        <w:spacing w:after="0"/>
        <w:tabs>
          <w:tab w:leader="none" w:pos="980" w:val="left"/>
        </w:tabs>
        <w:numPr>
          <w:ilvl w:val="1"/>
          <w:numId w:val="2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00" w:hanging="363"/>
        <w:spacing w:after="0"/>
        <w:tabs>
          <w:tab w:leader="none" w:pos="1000" w:val="left"/>
        </w:tabs>
        <w:numPr>
          <w:ilvl w:val="1"/>
          <w:numId w:val="24"/>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42</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4,531,963</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42</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25"/>
        </w:numPr>
        <w:rPr>
          <w:rFonts w:ascii="Arial" w:cs="Arial" w:eastAsia="Arial" w:hAnsi="Arial"/>
          <w:sz w:val="22"/>
          <w:szCs w:val="22"/>
          <w:color w:val="auto"/>
        </w:rPr>
      </w:pPr>
      <w:r>
        <w:rPr>
          <w:rFonts w:ascii="Arial" w:cs="Arial" w:eastAsia="Arial" w:hAnsi="Arial"/>
          <w:sz w:val="22"/>
          <w:szCs w:val="22"/>
          <w:color w:val="auto"/>
        </w:rPr>
        <w:t>Shared Dispositive Power 4,531,963</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4,532,005</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26"/>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Percent of Class Represented by Amount in Row (9) 9.70 %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GRAND CANYON ED INC</w:t>
      </w:r>
    </w:p>
    <w:p>
      <w:pPr>
        <w:spacing w:after="0" w:line="80" w:lineRule="exact"/>
        <w:rPr>
          <w:rFonts w:ascii="Arial" w:cs="Arial" w:eastAsia="Arial" w:hAnsi="Arial"/>
          <w:sz w:val="22"/>
          <w:szCs w:val="22"/>
          <w:color w:val="auto"/>
        </w:rPr>
      </w:pPr>
    </w:p>
    <w:p>
      <w:pPr>
        <w:jc w:val="both"/>
        <w:ind w:left="700" w:right="5399" w:hanging="374"/>
        <w:spacing w:after="0" w:line="382" w:lineRule="auto"/>
        <w:tabs>
          <w:tab w:leader="none" w:pos="7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Address of Issuer's Principal Executive Offices 3300 W. Camelback Road, Phoenix, AZ 85017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ectPr>
          <w:pgSz w:w="11900" w:h="16838" w:orient="portrait"/>
          <w:cols w:equalWidth="0" w:num="1">
            <w:col w:w="10159"/>
          </w:cols>
          <w:pgMar w:left="300" w:top="118" w:right="1440" w:bottom="0" w:gutter="0" w:footer="0" w:header="0"/>
        </w:sectPr>
      </w:pPr>
    </w:p>
    <w:bookmarkStart w:id="5" w:name="page6"/>
    <w:bookmarkEnd w:id="5"/>
    <w:p>
      <w:pPr>
        <w:ind w:left="700" w:hanging="374"/>
        <w:spacing w:after="0"/>
        <w:tabs>
          <w:tab w:leader="none" w:pos="7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Wells Fargo Funds Management, LLC</w:t>
      </w:r>
    </w:p>
    <w:p>
      <w:pPr>
        <w:spacing w:after="0" w:line="80" w:lineRule="exact"/>
        <w:rPr>
          <w:rFonts w:ascii="Arial" w:cs="Arial" w:eastAsia="Arial" w:hAnsi="Arial"/>
          <w:sz w:val="22"/>
          <w:szCs w:val="22"/>
          <w:color w:val="auto"/>
        </w:rPr>
      </w:pPr>
    </w:p>
    <w:p>
      <w:pPr>
        <w:ind w:left="700" w:right="4339" w:hanging="374"/>
        <w:spacing w:after="0" w:line="326" w:lineRule="auto"/>
        <w:tabs>
          <w:tab w:leader="none" w:pos="7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525 Market Street, San Francisco, CA 94105</w:t>
      </w:r>
    </w:p>
    <w:p>
      <w:pPr>
        <w:ind w:left="700" w:right="8479" w:hanging="374"/>
        <w:spacing w:after="0" w:line="326" w:lineRule="auto"/>
        <w:tabs>
          <w:tab w:leader="none" w:pos="7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Citizenship Delaware</w:t>
      </w:r>
    </w:p>
    <w:p>
      <w:pPr>
        <w:ind w:left="700" w:hanging="374"/>
        <w:spacing w:after="0"/>
        <w:tabs>
          <w:tab w:leader="none" w:pos="7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COM</w:t>
      </w:r>
    </w:p>
    <w:p>
      <w:pPr>
        <w:spacing w:after="0" w:line="80"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CUSIP Number 38526M106</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120" w:right="1399" w:hanging="816"/>
        <w:spacing w:after="0" w:line="251" w:lineRule="auto"/>
        <w:tabs>
          <w:tab w:leader="none" w:pos="782" w:val="left"/>
        </w:tabs>
        <w:numPr>
          <w:ilvl w:val="0"/>
          <w:numId w:val="29"/>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[X An investment adviser in accordance with 240.13d-1(b)(1)(ii)(E);</w:t>
      </w:r>
    </w:p>
    <w:p>
      <w:pPr>
        <w:spacing w:after="0" w:line="8" w:lineRule="exact"/>
        <w:rPr>
          <w:rFonts w:ascii="Arial" w:cs="Arial" w:eastAsia="Arial" w:hAnsi="Arial"/>
          <w:sz w:val="22"/>
          <w:szCs w:val="22"/>
          <w:color w:val="auto"/>
        </w:rPr>
      </w:pPr>
    </w:p>
    <w:p>
      <w:pPr>
        <w:ind w:left="78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80" w:lineRule="exact"/>
        <w:rPr>
          <w:rFonts w:ascii="Arial" w:cs="Arial" w:eastAsia="Arial" w:hAnsi="Arial"/>
          <w:sz w:val="22"/>
          <w:szCs w:val="22"/>
          <w:color w:val="auto"/>
        </w:rPr>
      </w:pPr>
    </w:p>
    <w:p>
      <w:pPr>
        <w:ind w:left="780" w:hanging="440"/>
        <w:spacing w:after="0"/>
        <w:tabs>
          <w:tab w:leader="none" w:pos="7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240.13d-1(b)(1)(ii)(F);</w:t>
      </w:r>
    </w:p>
    <w:p>
      <w:pPr>
        <w:spacing w:after="0" w:line="294" w:lineRule="exact"/>
        <w:rPr>
          <w:rFonts w:ascii="Arial" w:cs="Arial" w:eastAsia="Arial" w:hAnsi="Arial"/>
          <w:sz w:val="19"/>
          <w:szCs w:val="19"/>
          <w:color w:val="auto"/>
        </w:rPr>
      </w:pPr>
    </w:p>
    <w:p>
      <w:pPr>
        <w:ind w:left="780" w:hanging="476"/>
        <w:spacing w:after="0"/>
        <w:tabs>
          <w:tab w:leader="none" w:pos="7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 ]  A parent holding company or control person in accordance with 240.13d-1(b)(1)(ii)(G);</w:t>
      </w:r>
    </w:p>
    <w:p>
      <w:pPr>
        <w:spacing w:after="0" w:line="294" w:lineRule="exact"/>
        <w:rPr>
          <w:rFonts w:ascii="Arial" w:cs="Arial" w:eastAsia="Arial" w:hAnsi="Arial"/>
          <w:sz w:val="19"/>
          <w:szCs w:val="19"/>
          <w:color w:val="auto"/>
        </w:rPr>
      </w:pPr>
    </w:p>
    <w:p>
      <w:pPr>
        <w:ind w:left="1120" w:right="1559" w:hanging="816"/>
        <w:spacing w:after="0" w:line="251" w:lineRule="auto"/>
        <w:tabs>
          <w:tab w:leader="none" w:pos="782" w:val="left"/>
        </w:tabs>
        <w:numPr>
          <w:ilvl w:val="0"/>
          <w:numId w:val="29"/>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120" w:right="1819" w:hanging="768"/>
        <w:spacing w:after="0" w:line="239" w:lineRule="auto"/>
        <w:tabs>
          <w:tab w:leader="none" w:pos="782" w:val="left"/>
        </w:tabs>
        <w:numPr>
          <w:ilvl w:val="0"/>
          <w:numId w:val="29"/>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12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 ]  A non-U.S.institution in accordance with 240.13d-1(b)(1)(ii)(J);</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 ]  Group, in accordance with 240.13d-1(b)(1)(ii)(K).</w:t>
      </w:r>
    </w:p>
    <w:p>
      <w:pPr>
        <w:spacing w:after="0" w:line="260" w:lineRule="exact"/>
        <w:rPr>
          <w:sz w:val="20"/>
          <w:szCs w:val="20"/>
          <w:color w:val="auto"/>
        </w:rPr>
      </w:pPr>
    </w:p>
    <w:p>
      <w:pPr>
        <w:ind w:left="1120" w:right="1339"/>
        <w:spacing w:after="0" w:line="251" w:lineRule="auto"/>
        <w:rPr>
          <w:sz w:val="20"/>
          <w:szCs w:val="20"/>
          <w:color w:val="auto"/>
        </w:rPr>
      </w:pPr>
      <w:r>
        <w:rPr>
          <w:rFonts w:ascii="Arial" w:cs="Arial" w:eastAsia="Arial" w:hAnsi="Arial"/>
          <w:sz w:val="22"/>
          <w:szCs w:val="22"/>
          <w:color w:val="auto"/>
        </w:rPr>
        <w:t>If filing as a non-U.S.institution in accordance with 240.13d-1(b)(1)(ii)(J), please specify the type of institution: ______________</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800" w:hanging="433"/>
        <w:spacing w:after="0"/>
        <w:tabs>
          <w:tab w:leader="none" w:pos="8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Amount beneficially owned: 4,532,005</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Percent of class: 9.70%</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Sole power to vote or to direct the vote 42</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Shared power to vote or to direct the vote 4,531,963</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42</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4,531,963</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ind w:right="177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w:t>
      </w:r>
    </w:p>
    <w:p>
      <w:pPr>
        <w:sectPr>
          <w:pgSz w:w="11900" w:h="16838" w:orient="portrait"/>
          <w:cols w:equalWidth="0" w:num="1">
            <w:col w:w="10159"/>
          </w:cols>
          <w:pgMar w:left="300" w:top="118" w:right="1440" w:bottom="0" w:gutter="0" w:footer="0" w:header="0"/>
        </w:sectPr>
      </w:pPr>
    </w:p>
    <w:bookmarkStart w:id="6" w:name="page7"/>
    <w:bookmarkEnd w:id="6"/>
    <w:p>
      <w:pPr>
        <w:ind w:left="20"/>
        <w:spacing w:after="0"/>
        <w:rPr>
          <w:sz w:val="20"/>
          <w:szCs w:val="20"/>
          <w:color w:val="auto"/>
        </w:rPr>
      </w:pPr>
      <w:r>
        <w:rPr>
          <w:rFonts w:ascii="Arial" w:cs="Arial" w:eastAsia="Arial" w:hAnsi="Arial"/>
          <w:sz w:val="22"/>
          <w:szCs w:val="22"/>
          <w:b w:val="1"/>
          <w:bCs w:val="1"/>
          <w:color w:val="auto"/>
        </w:rPr>
        <w:t>Item 6.</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Not</w:t>
      </w:r>
    </w:p>
    <w:p>
      <w:pPr>
        <w:spacing w:after="0" w:line="8" w:lineRule="exact"/>
        <w:rPr>
          <w:sz w:val="20"/>
          <w:szCs w:val="20"/>
          <w:color w:val="auto"/>
        </w:rPr>
      </w:pPr>
    </w:p>
    <w:p>
      <w:pPr>
        <w:ind w:left="20"/>
        <w:spacing w:after="0" w:line="207" w:lineRule="auto"/>
        <w:rPr>
          <w:sz w:val="20"/>
          <w:szCs w:val="20"/>
          <w:color w:val="auto"/>
        </w:rPr>
      </w:pPr>
      <w:r>
        <w:rPr>
          <w:rFonts w:ascii="Arial" w:cs="Arial" w:eastAsia="Arial" w:hAnsi="Arial"/>
          <w:sz w:val="19"/>
          <w:szCs w:val="19"/>
          <w:color w:val="auto"/>
        </w:rPr>
        <w:t xml:space="preserve">applicable </w:t>
      </w: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Ownership of More than Five Percent on Behalf of Another Person.</w:t>
      </w:r>
    </w:p>
    <w:p>
      <w:pPr>
        <w:spacing w:after="0" w:line="200" w:lineRule="exact"/>
        <w:rPr>
          <w:sz w:val="20"/>
          <w:szCs w:val="20"/>
          <w:color w:val="auto"/>
        </w:rPr>
      </w:pPr>
    </w:p>
    <w:p>
      <w:pPr>
        <w:spacing w:after="0" w:line="263" w:lineRule="exact"/>
        <w:rPr>
          <w:sz w:val="20"/>
          <w:szCs w:val="20"/>
          <w:color w:val="auto"/>
        </w:rPr>
      </w:pPr>
    </w:p>
    <w:p>
      <w:pPr>
        <w:ind w:right="1839"/>
        <w:spacing w:after="0" w:line="329" w:lineRule="auto"/>
        <w:rPr>
          <w:sz w:val="20"/>
          <w:szCs w:val="20"/>
          <w:color w:val="auto"/>
        </w:rPr>
      </w:pPr>
      <w:r>
        <w:rPr>
          <w:rFonts w:ascii="Arial" w:cs="Arial" w:eastAsia="Arial" w:hAnsi="Arial"/>
          <w:sz w:val="19"/>
          <w:szCs w:val="19"/>
          <w:b w:val="1"/>
          <w:bCs w:val="1"/>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sectPr>
          <w:pgSz w:w="11900" w:h="16838" w:orient="portrait"/>
          <w:cols w:equalWidth="0" w:num="2">
            <w:col w:w="920" w:space="100"/>
            <w:col w:w="9159"/>
          </w:cols>
          <w:pgMar w:left="280" w:top="463" w:right="1440" w:bottom="0" w:gutter="0" w:footer="0" w:header="0"/>
        </w:sectPr>
      </w:pPr>
    </w:p>
    <w:p>
      <w:pPr>
        <w:ind w:left="20"/>
        <w:spacing w:after="0"/>
        <w:rPr>
          <w:sz w:val="20"/>
          <w:szCs w:val="20"/>
          <w:color w:val="auto"/>
        </w:rPr>
      </w:pPr>
      <w:r>
        <w:rPr>
          <w:rFonts w:ascii="Arial" w:cs="Arial" w:eastAsia="Arial" w:hAnsi="Arial"/>
          <w:sz w:val="22"/>
          <w:szCs w:val="22"/>
          <w:color w:val="auto"/>
        </w:rPr>
        <w:t>See Exhibit B</w:t>
      </w:r>
    </w:p>
    <w:p>
      <w:pPr>
        <w:spacing w:after="0" w:line="92"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50" w:lineRule="exact"/>
        <w:rPr>
          <w:sz w:val="20"/>
          <w:szCs w:val="20"/>
          <w:color w:val="auto"/>
        </w:rPr>
      </w:pPr>
    </w:p>
    <w:p>
      <w:pPr>
        <w:jc w:val="both"/>
        <w:ind w:left="500" w:right="1979"/>
        <w:spacing w:after="0" w:line="235"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43" w:lineRule="exact"/>
        <w:rPr>
          <w:sz w:val="20"/>
          <w:szCs w:val="20"/>
          <w:color w:val="auto"/>
        </w:rPr>
      </w:pPr>
    </w:p>
    <w:p>
      <w:pPr>
        <w:jc w:val="center"/>
        <w:ind w:right="779"/>
        <w:spacing w:after="0"/>
        <w:rPr>
          <w:sz w:val="20"/>
          <w:szCs w:val="20"/>
          <w:color w:val="auto"/>
        </w:rPr>
      </w:pPr>
      <w:r>
        <w:rPr>
          <w:rFonts w:ascii="Arial" w:cs="Arial" w:eastAsia="Arial" w:hAnsi="Arial"/>
          <w:sz w:val="25"/>
          <w:szCs w:val="25"/>
          <w:b w:val="1"/>
          <w:bCs w:val="1"/>
          <w:color w:val="auto"/>
        </w:rPr>
        <w:t>SIGNATURE</w:t>
      </w:r>
    </w:p>
    <w:p>
      <w:pPr>
        <w:spacing w:after="0" w:line="322" w:lineRule="exact"/>
        <w:rPr>
          <w:sz w:val="20"/>
          <w:szCs w:val="20"/>
          <w:color w:val="auto"/>
        </w:rPr>
      </w:pPr>
    </w:p>
    <w:p>
      <w:pPr>
        <w:ind w:left="260" w:right="11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jc w:val="center"/>
        <w:ind w:right="779"/>
        <w:spacing w:after="0"/>
        <w:rPr>
          <w:sz w:val="20"/>
          <w:szCs w:val="20"/>
          <w:color w:val="auto"/>
        </w:rPr>
      </w:pPr>
      <w:r>
        <w:rPr>
          <w:rFonts w:ascii="Arial" w:cs="Arial" w:eastAsia="Arial" w:hAnsi="Arial"/>
          <w:sz w:val="22"/>
          <w:szCs w:val="22"/>
          <w:color w:val="auto"/>
        </w:rPr>
        <w:t>October 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15875</wp:posOffset>
            </wp:positionV>
            <wp:extent cx="3395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779"/>
        <w:spacing w:after="0"/>
        <w:rPr>
          <w:sz w:val="20"/>
          <w:szCs w:val="20"/>
          <w:color w:val="auto"/>
        </w:rPr>
      </w:pPr>
      <w:r>
        <w:rPr>
          <w:rFonts w:ascii="Arial" w:cs="Arial" w:eastAsia="Arial" w:hAnsi="Arial"/>
          <w:sz w:val="22"/>
          <w:szCs w:val="22"/>
          <w:color w:val="auto"/>
        </w:rPr>
        <w:t>Date</w:t>
      </w:r>
    </w:p>
    <w:p>
      <w:pPr>
        <w:spacing w:after="0" w:line="44" w:lineRule="exact"/>
        <w:rPr>
          <w:sz w:val="20"/>
          <w:szCs w:val="20"/>
          <w:color w:val="auto"/>
        </w:rPr>
      </w:pPr>
    </w:p>
    <w:p>
      <w:pPr>
        <w:jc w:val="center"/>
        <w:ind w:right="779"/>
        <w:spacing w:after="0"/>
        <w:rPr>
          <w:sz w:val="20"/>
          <w:szCs w:val="20"/>
          <w:color w:val="auto"/>
        </w:rPr>
      </w:pPr>
      <w:r>
        <w:rPr>
          <w:rFonts w:ascii="Arial" w:cs="Arial" w:eastAsia="Arial" w:hAnsi="Arial"/>
          <w:sz w:val="22"/>
          <w:szCs w:val="22"/>
          <w:color w:val="auto"/>
        </w:rPr>
        <w:t>/s/ Jane E.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15875</wp:posOffset>
            </wp:positionV>
            <wp:extent cx="3395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779"/>
        <w:spacing w:after="0"/>
        <w:rPr>
          <w:sz w:val="20"/>
          <w:szCs w:val="20"/>
          <w:color w:val="auto"/>
        </w:rPr>
      </w:pPr>
      <w:r>
        <w:rPr>
          <w:rFonts w:ascii="Arial" w:cs="Arial" w:eastAsia="Arial" w:hAnsi="Arial"/>
          <w:sz w:val="22"/>
          <w:szCs w:val="22"/>
          <w:color w:val="auto"/>
        </w:rPr>
        <w:t>Signature</w:t>
      </w:r>
    </w:p>
    <w:p>
      <w:pPr>
        <w:spacing w:after="0" w:line="44" w:lineRule="exact"/>
        <w:rPr>
          <w:sz w:val="20"/>
          <w:szCs w:val="20"/>
          <w:color w:val="auto"/>
        </w:rPr>
      </w:pPr>
    </w:p>
    <w:p>
      <w:pPr>
        <w:jc w:val="center"/>
        <w:ind w:right="779"/>
        <w:spacing w:after="0"/>
        <w:rPr>
          <w:sz w:val="20"/>
          <w:szCs w:val="20"/>
          <w:color w:val="auto"/>
        </w:rPr>
      </w:pPr>
      <w:r>
        <w:rPr>
          <w:rFonts w:ascii="Arial" w:cs="Arial" w:eastAsia="Arial" w:hAnsi="Arial"/>
          <w:sz w:val="22"/>
          <w:szCs w:val="22"/>
          <w:color w:val="auto"/>
        </w:rPr>
        <w:t>Jane E. Washington, VP Trust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15875</wp:posOffset>
            </wp:positionV>
            <wp:extent cx="3395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779"/>
        <w:spacing w:after="0"/>
        <w:rPr>
          <w:sz w:val="20"/>
          <w:szCs w:val="20"/>
          <w:color w:val="auto"/>
        </w:rPr>
      </w:pPr>
      <w:r>
        <w:rPr>
          <w:rFonts w:ascii="Arial" w:cs="Arial" w:eastAsia="Arial" w:hAnsi="Arial"/>
          <w:sz w:val="22"/>
          <w:szCs w:val="22"/>
          <w:color w:val="auto"/>
        </w:rPr>
        <w:t>Name/Title</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Exhibit A</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22"/>
          <w:szCs w:val="22"/>
          <w:color w:val="auto"/>
        </w:rPr>
        <w:t>EXPLANATORY NOTE</w:t>
      </w:r>
    </w:p>
    <w:p>
      <w:pPr>
        <w:spacing w:after="0" w:line="233" w:lineRule="exact"/>
        <w:rPr>
          <w:sz w:val="20"/>
          <w:szCs w:val="20"/>
          <w:color w:val="auto"/>
        </w:rPr>
      </w:pPr>
    </w:p>
    <w:p>
      <w:pPr>
        <w:ind w:left="20" w:right="1379"/>
        <w:spacing w:after="0" w:line="238" w:lineRule="auto"/>
        <w:rPr>
          <w:sz w:val="20"/>
          <w:szCs w:val="20"/>
          <w:color w:val="auto"/>
        </w:rPr>
      </w:pPr>
      <w:r>
        <w:rPr>
          <w:rFonts w:ascii="Arial" w:cs="Arial" w:eastAsia="Arial" w:hAnsi="Arial"/>
          <w:sz w:val="22"/>
          <w:szCs w:val="22"/>
          <w:color w:val="auto"/>
        </w:rPr>
        <w:t>This Schedule 13G is filed by Wells Fargo &amp; Company on its own behalf and on behalf of any subsidiaries listed in Exhibit B. Aggregate beneficial ownership reported by Wells Fargo &amp; Company under Item 9 on page 2 is on a consolidated basis and includes any beneficial ownership separately reported herein by a subsidiary.</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Exhibit B</w:t>
      </w:r>
    </w:p>
    <w:p>
      <w:pPr>
        <w:spacing w:after="0" w:line="104" w:lineRule="exact"/>
        <w:rPr>
          <w:sz w:val="20"/>
          <w:szCs w:val="20"/>
          <w:color w:val="auto"/>
        </w:rPr>
      </w:pPr>
    </w:p>
    <w:p>
      <w:pPr>
        <w:ind w:left="20" w:right="1299"/>
        <w:spacing w:after="0" w:line="251" w:lineRule="auto"/>
        <w:rPr>
          <w:sz w:val="20"/>
          <w:szCs w:val="20"/>
          <w:color w:val="auto"/>
        </w:rPr>
      </w:pPr>
      <w:r>
        <w:rPr>
          <w:rFonts w:ascii="Arial" w:cs="Arial" w:eastAsia="Arial" w:hAnsi="Arial"/>
          <w:sz w:val="22"/>
          <w:szCs w:val="22"/>
          <w:color w:val="auto"/>
        </w:rPr>
        <w:t>The Schedule 13G to which this attachment is appended is filed by Wells Fargo &amp; Company on behalf of the following subsidiaries:</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22"/>
          <w:szCs w:val="22"/>
          <w:color w:val="auto"/>
        </w:rPr>
        <w:t>Wells Capital Management Incorporated (1)</w:t>
      </w:r>
    </w:p>
    <w:p>
      <w:pPr>
        <w:ind w:left="20"/>
        <w:spacing w:after="0" w:line="238" w:lineRule="auto"/>
        <w:rPr>
          <w:sz w:val="20"/>
          <w:szCs w:val="20"/>
          <w:color w:val="auto"/>
        </w:rPr>
      </w:pPr>
      <w:r>
        <w:rPr>
          <w:rFonts w:ascii="Arial" w:cs="Arial" w:eastAsia="Arial" w:hAnsi="Arial"/>
          <w:sz w:val="22"/>
          <w:szCs w:val="22"/>
          <w:color w:val="auto"/>
        </w:rPr>
        <w:t>Wells Fargo Funds Management, LLC (1)</w:t>
      </w:r>
    </w:p>
    <w:p>
      <w:pPr>
        <w:ind w:left="20"/>
        <w:spacing w:after="0" w:line="230" w:lineRule="auto"/>
        <w:rPr>
          <w:sz w:val="20"/>
          <w:szCs w:val="20"/>
          <w:color w:val="auto"/>
        </w:rPr>
      </w:pPr>
      <w:r>
        <w:rPr>
          <w:rFonts w:ascii="Arial" w:cs="Arial" w:eastAsia="Arial" w:hAnsi="Arial"/>
          <w:sz w:val="22"/>
          <w:szCs w:val="22"/>
          <w:color w:val="auto"/>
        </w:rPr>
        <w:t>Wells Fargo Bank, National Association (2)</w:t>
      </w:r>
    </w:p>
    <w:p>
      <w:pPr>
        <w:ind w:left="20"/>
        <w:spacing w:after="0" w:line="231" w:lineRule="auto"/>
        <w:rPr>
          <w:sz w:val="20"/>
          <w:szCs w:val="20"/>
          <w:color w:val="auto"/>
        </w:rPr>
      </w:pPr>
      <w:r>
        <w:rPr>
          <w:rFonts w:ascii="Arial" w:cs="Arial" w:eastAsia="Arial" w:hAnsi="Arial"/>
          <w:sz w:val="22"/>
          <w:szCs w:val="22"/>
          <w:color w:val="auto"/>
        </w:rPr>
        <w:t>Wells Fargo Advisors Financial Network, LLC (3)</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color w:val="auto"/>
        </w:rPr>
        <w:t>Wells Fargo Advisors, LLC (3)</w:t>
      </w:r>
    </w:p>
    <w:p>
      <w:pPr>
        <w:spacing w:after="0" w:line="215" w:lineRule="exact"/>
        <w:rPr>
          <w:sz w:val="20"/>
          <w:szCs w:val="20"/>
          <w:color w:val="auto"/>
        </w:rPr>
      </w:pPr>
    </w:p>
    <w:p>
      <w:pPr>
        <w:ind w:left="320" w:hanging="298"/>
        <w:spacing w:after="0"/>
        <w:tabs>
          <w:tab w:leader="none" w:pos="320" w:val="left"/>
        </w:tabs>
        <w:numPr>
          <w:ilvl w:val="0"/>
          <w:numId w:val="31"/>
        </w:numPr>
        <w:rPr>
          <w:rFonts w:ascii="Arial" w:cs="Arial" w:eastAsia="Arial" w:hAnsi="Arial"/>
          <w:sz w:val="21"/>
          <w:szCs w:val="21"/>
          <w:color w:val="auto"/>
        </w:rPr>
      </w:pPr>
      <w:r>
        <w:rPr>
          <w:rFonts w:ascii="Arial" w:cs="Arial" w:eastAsia="Arial" w:hAnsi="Arial"/>
          <w:sz w:val="21"/>
          <w:szCs w:val="21"/>
          <w:color w:val="auto"/>
        </w:rPr>
        <w:t>Classified as a registered investment advisor in accordance with Regulation 13d-1(b)(1)(ii)(E).</w:t>
      </w:r>
    </w:p>
    <w:p>
      <w:pPr>
        <w:spacing w:after="0" w:line="19" w:lineRule="exact"/>
        <w:rPr>
          <w:rFonts w:ascii="Arial" w:cs="Arial" w:eastAsia="Arial" w:hAnsi="Arial"/>
          <w:sz w:val="21"/>
          <w:szCs w:val="21"/>
          <w:color w:val="auto"/>
        </w:rPr>
      </w:pPr>
    </w:p>
    <w:p>
      <w:pPr>
        <w:ind w:left="320" w:hanging="298"/>
        <w:spacing w:after="0" w:line="230" w:lineRule="auto"/>
        <w:tabs>
          <w:tab w:leader="none" w:pos="3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Classified as a bank in accordance with Regulation 13d-1(b)(1)(ii)(B).</w:t>
      </w:r>
    </w:p>
    <w:p>
      <w:pPr>
        <w:ind w:left="320" w:hanging="298"/>
        <w:spacing w:after="0"/>
        <w:tabs>
          <w:tab w:leader="none" w:pos="3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Classified as a broker dealer in accordance with Regulation 13d-1(b)(1)(ii)(A).</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C</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33" w:lineRule="exact"/>
        <w:rPr>
          <w:sz w:val="20"/>
          <w:szCs w:val="20"/>
          <w:color w:val="auto"/>
        </w:rPr>
      </w:pPr>
    </w:p>
    <w:p>
      <w:pPr>
        <w:ind w:right="819"/>
        <w:spacing w:after="0"/>
        <w:rPr>
          <w:sz w:val="20"/>
          <w:szCs w:val="20"/>
          <w:color w:val="auto"/>
        </w:rPr>
      </w:pPr>
      <w:r>
        <w:rPr>
          <w:rFonts w:ascii="Arial" w:cs="Arial" w:eastAsia="Arial" w:hAnsi="Arial"/>
          <w:sz w:val="22"/>
          <w:szCs w:val="22"/>
          <w:color w:val="auto"/>
        </w:rPr>
        <w:t>The undersigned hereby agree that the statement on Schedule 13G to which this Agreement is attached shall be filed by Wells Fargo &amp; Company on its own behalf and on behalf of Wells Capital Management Incorporated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Date: October 9, 2014</w:t>
      </w:r>
    </w:p>
    <w:p>
      <w:pPr>
        <w:sectPr>
          <w:pgSz w:w="11900" w:h="16838" w:orient="portrait"/>
          <w:cols w:equalWidth="0" w:num="1">
            <w:col w:w="10179"/>
          </w:cols>
          <w:pgMar w:left="280" w:top="463" w:right="1440" w:bottom="0" w:gutter="0" w:footer="0" w:header="0"/>
          <w:type w:val="continuous"/>
        </w:sectPr>
      </w:pPr>
    </w:p>
    <w:bookmarkStart w:id="7" w:name="page8"/>
    <w:bookmarkEnd w:id="7"/>
    <w:p>
      <w:pPr>
        <w:ind w:left="40"/>
        <w:spacing w:after="0"/>
        <w:rPr>
          <w:sz w:val="20"/>
          <w:szCs w:val="20"/>
          <w:color w:val="auto"/>
        </w:rPr>
      </w:pPr>
      <w:r>
        <w:rPr>
          <w:rFonts w:ascii="Arial" w:cs="Arial" w:eastAsia="Arial" w:hAnsi="Arial"/>
          <w:sz w:val="22"/>
          <w:szCs w:val="22"/>
          <w:color w:val="auto"/>
        </w:rPr>
        <w:t>WELLS FARGO &amp; COMPANY</w:t>
      </w:r>
    </w:p>
    <w:p>
      <w:pPr>
        <w:spacing w:after="0" w:line="328"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Jane E.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15875</wp:posOffset>
            </wp:positionV>
            <wp:extent cx="34474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Jane E. Washington, VP Trust Operations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Wells Capital Management Incorporated</w:t>
      </w:r>
    </w:p>
    <w:p>
      <w:pPr>
        <w:spacing w:after="0" w:line="200" w:lineRule="exact"/>
        <w:rPr>
          <w:sz w:val="20"/>
          <w:szCs w:val="20"/>
          <w:color w:val="auto"/>
        </w:rPr>
      </w:pPr>
    </w:p>
    <w:p>
      <w:pPr>
        <w:spacing w:after="0" w:line="317"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Nobuko Nagata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15875</wp:posOffset>
            </wp:positionV>
            <wp:extent cx="34474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Nobuko Nagata, Vice President</w:t>
      </w:r>
    </w:p>
    <w:p>
      <w:pPr>
        <w:spacing w:after="0" w:line="314"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Kevin Pham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15875</wp:posOffset>
            </wp:positionV>
            <wp:extent cx="34474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Kevin Pham, Vice President</w:t>
      </w:r>
    </w:p>
    <w:p>
      <w:pPr>
        <w:spacing w:after="0" w:line="30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Exhibit 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AGREEMENT</w:t>
      </w:r>
    </w:p>
    <w:p>
      <w:pPr>
        <w:spacing w:after="0" w:line="233" w:lineRule="exact"/>
        <w:rPr>
          <w:sz w:val="20"/>
          <w:szCs w:val="20"/>
          <w:color w:val="auto"/>
        </w:rPr>
      </w:pPr>
    </w:p>
    <w:p>
      <w:pPr>
        <w:ind w:left="40" w:right="819"/>
        <w:spacing w:after="0"/>
        <w:rPr>
          <w:sz w:val="20"/>
          <w:szCs w:val="20"/>
          <w:color w:val="auto"/>
        </w:rPr>
      </w:pPr>
      <w:r>
        <w:rPr>
          <w:rFonts w:ascii="Arial" w:cs="Arial" w:eastAsia="Arial" w:hAnsi="Arial"/>
          <w:sz w:val="22"/>
          <w:szCs w:val="22"/>
          <w:color w:val="auto"/>
        </w:rPr>
        <w:t>The undersigned hereby agree that the statement on Schedule 13G to which this Agreement is attached shall be filed by Wells Fargo &amp; Company on its own behalf and on behalf of Wells Fargo Funds Management, LLC</w:t>
      </w:r>
    </w:p>
    <w:p>
      <w:pPr>
        <w:spacing w:after="0" w:line="213"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October 9, 2014</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WELLS FARGO &amp; COMPANY</w:t>
      </w:r>
    </w:p>
    <w:p>
      <w:pPr>
        <w:spacing w:after="0" w:line="314"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Jane E.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15875</wp:posOffset>
            </wp:positionV>
            <wp:extent cx="34474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Jane E. Washington, VP Trust Operations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Wells Fargo Funds Management, LLC</w:t>
      </w:r>
    </w:p>
    <w:p>
      <w:pPr>
        <w:spacing w:after="0" w:line="200" w:lineRule="exact"/>
        <w:rPr>
          <w:sz w:val="20"/>
          <w:szCs w:val="20"/>
          <w:color w:val="auto"/>
        </w:rPr>
      </w:pPr>
    </w:p>
    <w:p>
      <w:pPr>
        <w:spacing w:after="0" w:line="317"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Debra Ann Early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15875</wp:posOffset>
            </wp:positionV>
            <wp:extent cx="34474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Debra Ann Early, Senior Vice President</w:t>
      </w:r>
    </w:p>
    <w:p>
      <w:pPr>
        <w:spacing w:after="0" w:line="314"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Bob Guerin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15875</wp:posOffset>
            </wp:positionV>
            <wp:extent cx="34474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Bob Guerin,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120" w:right="1379" w:hanging="1079"/>
        <w:spacing w:after="0" w:line="256" w:lineRule="auto"/>
        <w:tabs>
          <w:tab w:leader="none" w:pos="1100" w:val="left"/>
        </w:tabs>
        <w:rPr>
          <w:sz w:val="20"/>
          <w:szCs w:val="20"/>
          <w:color w:val="auto"/>
        </w:rPr>
      </w:pPr>
      <w:r>
        <w:rPr>
          <w:rFonts w:ascii="Arial" w:cs="Arial" w:eastAsia="Arial" w:hAnsi="Arial"/>
          <w:sz w:val="22"/>
          <w:szCs w:val="22"/>
          <w:b w:val="1"/>
          <w:bCs w:val="1"/>
          <w:color w:val="auto"/>
        </w:rPr>
        <w:t>Attention:</w:t>
        <w:tab/>
        <w:t>Intentional misstatements or omissions of fact constitute Federal criminal violations (See 18 U.S.C. 1001)</w:t>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upperLetter"/>
      <w:start w:val="24"/>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1"/>
    </w:lvl>
    <w:lvl w:ilvl="1">
      <w:lvlJc w:val="left"/>
      <w:lvlText w:val="(%2)"/>
      <w:numFmt w:val="lowerLetter"/>
      <w:start w:val="2"/>
    </w:lvl>
  </w:abstractNum>
  <w:abstractNum w:abstractNumId="3">
    <w:nsid w:val="519B500D"/>
    <w:multiLevelType w:val="hybridMultilevel"/>
    <w:lvl w:ilvl="0">
      <w:lvlJc w:val="left"/>
      <w:lvlText w:val="%1."/>
      <w:numFmt w:val="decimal"/>
      <w:start w:val="2"/>
    </w:lvl>
    <w:lvl w:ilvl="1">
      <w:lvlJc w:val="left"/>
      <w:lvlText w:val="(%2)"/>
      <w:numFmt w:val="lowerLetter"/>
      <w:start w:val="1"/>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1"/>
      <w:numFmt w:val="decimal"/>
      <w:start w:val="1"/>
    </w:lvl>
    <w:lvl w:ilvl="1">
      <w:lvlJc w:val="left"/>
      <w:lvlText w:val="%2."/>
      <w:numFmt w:val="decimal"/>
      <w:start w:val="8"/>
    </w:lvl>
  </w:abstractNum>
  <w:abstractNum w:abstractNumId="6">
    <w:nsid w:val="7C83E458"/>
    <w:multiLevelType w:val="hybridMultilevel"/>
    <w:lvl w:ilvl="0">
      <w:lvlJc w:val="left"/>
      <w:lvlText w:val="%1."/>
      <w:numFmt w:val="decimal"/>
      <w:start w:val="9"/>
    </w:lvl>
    <w:lvl w:ilvl="1">
      <w:lvlJc w:val="left"/>
      <w:lvlText w:val="%2"/>
      <w:numFmt w:val="decimal"/>
      <w:start w:val="1"/>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1)"/>
      <w:numFmt w:val="lowerLetter"/>
      <w:start w:val="7"/>
    </w:lvl>
  </w:abstractNum>
  <w:abstractNum w:abstractNumId="11">
    <w:nsid w:val="333AB105"/>
    <w:multiLevelType w:val="hybridMultilevel"/>
    <w:lvl w:ilvl="0">
      <w:lvlJc w:val="left"/>
      <w:lvlText w:val="(%1)"/>
      <w:numFmt w:val="lowerLetter"/>
      <w:start w:val="1"/>
    </w:lvl>
    <w:lvl w:ilvl="1">
      <w:lvlJc w:val="left"/>
      <w:lvlText w:val="(%2)"/>
      <w:numFmt w:val="lowerRoman"/>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lvl w:ilvl="1">
      <w:lvlJc w:val="left"/>
      <w:lvlText w:val="(%2)"/>
      <w:numFmt w:val="lowerLetter"/>
      <w:start w:val="2"/>
    </w:lvl>
  </w:abstractNum>
  <w:abstractNum w:abstractNumId="14">
    <w:nsid w:val="2D1D5AE9"/>
    <w:multiLevelType w:val="hybridMultilevel"/>
    <w:lvl w:ilvl="0">
      <w:lvlJc w:val="left"/>
      <w:lvlText w:val="%1."/>
      <w:numFmt w:val="decimal"/>
      <w:start w:val="2"/>
    </w:lvl>
    <w:lvl w:ilvl="1">
      <w:lvlJc w:val="left"/>
      <w:lvlText w:val="(%2)"/>
      <w:numFmt w:val="lowerLetter"/>
      <w:start w:val="1"/>
    </w:lvl>
  </w:abstractNum>
  <w:abstractNum w:abstractNumId="15">
    <w:nsid w:val="6763845E"/>
    <w:multiLevelType w:val="hybridMultilevel"/>
    <w:lvl w:ilvl="0">
      <w:lvlJc w:val="left"/>
      <w:lvlText w:val="%1."/>
      <w:numFmt w:val="decimal"/>
      <w:start w:val="9"/>
    </w:lvl>
  </w:abstractNum>
  <w:abstractNum w:abstractNumId="16">
    <w:nsid w:val="75A2A8D4"/>
    <w:multiLevelType w:val="hybridMultilevel"/>
    <w:lvl w:ilvl="0">
      <w:lvlJc w:val="left"/>
      <w:lvlText w:val="%1."/>
      <w:numFmt w:val="decimal"/>
      <w:start w:val="10"/>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Letter"/>
      <w:start w:val="1"/>
    </w:lvl>
    <w:lvl w:ilvl="1">
      <w:lvlJc w:val="left"/>
      <w:lvlText w:val="(%2)"/>
      <w:numFmt w:val="lowerRoman"/>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lvl w:ilvl="1">
      <w:lvlJc w:val="left"/>
      <w:lvlText w:val="(%2)"/>
      <w:numFmt w:val="lowerLetter"/>
      <w:start w:val="2"/>
    </w:lvl>
  </w:abstractNum>
  <w:abstractNum w:abstractNumId="23">
    <w:nsid w:val="71F32454"/>
    <w:multiLevelType w:val="hybridMultilevel"/>
    <w:lvl w:ilvl="0">
      <w:lvlJc w:val="left"/>
      <w:lvlText w:val="%1."/>
      <w:numFmt w:val="decimal"/>
      <w:start w:val="2"/>
    </w:lvl>
    <w:lvl w:ilvl="1">
      <w:lvlJc w:val="left"/>
      <w:lvlText w:val="(%2)"/>
      <w:numFmt w:val="lowerLetter"/>
      <w:start w:val="1"/>
    </w:lvl>
  </w:abstractNum>
  <w:abstractNum w:abstractNumId="24">
    <w:nsid w:val="2CA88611"/>
    <w:multiLevelType w:val="hybridMultilevel"/>
    <w:lvl w:ilvl="0">
      <w:lvlJc w:val="left"/>
      <w:lvlText w:val="%1"/>
      <w:numFmt w:val="decimal"/>
      <w:start w:val="1"/>
    </w:lvl>
    <w:lvl w:ilvl="1">
      <w:lvlJc w:val="left"/>
      <w:lvlText w:val="%2."/>
      <w:numFmt w:val="decimal"/>
      <w:start w:val="8"/>
    </w:lvl>
  </w:abstractNum>
  <w:abstractNum w:abstractNumId="25">
    <w:nsid w:val="836C40E"/>
    <w:multiLevelType w:val="hybridMultilevel"/>
    <w:lvl w:ilvl="0">
      <w:lvlJc w:val="left"/>
      <w:lvlText w:val="%1."/>
      <w:numFmt w:val="decimal"/>
      <w:start w:val="9"/>
    </w:lvl>
    <w:lvl w:ilvl="1">
      <w:lvlJc w:val="left"/>
      <w:lvlText w:val="%2"/>
      <w:numFmt w:val="decimal"/>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lowerLetter"/>
      <w:start w:val="1"/>
    </w:lvl>
    <w:lvl w:ilvl="1">
      <w:lvlJc w:val="left"/>
      <w:lvlText w:val="(%2)"/>
      <w:numFmt w:val="lowerRoman"/>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2019-12-07T19:05:54Z</dcterms:created>
  <dcterms:modified xsi:type="dcterms:W3CDTF">2019-12-07T19:05:54Z</dcterms:modified>
</cp:coreProperties>
</file>