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194945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4"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4"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103505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2" w:lineRule="exact"/>
        <w:rPr>
          <w:sz w:val="24"/>
          <w:szCs w:val="24"/>
          <w:color w:val="auto"/>
        </w:rPr>
      </w:pPr>
    </w:p>
    <w:p>
      <w:pPr>
        <w:ind w:left="10"/>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730" w:right="2800" w:hanging="3730"/>
        <w:spacing w:after="0" w:line="324" w:lineRule="auto"/>
        <w:tabs>
          <w:tab w:leader="none" w:pos="42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ind w:left="501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250" w:type="dxa"/>
        <w:tblCellMar>
          <w:top w:w="0" w:type="dxa"/>
          <w:left w:w="0" w:type="dxa"/>
          <w:bottom w:w="0" w:type="dxa"/>
          <w:right w:w="0" w:type="dxa"/>
        </w:tblCellMar>
      </w:tblPr>
      <w:tr>
        <w:trPr>
          <w:trHeight w:val="18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 [</w:t>
            </w:r>
          </w:p>
        </w:tc>
        <w:tc>
          <w:tcPr>
            <w:tcW w:w="840" w:type="dxa"/>
            <w:vAlign w:val="bottom"/>
          </w:tcPr>
          <w:p>
            <w:pPr>
              <w:ind w:left="360"/>
              <w:spacing w:after="0"/>
              <w:rPr>
                <w:sz w:val="20"/>
                <w:szCs w:val="20"/>
                <w:color w:val="auto"/>
              </w:rPr>
            </w:pPr>
            <w:r>
              <w:rPr>
                <w:rFonts w:ascii="Arial" w:cs="Arial" w:eastAsia="Arial" w:hAnsi="Arial"/>
                <w:sz w:val="14"/>
                <w:szCs w:val="14"/>
                <w:b w:val="1"/>
                <w:bCs w:val="1"/>
                <w:color w:val="auto"/>
              </w:rPr>
              <w:t>] to [</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6"/>
        </w:trPr>
        <w:tc>
          <w:tcPr>
            <w:tcW w:w="58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Commission file number: 001-34211</w:t>
            </w:r>
          </w:p>
        </w:tc>
        <w:tc>
          <w:tcPr>
            <w:tcW w:w="580" w:type="dxa"/>
            <w:vAlign w:val="bottom"/>
          </w:tcPr>
          <w:p>
            <w:pPr>
              <w:spacing w:after="0"/>
              <w:rPr>
                <w:sz w:val="18"/>
                <w:szCs w:val="18"/>
                <w:color w:val="auto"/>
              </w:rPr>
            </w:pPr>
          </w:p>
        </w:tc>
      </w:tr>
      <w:tr>
        <w:trPr>
          <w:trHeight w:val="66"/>
        </w:trPr>
        <w:tc>
          <w:tcPr>
            <w:tcW w:w="58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r>
    </w:tbl>
    <w:p>
      <w:pPr>
        <w:spacing w:after="0" w:line="87" w:lineRule="exact"/>
        <w:rPr>
          <w:sz w:val="24"/>
          <w:szCs w:val="24"/>
          <w:color w:val="auto"/>
        </w:rPr>
      </w:pPr>
    </w:p>
    <w:p>
      <w:pPr>
        <w:jc w:val="center"/>
        <w:ind w:right="10"/>
        <w:spacing w:after="0"/>
        <w:rPr>
          <w:sz w:val="20"/>
          <w:szCs w:val="20"/>
          <w:color w:val="auto"/>
        </w:rPr>
      </w:pPr>
      <w:r>
        <w:rPr>
          <w:rFonts w:ascii="Arial" w:cs="Arial" w:eastAsia="Arial" w:hAnsi="Arial"/>
          <w:sz w:val="34"/>
          <w:szCs w:val="34"/>
          <w:b w:val="1"/>
          <w:bCs w:val="1"/>
          <w:color w:val="auto"/>
        </w:rPr>
        <w:t>GRAND CANYON EDUCATION, INC.</w:t>
      </w:r>
    </w:p>
    <w:p>
      <w:pPr>
        <w:spacing w:after="0" w:line="28"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90805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jc w:val="center"/>
              <w:ind w:left="2088"/>
              <w:spacing w:after="0"/>
              <w:rPr>
                <w:sz w:val="20"/>
                <w:szCs w:val="20"/>
                <w:color w:val="auto"/>
              </w:rPr>
            </w:pPr>
            <w:r>
              <w:rPr>
                <w:rFonts w:ascii="Arial" w:cs="Arial" w:eastAsia="Arial" w:hAnsi="Arial"/>
                <w:sz w:val="14"/>
                <w:szCs w:val="14"/>
                <w:b w:val="1"/>
                <w:bCs w:val="1"/>
                <w:color w:val="auto"/>
                <w:w w:val="94"/>
              </w:rPr>
              <w:t>Delaware</w:t>
            </w:r>
          </w:p>
        </w:tc>
        <w:tc>
          <w:tcPr>
            <w:tcW w:w="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20-3356009</w:t>
            </w:r>
          </w:p>
        </w:tc>
        <w:tc>
          <w:tcPr>
            <w:tcW w:w="2200" w:type="dxa"/>
            <w:vAlign w:val="bottom"/>
          </w:tcPr>
          <w:p>
            <w:pPr>
              <w:spacing w:after="0"/>
              <w:rPr>
                <w:sz w:val="14"/>
                <w:szCs w:val="14"/>
                <w:color w:val="auto"/>
              </w:rPr>
            </w:pPr>
          </w:p>
        </w:tc>
      </w:tr>
      <w:tr>
        <w:trPr>
          <w:trHeight w:val="148"/>
        </w:trPr>
        <w:tc>
          <w:tcPr>
            <w:tcW w:w="696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gridSpan w:val="2"/>
          </w:tcPr>
          <w:p>
            <w:pPr>
              <w:jc w:val="center"/>
              <w:ind w:right="18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9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gridSpan w:val="2"/>
          </w:tcPr>
          <w:p>
            <w:pPr>
              <w:jc w:val="center"/>
              <w:ind w:right="1808"/>
              <w:spacing w:after="0"/>
              <w:rPr>
                <w:sz w:val="20"/>
                <w:szCs w:val="20"/>
                <w:color w:val="auto"/>
              </w:rPr>
            </w:pPr>
            <w:r>
              <w:rPr>
                <w:rFonts w:ascii="Arial" w:cs="Arial" w:eastAsia="Arial" w:hAnsi="Arial"/>
                <w:sz w:val="14"/>
                <w:szCs w:val="14"/>
                <w:b w:val="1"/>
                <w:bCs w:val="1"/>
                <w:color w:val="auto"/>
                <w:w w:val="94"/>
              </w:rPr>
              <w:t>Identification No.)</w:t>
            </w:r>
          </w:p>
        </w:tc>
      </w:tr>
      <w:tr>
        <w:trPr>
          <w:trHeight w:val="178"/>
        </w:trPr>
        <w:tc>
          <w:tcPr>
            <w:tcW w:w="2940" w:type="dxa"/>
            <w:vAlign w:val="bottom"/>
          </w:tcPr>
          <w:p>
            <w:pPr>
              <w:spacing w:after="0"/>
              <w:rPr>
                <w:sz w:val="15"/>
                <w:szCs w:val="15"/>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2600 W. Camelback Road, Phoenix, Arizona 85017</w:t>
            </w:r>
          </w:p>
        </w:tc>
        <w:tc>
          <w:tcPr>
            <w:tcW w:w="10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6"/>
        </w:trPr>
        <w:tc>
          <w:tcPr>
            <w:tcW w:w="2940" w:type="dxa"/>
            <w:vAlign w:val="bottom"/>
          </w:tcPr>
          <w:p>
            <w:pPr>
              <w:spacing w:after="0"/>
              <w:rPr>
                <w:sz w:val="16"/>
                <w:szCs w:val="16"/>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0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5100" w:type="dxa"/>
            <w:vAlign w:val="bottom"/>
            <w:gridSpan w:val="4"/>
          </w:tcPr>
          <w:p>
            <w:pPr>
              <w:jc w:val="center"/>
              <w:ind w:right="688"/>
              <w:spacing w:after="0"/>
              <w:rPr>
                <w:sz w:val="20"/>
                <w:szCs w:val="20"/>
                <w:color w:val="auto"/>
              </w:rPr>
            </w:pPr>
            <w:r>
              <w:rPr>
                <w:rFonts w:ascii="Arial" w:cs="Arial" w:eastAsia="Arial" w:hAnsi="Arial"/>
                <w:sz w:val="14"/>
                <w:szCs w:val="14"/>
                <w:b w:val="1"/>
                <w:bCs w:val="1"/>
                <w:color w:val="auto"/>
                <w:w w:val="92"/>
              </w:rPr>
              <w:t>Registrant’s telephone number, including area code: (602) 247-4400</w:t>
            </w:r>
          </w:p>
        </w:tc>
        <w:tc>
          <w:tcPr>
            <w:tcW w:w="2200" w:type="dxa"/>
            <w:vAlign w:val="bottom"/>
          </w:tcPr>
          <w:p>
            <w:pPr>
              <w:spacing w:after="0"/>
              <w:rPr>
                <w:sz w:val="18"/>
                <w:szCs w:val="18"/>
                <w:color w:val="auto"/>
              </w:rPr>
            </w:pPr>
          </w:p>
        </w:tc>
      </w:tr>
      <w:tr>
        <w:trPr>
          <w:trHeight w:val="365"/>
        </w:trPr>
        <w:tc>
          <w:tcPr>
            <w:tcW w:w="2940" w:type="dxa"/>
            <w:vAlign w:val="bottom"/>
          </w:tcPr>
          <w:p>
            <w:pPr>
              <w:spacing w:after="0"/>
              <w:rPr>
                <w:sz w:val="24"/>
                <w:szCs w:val="24"/>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47"/>
        </w:trPr>
        <w:tc>
          <w:tcPr>
            <w:tcW w:w="2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r>
      <w:tr>
        <w:trPr>
          <w:trHeight w:val="142"/>
        </w:trPr>
        <w:tc>
          <w:tcPr>
            <w:tcW w:w="294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Trading Symbol(s)</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2"/>
        </w:trPr>
        <w:tc>
          <w:tcPr>
            <w:tcW w:w="294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Arial" w:cs="Arial" w:eastAsia="Arial" w:hAnsi="Arial"/>
                <w:sz w:val="14"/>
                <w:szCs w:val="14"/>
                <w:color w:val="auto"/>
                <w:w w:val="94"/>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LOPE</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28"/>
              <w:spacing w:after="0" w:line="142" w:lineRule="exact"/>
              <w:rPr>
                <w:sz w:val="20"/>
                <w:szCs w:val="20"/>
                <w:color w:val="auto"/>
              </w:rPr>
            </w:pPr>
            <w:r>
              <w:rPr>
                <w:rFonts w:ascii="Arial" w:cs="Arial" w:eastAsia="Arial" w:hAnsi="Arial"/>
                <w:sz w:val="14"/>
                <w:szCs w:val="14"/>
                <w:color w:val="auto"/>
                <w:w w:val="93"/>
              </w:rPr>
              <w:t>Nasdaq Global Select Market</w:t>
            </w:r>
          </w:p>
        </w:tc>
      </w:tr>
      <w:tr>
        <w:trPr>
          <w:trHeight w:val="470"/>
        </w:trPr>
        <w:tc>
          <w:tcPr>
            <w:tcW w:w="8040" w:type="dxa"/>
            <w:vAlign w:val="bottom"/>
            <w:gridSpan w:val="5"/>
          </w:tcPr>
          <w:p>
            <w:pPr>
              <w:ind w:left="64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2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8040" w:type="dxa"/>
            <w:vAlign w:val="bottom"/>
            <w:gridSpan w:val="5"/>
          </w:tcPr>
          <w:p>
            <w:pPr>
              <w:ind w:left="6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200" w:type="dxa"/>
            <w:vAlign w:val="bottom"/>
          </w:tcPr>
          <w:p>
            <w:pPr>
              <w:jc w:val="center"/>
              <w:ind w:right="14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31" w:lineRule="exact"/>
        <w:rPr>
          <w:sz w:val="24"/>
          <w:szCs w:val="24"/>
          <w:color w:val="auto"/>
        </w:rPr>
      </w:pPr>
    </w:p>
    <w:p>
      <w:pPr>
        <w:ind w:left="10" w:right="200"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0"/>
        <w:spacing w:after="0" w:line="161" w:lineRule="exact"/>
        <w:tabs>
          <w:tab w:leader="none" w:pos="61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10" w:right="8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10" w:right="30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18" w:lineRule="exact"/>
        <w:rPr>
          <w:sz w:val="24"/>
          <w:szCs w:val="24"/>
          <w:color w:val="auto"/>
        </w:rPr>
      </w:pPr>
    </w:p>
    <w:p>
      <w:pPr>
        <w:ind w:left="10" w:right="14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10" w:right="360" w:firstLine="648"/>
        <w:spacing w:after="0" w:line="180"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13" w:lineRule="exact"/>
        <w:rPr>
          <w:sz w:val="24"/>
          <w:szCs w:val="24"/>
          <w:color w:val="auto"/>
        </w:rPr>
      </w:pPr>
    </w:p>
    <w:p>
      <w:pPr>
        <w:ind w:left="10" w:right="120" w:firstLine="648"/>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13" w:lineRule="exact"/>
        <w:rPr>
          <w:sz w:val="24"/>
          <w:szCs w:val="24"/>
          <w:color w:val="auto"/>
        </w:rPr>
      </w:pPr>
    </w:p>
    <w:p>
      <w:pPr>
        <w:ind w:left="10" w:right="120" w:firstLine="648"/>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ind w:left="650" w:right="142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total number of shares of common stock outstanding as of February 14, 2023 was 31,039,407.</w:t>
      </w:r>
    </w:p>
    <w:p>
      <w:pPr>
        <w:spacing w:after="0" w:line="34" w:lineRule="exact"/>
        <w:rPr>
          <w:sz w:val="24"/>
          <w:szCs w:val="24"/>
          <w:color w:val="auto"/>
        </w:rPr>
      </w:pPr>
    </w:p>
    <w:p>
      <w:pPr>
        <w:ind w:left="10" w:right="40" w:firstLine="648"/>
        <w:spacing w:after="0" w:line="253"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registrant’s common stock was listed on the NASDAQ Global Market. As of June 30, 2022, the aggregate market value of the registrant’s common stock held by non-affiliates was approximately $3.0 billion.</w:t>
      </w:r>
    </w:p>
    <w:p>
      <w:pPr>
        <w:spacing w:after="0" w:line="21"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10" w:right="400" w:firstLine="648"/>
        <w:spacing w:after="0" w:line="253" w:lineRule="auto"/>
        <w:rPr>
          <w:sz w:val="20"/>
          <w:szCs w:val="20"/>
          <w:color w:val="auto"/>
        </w:rPr>
      </w:pPr>
      <w:r>
        <w:rPr>
          <w:rFonts w:ascii="Arial" w:cs="Arial" w:eastAsia="Arial" w:hAnsi="Arial"/>
          <w:sz w:val="14"/>
          <w:szCs w:val="14"/>
          <w:color w:val="auto"/>
        </w:rPr>
        <w:t>Certain portions of the registrant’s Definitive Proxy Statement for its 2023 Annual Meeting of Stockholders (which is expected to be filed with the Commission within 120 days after the end of the registrant’s 2022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430530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53340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63"/>
        </w:trPr>
        <w:tc>
          <w:tcPr>
            <w:tcW w:w="8460" w:type="dxa"/>
            <w:vAlign w:val="bottom"/>
            <w:gridSpan w:val="30"/>
          </w:tcPr>
          <w:p>
            <w:pPr>
              <w:spacing w:after="0"/>
              <w:rPr>
                <w:sz w:val="20"/>
                <w:szCs w:val="20"/>
                <w:color w:val="auto"/>
              </w:rPr>
            </w:pPr>
            <w:r>
              <w:rPr>
                <w:rFonts w:ascii="Arial" w:cs="Arial" w:eastAsia="Arial" w:hAnsi="Arial"/>
                <w:sz w:val="18"/>
                <w:szCs w:val="18"/>
                <w:color w:val="0000EE"/>
              </w:rPr>
              <w:t>Special Note Regarding Forward-Looking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5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4"/>
              </w:rPr>
              <w:t>PART I</w:t>
            </w:r>
          </w:p>
        </w:tc>
        <w:tc>
          <w:tcPr>
            <w:tcW w:w="3280" w:type="dxa"/>
            <w:vAlign w:val="bottom"/>
            <w:tcBorders>
              <w:top w:val="single" w:sz="8" w:color="0000EE"/>
            </w:tcBorders>
            <w:gridSpan w:val="17"/>
          </w:tcPr>
          <w:p>
            <w:pPr>
              <w:spacing w:after="0"/>
              <w:rPr>
                <w:sz w:val="24"/>
                <w:szCs w:val="24"/>
                <w:color w:val="auto"/>
              </w:rPr>
            </w:pPr>
          </w:p>
        </w:tc>
        <w:tc>
          <w:tcPr>
            <w:tcW w:w="460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420" w:type="dxa"/>
            <w:vAlign w:val="bottom"/>
          </w:tcPr>
          <w:p>
            <w:pPr>
              <w:spacing w:after="0"/>
              <w:rPr>
                <w:sz w:val="24"/>
                <w:szCs w:val="24"/>
                <w:color w:val="auto"/>
              </w:rPr>
            </w:pPr>
          </w:p>
        </w:tc>
        <w:tc>
          <w:tcPr>
            <w:tcW w:w="12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Item 1. Business</w:t>
            </w:r>
          </w:p>
        </w:tc>
        <w:tc>
          <w:tcPr>
            <w:tcW w:w="6840" w:type="dxa"/>
            <w:vAlign w:val="bottom"/>
            <w:gridSpan w:val="2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0"/>
        </w:trPr>
        <w:tc>
          <w:tcPr>
            <w:tcW w:w="42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Item 1A. Risk Factors</w:t>
            </w:r>
          </w:p>
        </w:tc>
        <w:tc>
          <w:tcPr>
            <w:tcW w:w="644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1"/>
        </w:trPr>
        <w:tc>
          <w:tcPr>
            <w:tcW w:w="420" w:type="dxa"/>
            <w:vAlign w:val="bottom"/>
          </w:tcPr>
          <w:p>
            <w:pPr>
              <w:spacing w:after="0"/>
              <w:rPr>
                <w:sz w:val="24"/>
                <w:szCs w:val="24"/>
                <w:color w:val="auto"/>
              </w:rPr>
            </w:pPr>
          </w:p>
        </w:tc>
        <w:tc>
          <w:tcPr>
            <w:tcW w:w="8040" w:type="dxa"/>
            <w:vAlign w:val="bottom"/>
            <w:gridSpan w:val="29"/>
          </w:tcPr>
          <w:p>
            <w:pPr>
              <w:spacing w:after="0"/>
              <w:rPr>
                <w:sz w:val="20"/>
                <w:szCs w:val="20"/>
                <w:color w:val="auto"/>
              </w:rPr>
            </w:pPr>
            <w:r>
              <w:rPr>
                <w:rFonts w:ascii="Arial" w:cs="Arial" w:eastAsia="Arial" w:hAnsi="Arial"/>
                <w:sz w:val="18"/>
                <w:szCs w:val="18"/>
                <w:color w:val="0000EE"/>
              </w:rPr>
              <w:t>Item 1B. Unresolved Staff Comments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0"/>
        </w:trPr>
        <w:tc>
          <w:tcPr>
            <w:tcW w:w="420" w:type="dxa"/>
            <w:vAlign w:val="bottom"/>
          </w:tcPr>
          <w:p>
            <w:pPr>
              <w:spacing w:after="0"/>
              <w:rPr>
                <w:sz w:val="24"/>
                <w:szCs w:val="24"/>
                <w:color w:val="auto"/>
              </w:rPr>
            </w:pPr>
          </w:p>
        </w:tc>
        <w:tc>
          <w:tcPr>
            <w:tcW w:w="27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2. Properties</w:t>
            </w:r>
          </w:p>
        </w:tc>
        <w:tc>
          <w:tcPr>
            <w:tcW w:w="53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19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Item 3. Legal Proceedings</w:t>
            </w:r>
          </w:p>
        </w:tc>
        <w:tc>
          <w:tcPr>
            <w:tcW w:w="614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sz w:val="20"/>
                <w:szCs w:val="20"/>
                <w:color w:val="auto"/>
              </w:rPr>
            </w:pPr>
            <w:r>
              <w:rPr>
                <w:rFonts w:ascii="Arial" w:cs="Arial" w:eastAsia="Arial" w:hAnsi="Arial"/>
                <w:sz w:val="18"/>
                <w:szCs w:val="18"/>
                <w:color w:val="0000EE"/>
              </w:rPr>
              <w:t>Item 4. Mine Safety Disclosures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8460" w:type="dxa"/>
            <w:vAlign w:val="bottom"/>
            <w:gridSpan w:val="30"/>
          </w:tcPr>
          <w:p>
            <w:pPr>
              <w:spacing w:after="0"/>
              <w:rPr>
                <w:sz w:val="20"/>
                <w:szCs w:val="20"/>
                <w:color w:val="auto"/>
              </w:rPr>
            </w:pPr>
            <w:r>
              <w:rPr>
                <w:rFonts w:ascii="Arial" w:cs="Arial" w:eastAsia="Arial" w:hAnsi="Arial"/>
                <w:sz w:val="18"/>
                <w:szCs w:val="18"/>
                <w:b w:val="1"/>
                <w:bCs w:val="1"/>
                <w:color w:val="0000EE"/>
              </w:rPr>
              <w:t>PART II</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78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0"/>
              </w:rPr>
              <w:t>Item 5. Market for Registrant’s Common Equity, Related Stockholder Matters and Issuer Purchases of Equity</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Securities</w:t>
            </w:r>
          </w:p>
        </w:tc>
        <w:tc>
          <w:tcPr>
            <w:tcW w:w="732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sz w:val="20"/>
                <w:szCs w:val="20"/>
                <w:color w:val="auto"/>
              </w:rPr>
            </w:pPr>
            <w:r>
              <w:rPr>
                <w:rFonts w:ascii="Arial" w:cs="Arial" w:eastAsia="Arial" w:hAnsi="Arial"/>
                <w:sz w:val="18"/>
                <w:szCs w:val="18"/>
                <w:color w:val="0000EE"/>
              </w:rPr>
              <w:t>Item 6. [Reserved]</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0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1"/>
              </w:rPr>
              <w:t>Item 7. Management’s Discussion and Analysis of Financial Condition and Results of Operations</w:t>
            </w:r>
          </w:p>
        </w:tc>
        <w:tc>
          <w:tcPr>
            <w:tcW w:w="10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0"/>
        </w:trPr>
        <w:tc>
          <w:tcPr>
            <w:tcW w:w="420" w:type="dxa"/>
            <w:vAlign w:val="bottom"/>
          </w:tcPr>
          <w:p>
            <w:pPr>
              <w:spacing w:after="0"/>
              <w:rPr>
                <w:sz w:val="24"/>
                <w:szCs w:val="24"/>
                <w:color w:val="auto"/>
              </w:rPr>
            </w:pPr>
          </w:p>
        </w:tc>
        <w:tc>
          <w:tcPr>
            <w:tcW w:w="50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2"/>
              </w:rPr>
              <w:t>Item 7A. Quantitative and Qualitative Disclosures about Market Risk</w:t>
            </w:r>
          </w:p>
        </w:tc>
        <w:tc>
          <w:tcPr>
            <w:tcW w:w="304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90"/>
        </w:trPr>
        <w:tc>
          <w:tcPr>
            <w:tcW w:w="420" w:type="dxa"/>
            <w:vAlign w:val="bottom"/>
          </w:tcPr>
          <w:p>
            <w:pPr>
              <w:spacing w:after="0"/>
              <w:rPr>
                <w:sz w:val="24"/>
                <w:szCs w:val="24"/>
                <w:color w:val="auto"/>
              </w:rPr>
            </w:pPr>
          </w:p>
        </w:tc>
        <w:tc>
          <w:tcPr>
            <w:tcW w:w="48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Item 8. Consolidated Financial Statements and Supplementary Data</w:t>
            </w:r>
          </w:p>
        </w:tc>
        <w:tc>
          <w:tcPr>
            <w:tcW w:w="31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sz w:val="20"/>
                <w:szCs w:val="20"/>
                <w:color w:val="auto"/>
              </w:rPr>
            </w:pPr>
            <w:r>
              <w:rPr>
                <w:rFonts w:ascii="Arial" w:cs="Arial" w:eastAsia="Arial" w:hAnsi="Arial"/>
                <w:sz w:val="18"/>
                <w:szCs w:val="18"/>
                <w:color w:val="0000EE"/>
              </w:rPr>
              <w:t>Item 9. Changes in and Disagreements With Accountants on Accounting and Financial Disclosure</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0"/>
        </w:trPr>
        <w:tc>
          <w:tcPr>
            <w:tcW w:w="4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89"/>
              </w:rPr>
              <w:t>Item 9A. Controls and Procedures</w:t>
            </w:r>
          </w:p>
        </w:tc>
        <w:tc>
          <w:tcPr>
            <w:tcW w:w="4600" w:type="dxa"/>
            <w:vAlign w:val="bottom"/>
            <w:tcBorders>
              <w:top w:val="single" w:sz="8" w:color="0000EE"/>
            </w:tcBorders>
            <w:gridSpan w:val="10"/>
          </w:tcPr>
          <w:p>
            <w:pPr>
              <w:spacing w:after="0"/>
              <w:rPr>
                <w:sz w:val="24"/>
                <w:szCs w:val="24"/>
                <w:color w:val="auto"/>
              </w:rPr>
            </w:pPr>
          </w:p>
        </w:tc>
        <w:tc>
          <w:tcPr>
            <w:tcW w:w="9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1"/>
        </w:trPr>
        <w:tc>
          <w:tcPr>
            <w:tcW w:w="420" w:type="dxa"/>
            <w:vAlign w:val="bottom"/>
          </w:tcPr>
          <w:p>
            <w:pPr>
              <w:spacing w:after="0"/>
              <w:rPr>
                <w:sz w:val="24"/>
                <w:szCs w:val="24"/>
                <w:color w:val="auto"/>
              </w:rPr>
            </w:pPr>
          </w:p>
        </w:tc>
        <w:tc>
          <w:tcPr>
            <w:tcW w:w="20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Item 9B. Other Information</w:t>
            </w:r>
          </w:p>
        </w:tc>
        <w:tc>
          <w:tcPr>
            <w:tcW w:w="604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90"/>
        </w:trPr>
        <w:tc>
          <w:tcPr>
            <w:tcW w:w="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rPr>
              <w:t>PART III</w:t>
            </w:r>
          </w:p>
        </w:tc>
        <w:tc>
          <w:tcPr>
            <w:tcW w:w="774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sz w:val="20"/>
                <w:szCs w:val="20"/>
                <w:color w:val="auto"/>
              </w:rPr>
            </w:pPr>
            <w:r>
              <w:rPr>
                <w:rFonts w:ascii="Arial" w:cs="Arial" w:eastAsia="Arial" w:hAnsi="Arial"/>
                <w:sz w:val="18"/>
                <w:szCs w:val="18"/>
                <w:color w:val="0000EE"/>
              </w:rPr>
              <w:t>Item 10. Directors, Executive Officers and Corporate Governance</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90"/>
        </w:trPr>
        <w:tc>
          <w:tcPr>
            <w:tcW w:w="420" w:type="dxa"/>
            <w:vAlign w:val="bottom"/>
          </w:tcPr>
          <w:p>
            <w:pPr>
              <w:spacing w:after="0"/>
              <w:rPr>
                <w:sz w:val="24"/>
                <w:szCs w:val="24"/>
                <w:color w:val="auto"/>
              </w:rPr>
            </w:pPr>
          </w:p>
        </w:tc>
        <w:tc>
          <w:tcPr>
            <w:tcW w:w="474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Item 11. Executive Compensation</w:t>
            </w:r>
          </w:p>
        </w:tc>
        <w:tc>
          <w:tcPr>
            <w:tcW w:w="33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sz w:val="20"/>
                <w:szCs w:val="20"/>
                <w:color w:val="auto"/>
              </w:rPr>
            </w:pPr>
            <w:r>
              <w:rPr>
                <w:rFonts w:ascii="Arial" w:cs="Arial" w:eastAsia="Arial" w:hAnsi="Arial"/>
                <w:sz w:val="18"/>
                <w:szCs w:val="18"/>
                <w:color w:val="0000EE"/>
                <w:w w:val="99"/>
              </w:rPr>
              <w:t>Item 12. Security Ownership of Certain Beneficial Owners and Management and Related Stockholder</w:t>
            </w: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Matters</w:t>
            </w:r>
          </w:p>
        </w:tc>
        <w:tc>
          <w:tcPr>
            <w:tcW w:w="6780" w:type="dxa"/>
            <w:vAlign w:val="bottom"/>
            <w:tcBorders>
              <w:top w:val="single" w:sz="8" w:color="0000EE"/>
            </w:tcBorders>
            <w:gridSpan w:val="22"/>
          </w:tcPr>
          <w:p>
            <w:pPr>
              <w:spacing w:after="0"/>
              <w:rPr>
                <w:sz w:val="17"/>
                <w:szCs w:val="17"/>
                <w:color w:val="auto"/>
              </w:rPr>
            </w:pPr>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90"/>
        </w:trPr>
        <w:tc>
          <w:tcPr>
            <w:tcW w:w="420" w:type="dxa"/>
            <w:vAlign w:val="bottom"/>
          </w:tcPr>
          <w:p>
            <w:pPr>
              <w:spacing w:after="0"/>
              <w:rPr>
                <w:sz w:val="24"/>
                <w:szCs w:val="24"/>
                <w:color w:val="auto"/>
              </w:rPr>
            </w:pPr>
          </w:p>
        </w:tc>
        <w:tc>
          <w:tcPr>
            <w:tcW w:w="61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9"/>
              </w:rPr>
              <w:t>Item 13. Certain Relationships and Related Transactions, and Director Independence</w:t>
            </w:r>
          </w:p>
        </w:tc>
        <w:tc>
          <w:tcPr>
            <w:tcW w:w="19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0"/>
        </w:trPr>
        <w:tc>
          <w:tcPr>
            <w:tcW w:w="42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Item 14. Principal Accounting Fees and Services</w:t>
            </w:r>
          </w:p>
        </w:tc>
        <w:tc>
          <w:tcPr>
            <w:tcW w:w="452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0"/>
        </w:trPr>
        <w:tc>
          <w:tcPr>
            <w:tcW w:w="8460" w:type="dxa"/>
            <w:vAlign w:val="bottom"/>
            <w:gridSpan w:val="30"/>
          </w:tcPr>
          <w:p>
            <w:pPr>
              <w:spacing w:after="0"/>
              <w:rPr>
                <w:sz w:val="20"/>
                <w:szCs w:val="20"/>
                <w:color w:val="auto"/>
              </w:rPr>
            </w:pPr>
            <w:r>
              <w:rPr>
                <w:rFonts w:ascii="Arial" w:cs="Arial" w:eastAsia="Arial" w:hAnsi="Arial"/>
                <w:sz w:val="18"/>
                <w:szCs w:val="18"/>
                <w:b w:val="1"/>
                <w:bCs w:val="1"/>
                <w:color w:val="0000EE"/>
              </w:rPr>
              <w:t>PART IV</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15"/>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48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Item 15. Exhibits and Consolidated Financial Statement Schedules</w:t>
            </w:r>
          </w:p>
        </w:tc>
        <w:tc>
          <w:tcPr>
            <w:tcW w:w="324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0"/>
        </w:trPr>
        <w:tc>
          <w:tcPr>
            <w:tcW w:w="9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Exhibit Index</w:t>
            </w:r>
          </w:p>
        </w:tc>
        <w:tc>
          <w:tcPr>
            <w:tcW w:w="7480" w:type="dxa"/>
            <w:vAlign w:val="bottom"/>
            <w:gridSpan w:val="2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1"/>
        </w:trPr>
        <w:tc>
          <w:tcPr>
            <w:tcW w:w="11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SIGNATURES</w:t>
            </w:r>
          </w:p>
        </w:tc>
        <w:tc>
          <w:tcPr>
            <w:tcW w:w="7360" w:type="dxa"/>
            <w:vAlign w:val="bottom"/>
            <w:gridSpan w:val="2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 xml:space="preserve">This Annual Report on Form 10-K,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contains certain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p>
      <w:pPr>
        <w:spacing w:after="0" w:line="166" w:lineRule="exact"/>
        <w:rPr>
          <w:sz w:val="20"/>
          <w:szCs w:val="20"/>
          <w:color w:val="auto"/>
        </w:rPr>
      </w:pPr>
    </w:p>
    <w:p>
      <w:pPr>
        <w:ind w:left="1500" w:right="459" w:hanging="329"/>
        <w:spacing w:after="0" w:line="258"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university partners resulting from epidemics, pandemics, or public health crises;</w:t>
      </w:r>
    </w:p>
    <w:p>
      <w:pPr>
        <w:spacing w:after="0" w:line="1" w:lineRule="exact"/>
        <w:rPr>
          <w:rFonts w:ascii="Arial" w:cs="Arial" w:eastAsia="Arial" w:hAnsi="Arial"/>
          <w:sz w:val="18"/>
          <w:szCs w:val="18"/>
          <w:color w:val="auto"/>
        </w:rPr>
      </w:pPr>
    </w:p>
    <w:p>
      <w:pPr>
        <w:ind w:left="1500" w:right="9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ind w:left="1500" w:right="27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 w:lineRule="exact"/>
        <w:rPr>
          <w:rFonts w:ascii="Arial" w:cs="Arial" w:eastAsia="Arial" w:hAnsi="Arial"/>
          <w:sz w:val="18"/>
          <w:szCs w:val="18"/>
          <w:color w:val="auto"/>
        </w:rPr>
      </w:pPr>
    </w:p>
    <w:p>
      <w:pPr>
        <w:jc w:val="both"/>
        <w:ind w:left="1500" w:right="47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 w:lineRule="exact"/>
        <w:rPr>
          <w:rFonts w:ascii="Arial" w:cs="Arial" w:eastAsia="Arial" w:hAnsi="Arial"/>
          <w:sz w:val="18"/>
          <w:szCs w:val="18"/>
          <w:color w:val="auto"/>
        </w:rPr>
      </w:pPr>
    </w:p>
    <w:p>
      <w:pPr>
        <w:ind w:left="1500" w:right="23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jc w:val="both"/>
        <w:ind w:left="1500" w:right="579" w:hanging="329"/>
        <w:spacing w:after="0" w:line="265"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ind w:left="1500" w:right="19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ED applicable to us directly or indirectly through our university partners;</w:t>
      </w:r>
    </w:p>
    <w:p>
      <w:pPr>
        <w:spacing w:after="0" w:line="1" w:lineRule="exact"/>
        <w:rPr>
          <w:rFonts w:ascii="Arial" w:cs="Arial" w:eastAsia="Arial" w:hAnsi="Arial"/>
          <w:sz w:val="18"/>
          <w:szCs w:val="18"/>
          <w:color w:val="auto"/>
        </w:rPr>
      </w:pPr>
    </w:p>
    <w:p>
      <w:pPr>
        <w:ind w:left="1500" w:right="559" w:hanging="329"/>
        <w:spacing w:after="0" w:line="265"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from other education service companies in our geographic region and market sector, including competition for students, qualified executives and other personnel;</w:t>
      </w:r>
    </w:p>
    <w:p>
      <w:pPr>
        <w:ind w:left="1500" w:hanging="32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pace of growth of our university partners’ enrollment and its effect on the pace of our own growth;</w:t>
      </w:r>
    </w:p>
    <w:p>
      <w:pPr>
        <w:spacing w:after="0" w:line="32" w:lineRule="exact"/>
        <w:rPr>
          <w:rFonts w:ascii="Arial" w:cs="Arial" w:eastAsia="Arial" w:hAnsi="Arial"/>
          <w:sz w:val="16"/>
          <w:szCs w:val="16"/>
          <w:color w:val="auto"/>
        </w:rPr>
      </w:pPr>
    </w:p>
    <w:p>
      <w:pPr>
        <w:ind w:left="1500" w:hanging="32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9" w:lineRule="exact"/>
        <w:rPr>
          <w:rFonts w:ascii="Arial" w:cs="Arial" w:eastAsia="Arial" w:hAnsi="Arial"/>
          <w:sz w:val="18"/>
          <w:szCs w:val="18"/>
          <w:color w:val="auto"/>
        </w:rPr>
      </w:pPr>
    </w:p>
    <w:p>
      <w:pPr>
        <w:ind w:left="1500" w:right="359" w:hanging="329"/>
        <w:spacing w:after="0" w:line="26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139" w:hanging="329"/>
        <w:spacing w:after="0" w:line="258"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 w:lineRule="exact"/>
        <w:rPr>
          <w:rFonts w:ascii="Arial" w:cs="Arial" w:eastAsia="Arial" w:hAnsi="Arial"/>
          <w:sz w:val="18"/>
          <w:szCs w:val="18"/>
          <w:color w:val="auto"/>
        </w:rPr>
      </w:pPr>
    </w:p>
    <w:p>
      <w:pPr>
        <w:ind w:left="1500" w:right="65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partners;</w:t>
      </w:r>
    </w:p>
    <w:p>
      <w:pPr>
        <w:ind w:left="1500" w:right="2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w:t>
      </w:r>
    </w:p>
    <w:p>
      <w:pPr>
        <w:spacing w:after="0" w:line="9" w:lineRule="exact"/>
        <w:rPr>
          <w:rFonts w:ascii="Arial" w:cs="Arial" w:eastAsia="Arial" w:hAnsi="Arial"/>
          <w:sz w:val="18"/>
          <w:szCs w:val="18"/>
          <w:color w:val="auto"/>
        </w:rPr>
      </w:pPr>
    </w:p>
    <w:p>
      <w:pPr>
        <w:ind w:left="1500" w:right="6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 and</w:t>
      </w:r>
    </w:p>
    <w:p>
      <w:pPr>
        <w:ind w:left="1500" w:right="139" w:hanging="329"/>
        <w:spacing w:after="0" w:line="26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8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Grand Canyon Education, Inc., a Delaware corporation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 and at four off-campus classroom and laboratory sites. As of December 31, 2022, GCE provided education services and support to approximately 113,000 students with more than 108,600 students enrolled in GCU’s programs, emphases and certificates.</w:t>
      </w:r>
    </w:p>
    <w:p>
      <w:pPr>
        <w:spacing w:after="0" w:line="165" w:lineRule="exact"/>
        <w:rPr>
          <w:sz w:val="20"/>
          <w:szCs w:val="20"/>
          <w:color w:val="auto"/>
        </w:rPr>
      </w:pPr>
    </w:p>
    <w:p>
      <w:pPr>
        <w:ind w:left="60" w:right="319" w:firstLine="648"/>
        <w:spacing w:after="0" w:line="289" w:lineRule="auto"/>
        <w:rPr>
          <w:sz w:val="20"/>
          <w:szCs w:val="20"/>
          <w:color w:val="auto"/>
        </w:rPr>
      </w:pPr>
      <w:r>
        <w:rPr>
          <w:rFonts w:ascii="Arial" w:cs="Arial" w:eastAsia="Arial" w:hAnsi="Arial"/>
          <w:sz w:val="16"/>
          <w:szCs w:val="16"/>
          <w:color w:val="auto"/>
        </w:rPr>
        <w:t>In January 2019, GCE began providing education services to numerous university partners across the United States through our wholly owned subsidiary, Orbis Education Services LLC (“Orbis Education”), which we acquired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2022, GCE provided education services to 27 university partners across the United States.</w:t>
      </w:r>
    </w:p>
    <w:p>
      <w:pPr>
        <w:spacing w:after="0" w:line="16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GCE is an education services company with 27 university partners as of December 31, 2022. We have invested over $291.8 million in the last 14 years in technology which includes the cost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Suite of Services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color w:val="auto"/>
        </w:rPr>
        <w:t>We provide technology and academic services that can include the ongoing maintenance of our university partners’ educational infrastructure, including online course delivery and management, student records, assessment,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customer relations management and other internal administrative systems. These services can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Technology Services may include the following:</w:t>
      </w:r>
    </w:p>
    <w:p>
      <w:pPr>
        <w:spacing w:after="0" w:line="225" w:lineRule="exact"/>
        <w:rPr>
          <w:sz w:val="20"/>
          <w:szCs w:val="20"/>
          <w:color w:val="auto"/>
        </w:rPr>
      </w:pPr>
    </w:p>
    <w:p>
      <w:pPr>
        <w:ind w:left="1500" w:right="99" w:hanging="329"/>
        <w:spacing w:after="0" w:line="28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Learning Management System (“LMS”) - GCE designed and offers to its university partners a new LMS, called Halo. GCU started utilizing Halo in the Fall of 2021 and has completed the transition of all of its students to the new LMS. The basic functionality includes an interactive course syllabus, discussion questions and forums, instruction interaction, class quizzes, group assignments, written assignment submission and rubrics, grading, participation, attendance and integration with our student information system. The functions in Halo have been reimagined to work more intuitively with new user interface design and more seamless ways of accomplishing the same tasks. Halo was designed as a “Cloud native” application taking advantage of all the performance and reliability features of the Cloud. Halo supports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This platform can easily and reliably scale as student populations increase. The platform provides in-depth analytics that allow us to closely monitor student success and the quality of instructional resources. GCE also designed its previous learning management system, LoudCloud which GCU used beginning in 2011.</w:t>
      </w:r>
    </w:p>
    <w:p>
      <w:pPr>
        <w:spacing w:after="0" w:line="11" w:lineRule="exact"/>
        <w:rPr>
          <w:rFonts w:ascii="Arial" w:cs="Arial" w:eastAsia="Arial" w:hAnsi="Arial"/>
          <w:sz w:val="16"/>
          <w:szCs w:val="16"/>
          <w:color w:val="auto"/>
        </w:rPr>
      </w:pPr>
    </w:p>
    <w:p>
      <w:pPr>
        <w:ind w:left="1500" w:right="159" w:hanging="329"/>
        <w:spacing w:after="0" w:line="265"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1" w:lineRule="exact"/>
        <w:rPr>
          <w:rFonts w:ascii="Arial" w:cs="Arial" w:eastAsia="Arial" w:hAnsi="Arial"/>
          <w:sz w:val="17"/>
          <w:szCs w:val="17"/>
          <w:color w:val="auto"/>
        </w:rPr>
      </w:pPr>
    </w:p>
    <w:p>
      <w:pPr>
        <w:ind w:left="1500" w:right="179" w:hanging="329"/>
        <w:spacing w:after="0" w:line="265"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Infrastructure - We operate two data centers, one at GCU’s campus and one at another Phoenix-area location.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1" w:lineRule="exact"/>
        <w:rPr>
          <w:rFonts w:ascii="Arial" w:cs="Arial" w:eastAsia="Arial" w:hAnsi="Arial"/>
          <w:sz w:val="17"/>
          <w:szCs w:val="17"/>
          <w:color w:val="auto"/>
        </w:rPr>
      </w:pPr>
    </w:p>
    <w:p>
      <w:pPr>
        <w:ind w:left="1500" w:right="99" w:hanging="329"/>
        <w:spacing w:after="0" w:line="260"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 We provide 18/7 technical support for students and faculty. There are two systems utilized by GCE to provide these services.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Academic Services may include the following:</w:t>
      </w:r>
    </w:p>
    <w:p>
      <w:pPr>
        <w:spacing w:after="0" w:line="225" w:lineRule="exact"/>
        <w:rPr>
          <w:sz w:val="20"/>
          <w:szCs w:val="20"/>
          <w:color w:val="auto"/>
        </w:rPr>
      </w:pPr>
    </w:p>
    <w:p>
      <w:pPr>
        <w:ind w:left="1500" w:right="99" w:hanging="329"/>
        <w:spacing w:after="0" w:line="285"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1" w:lineRule="exact"/>
        <w:rPr>
          <w:rFonts w:ascii="Arial" w:cs="Arial" w:eastAsia="Arial" w:hAnsi="Arial"/>
          <w:sz w:val="16"/>
          <w:szCs w:val="16"/>
          <w:color w:val="auto"/>
        </w:rPr>
      </w:pPr>
    </w:p>
    <w:p>
      <w:pPr>
        <w:ind w:left="1500" w:right="139" w:hanging="329"/>
        <w:spacing w:after="0" w:line="290"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 Many of the health sciences specific faculty development resources are accredited by the International Association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699"/>
        <w:spacing w:after="0" w:line="258" w:lineRule="auto"/>
        <w:rPr>
          <w:sz w:val="20"/>
          <w:szCs w:val="20"/>
          <w:color w:val="auto"/>
        </w:rPr>
      </w:pPr>
      <w:r>
        <w:rPr>
          <w:rFonts w:ascii="Arial" w:cs="Arial" w:eastAsia="Arial" w:hAnsi="Arial"/>
          <w:sz w:val="18"/>
          <w:szCs w:val="18"/>
          <w:color w:val="auto"/>
        </w:rPr>
        <w:t>Continuing Education and Training (“IACET”) and the American Nurses Credentialing Center (“ANCC”) allowing faculty to earn continuing education credits.</w:t>
      </w:r>
    </w:p>
    <w:p>
      <w:pPr>
        <w:spacing w:after="0" w:line="1" w:lineRule="exact"/>
        <w:rPr>
          <w:sz w:val="20"/>
          <w:szCs w:val="20"/>
          <w:color w:val="auto"/>
        </w:rPr>
      </w:pPr>
    </w:p>
    <w:p>
      <w:pPr>
        <w:jc w:val="both"/>
        <w:ind w:left="1500" w:right="79" w:hanging="329"/>
        <w:spacing w:after="0" w:line="281" w:lineRule="auto"/>
        <w:tabs>
          <w:tab w:leader="none" w:pos="1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 courses in a myriad of online or onsite options. We optimize class size prior to course starts based on university partner standards, in order to maximize class resources and faculty utilization.</w:t>
      </w:r>
    </w:p>
    <w:p>
      <w:pPr>
        <w:spacing w:after="0" w:line="2" w:lineRule="exact"/>
        <w:rPr>
          <w:rFonts w:ascii="Arial" w:cs="Arial" w:eastAsia="Arial" w:hAnsi="Arial"/>
          <w:sz w:val="16"/>
          <w:szCs w:val="16"/>
          <w:color w:val="auto"/>
        </w:rPr>
      </w:pPr>
    </w:p>
    <w:p>
      <w:pPr>
        <w:ind w:left="1500" w:right="119" w:hanging="329"/>
        <w:spacing w:after="0" w:line="287" w:lineRule="auto"/>
        <w:tabs>
          <w:tab w:leader="none" w:pos="1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Skills and Simulation Lab Sites – GCE secures, develops and finances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 The laboratories contain the latest in skills and simulation learning technology; including computer-based scenarios, hands-on work with physical simulators and internally developed Mixed Reality (“MR”) with state-of-the-art technology, which help students gain unique experiences in an alternative clinical setting.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Counseling Services and Support may include the following:</w:t>
      </w:r>
    </w:p>
    <w:p>
      <w:pPr>
        <w:spacing w:after="0" w:line="225" w:lineRule="exact"/>
        <w:rPr>
          <w:sz w:val="20"/>
          <w:szCs w:val="20"/>
          <w:color w:val="auto"/>
        </w:rPr>
      </w:pPr>
    </w:p>
    <w:p>
      <w:pPr>
        <w:ind w:left="1500" w:right="219" w:hanging="329"/>
        <w:spacing w:after="0" w:line="253"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1" w:lineRule="exact"/>
        <w:rPr>
          <w:rFonts w:ascii="Arial" w:cs="Arial" w:eastAsia="Arial" w:hAnsi="Arial"/>
          <w:sz w:val="18"/>
          <w:szCs w:val="18"/>
          <w:color w:val="auto"/>
        </w:rPr>
      </w:pPr>
    </w:p>
    <w:p>
      <w:pPr>
        <w:ind w:left="1500" w:right="79" w:hanging="329"/>
        <w:spacing w:after="0" w:line="265"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1" w:lineRule="exact"/>
        <w:rPr>
          <w:rFonts w:ascii="Arial" w:cs="Arial" w:eastAsia="Arial" w:hAnsi="Arial"/>
          <w:sz w:val="17"/>
          <w:szCs w:val="17"/>
          <w:color w:val="auto"/>
        </w:rPr>
      </w:pPr>
    </w:p>
    <w:p>
      <w:pPr>
        <w:ind w:left="1500" w:right="79" w:hanging="329"/>
        <w:spacing w:after="0" w:line="265"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pacing w:after="0" w:line="1" w:lineRule="exact"/>
        <w:rPr>
          <w:rFonts w:ascii="Arial" w:cs="Arial" w:eastAsia="Arial" w:hAnsi="Arial"/>
          <w:sz w:val="17"/>
          <w:szCs w:val="17"/>
          <w:color w:val="auto"/>
        </w:rPr>
      </w:pPr>
    </w:p>
    <w:p>
      <w:pPr>
        <w:ind w:left="1500" w:right="179" w:hanging="329"/>
        <w:spacing w:after="0" w:line="290" w:lineRule="auto"/>
        <w:tabs>
          <w:tab w:leader="none" w:pos="1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Field Experience Counseling – For university partner students pursuing programs that lead to external credentials (e.g., teaching, nursing, counseling, social work,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1139"/>
        <w:spacing w:after="0" w:line="342" w:lineRule="auto"/>
        <w:rPr>
          <w:sz w:val="20"/>
          <w:szCs w:val="20"/>
          <w:color w:val="auto"/>
        </w:rPr>
      </w:pPr>
      <w:r>
        <w:rPr>
          <w:rFonts w:ascii="Arial" w:cs="Arial" w:eastAsia="Arial" w:hAnsi="Arial"/>
          <w:sz w:val="16"/>
          <w:szCs w:val="16"/>
          <w:color w:val="auto"/>
        </w:rPr>
        <w:t>requirements are met well in advance of deadlines. GCE assists in gathering all required documentation, verifying it as official, and storing it as part of the student’s record.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 provide marketing and communication services that include lead acquisition, digital communication strategies, brand identity advertising, media planning and strategy, video, data science and analysis to potential students and other promotional and communication services.</w:t>
      </w:r>
    </w:p>
    <w:p>
      <w:pPr>
        <w:spacing w:after="0" w:line="18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GCE’s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Marketing and Communication services may include the following:</w:t>
      </w:r>
    </w:p>
    <w:p>
      <w:pPr>
        <w:spacing w:after="0" w:line="225" w:lineRule="exact"/>
        <w:rPr>
          <w:sz w:val="20"/>
          <w:szCs w:val="20"/>
          <w:color w:val="auto"/>
        </w:rPr>
      </w:pPr>
    </w:p>
    <w:p>
      <w:pPr>
        <w:ind w:left="1500" w:right="159" w:hanging="329"/>
        <w:spacing w:after="0" w:line="287" w:lineRule="auto"/>
        <w:tabs>
          <w:tab w:leader="none" w:pos="1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2" w:lineRule="exact"/>
        <w:rPr>
          <w:rFonts w:ascii="Arial" w:cs="Arial" w:eastAsia="Arial" w:hAnsi="Arial"/>
          <w:sz w:val="16"/>
          <w:szCs w:val="16"/>
          <w:color w:val="auto"/>
        </w:rPr>
      </w:pPr>
    </w:p>
    <w:p>
      <w:pPr>
        <w:ind w:left="1500" w:right="11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1" w:lineRule="exact"/>
        <w:rPr>
          <w:rFonts w:ascii="Arial" w:cs="Arial" w:eastAsia="Arial" w:hAnsi="Arial"/>
          <w:sz w:val="18"/>
          <w:szCs w:val="18"/>
          <w:color w:val="auto"/>
        </w:rPr>
      </w:pPr>
    </w:p>
    <w:p>
      <w:pPr>
        <w:ind w:left="1500" w:right="13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Identity – GCE’s award-winning team of specialists have proven track records of developing strong brands and ensuring the right image is exposed to the consumer. GCE specializes in storytelling shaped by logo creation, positioning taglines, campaign and content development, custom music, and sonic branding.</w:t>
      </w:r>
    </w:p>
    <w:p>
      <w:pPr>
        <w:spacing w:after="0" w:line="1" w:lineRule="exact"/>
        <w:rPr>
          <w:rFonts w:ascii="Arial" w:cs="Arial" w:eastAsia="Arial" w:hAnsi="Arial"/>
          <w:sz w:val="18"/>
          <w:szCs w:val="18"/>
          <w:color w:val="auto"/>
        </w:rPr>
      </w:pPr>
    </w:p>
    <w:p>
      <w:pPr>
        <w:ind w:left="1500" w:right="279" w:hanging="329"/>
        <w:spacing w:after="0" w:line="265"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Media Planning and Strategy –GCE offers full-service media planning and strategies that are built to grow sophisticated brands through traditional and digital media platforms. GCE understands today’s culture and how content is consumed in the everchanging world of media. GCE creates robust strategies that build long lasting connections with proven results.</w:t>
      </w:r>
    </w:p>
    <w:p>
      <w:pPr>
        <w:ind w:left="1500" w:right="219" w:hanging="329"/>
        <w:spacing w:after="0" w:line="281" w:lineRule="auto"/>
        <w:tabs>
          <w:tab w:leader="none" w:pos="1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Video – GCE’s team of in-house video experts specialize in high-quality content expanding across a wide variety of marketing channels. Capabilities include broadcast-quality commercials, explainer videos, mini- and full-length documentaries, original programming, animations, motion graphics, and short, stackable video content for a variety of social media channels. GCE enhances its internal team with preferred partners to help offset workload and provide scalability of production requirements.</w:t>
      </w:r>
    </w:p>
    <w:p>
      <w:pPr>
        <w:spacing w:after="0" w:line="2" w:lineRule="exact"/>
        <w:rPr>
          <w:rFonts w:ascii="Arial" w:cs="Arial" w:eastAsia="Arial" w:hAnsi="Arial"/>
          <w:sz w:val="16"/>
          <w:szCs w:val="16"/>
          <w:color w:val="auto"/>
        </w:rPr>
      </w:pPr>
    </w:p>
    <w:p>
      <w:pPr>
        <w:ind w:left="1500" w:right="159" w:hanging="329"/>
        <w:spacing w:after="0" w:line="265"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Intelligence and Data Science – GCE employs a team of in-house data analysis professionals who apply descriptive and prescriptive analytics to help understand the marketplace and facilitate important business decisions. GCE specializes in all aspects of data analytics and science, including predictive modeling, data mining and visualization to enrich today’s technology and data-driven marketplace, while providing the information required for success.</w:t>
      </w:r>
    </w:p>
    <w:p>
      <w:pPr>
        <w:ind w:left="1500" w:right="119" w:hanging="329"/>
        <w:spacing w:after="0" w:line="253"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Research – GCE’s market research professionals survey market, population and job data for various locations across the country in order to make data-driven recommendations for new sites, partnerships, and educational offerings that will maximize reach and impact and provide education and career training to the areas where it will be most impactful.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Back-Office Services</w:t>
      </w:r>
    </w:p>
    <w:p>
      <w:pPr>
        <w:spacing w:after="0" w:line="225"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In addition, we currently provide certain requested back-office services to GCU that include finance, human resources, audit, and other corporate functions.</w:t>
      </w:r>
    </w:p>
    <w:p>
      <w:pPr>
        <w:spacing w:after="0" w:line="170" w:lineRule="exact"/>
        <w:rPr>
          <w:sz w:val="20"/>
          <w:szCs w:val="20"/>
          <w:color w:val="auto"/>
        </w:rPr>
      </w:pPr>
    </w:p>
    <w:p>
      <w:pPr>
        <w:jc w:val="both"/>
        <w:ind w:left="1500" w:right="139" w:hanging="329"/>
        <w:spacing w:after="0" w:line="255"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Finance and accounting </w:t>
      </w:r>
      <w:r>
        <w:rPr>
          <w:rFonts w:ascii="Arial" w:cs="Arial" w:eastAsia="Arial" w:hAnsi="Arial"/>
          <w:sz w:val="18"/>
          <w:szCs w:val="18"/>
          <w:color w:val="auto"/>
        </w:rPr>
        <w:t>- Finance and accounting services include administration of payroll,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general ledger, student accounting, financial reporting, budgeting and taxes at the direction of GCU.</w:t>
      </w:r>
    </w:p>
    <w:p>
      <w:pPr>
        <w:spacing w:after="0" w:line="2" w:lineRule="exact"/>
        <w:rPr>
          <w:rFonts w:ascii="Arial" w:cs="Arial" w:eastAsia="Arial" w:hAnsi="Arial"/>
          <w:sz w:val="18"/>
          <w:szCs w:val="18"/>
          <w:color w:val="auto"/>
        </w:rPr>
      </w:pPr>
    </w:p>
    <w:p>
      <w:pPr>
        <w:ind w:left="1500" w:right="379" w:hanging="329"/>
        <w:spacing w:after="0" w:line="250"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Human Resources </w:t>
      </w:r>
      <w:r>
        <w:rPr>
          <w:rFonts w:ascii="Arial" w:cs="Arial" w:eastAsia="Arial" w:hAnsi="Arial"/>
          <w:sz w:val="18"/>
          <w:szCs w:val="18"/>
          <w:color w:val="auto"/>
        </w:rPr>
        <w:t>- Human resources services include administration of performance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policies, recruitment and onboarding of new personnel, and benefit plan design and procurement, among others.</w:t>
      </w:r>
    </w:p>
    <w:p>
      <w:pPr>
        <w:spacing w:after="0" w:line="1" w:lineRule="exact"/>
        <w:rPr>
          <w:rFonts w:ascii="Arial" w:cs="Arial" w:eastAsia="Arial" w:hAnsi="Arial"/>
          <w:sz w:val="18"/>
          <w:szCs w:val="18"/>
          <w:color w:val="auto"/>
        </w:rPr>
      </w:pPr>
    </w:p>
    <w:p>
      <w:pPr>
        <w:ind w:left="1500" w:right="439" w:hanging="329"/>
        <w:spacing w:after="0" w:line="250"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 Audit services include development and administration of a GCU approved annual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audit plan and execution of the audit plan for the service period.</w:t>
      </w:r>
    </w:p>
    <w:p>
      <w:pPr>
        <w:ind w:left="1500" w:right="159" w:hanging="329"/>
        <w:spacing w:after="0" w:line="255"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Procurement </w:t>
      </w:r>
      <w:r>
        <w:rPr>
          <w:rFonts w:ascii="Arial" w:cs="Arial" w:eastAsia="Arial" w:hAnsi="Arial"/>
          <w:sz w:val="18"/>
          <w:szCs w:val="18"/>
          <w:color w:val="auto"/>
        </w:rPr>
        <w:t>- Procurement services include management of purchasing and vendor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travel services, review of vendor contracts, and maintenance of contracts in the procurement system.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Social Responsibility and Human Capital Development</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Social responsibility and human capital development are significant focuses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161" w:lineRule="exact"/>
        <w:rPr>
          <w:sz w:val="20"/>
          <w:szCs w:val="20"/>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University education is too expensive;</w:t>
      </w:r>
    </w:p>
    <w:p>
      <w:pPr>
        <w:spacing w:after="0" w:line="23"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Students are taking on too much debt;</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Bachelor degrees are taking too long to complete;</w:t>
      </w:r>
    </w:p>
    <w:p>
      <w:pPr>
        <w:spacing w:after="0" w:line="9" w:lineRule="exact"/>
        <w:rPr>
          <w:rFonts w:ascii="Arial" w:cs="Arial" w:eastAsia="Arial" w:hAnsi="Arial"/>
          <w:sz w:val="18"/>
          <w:szCs w:val="18"/>
          <w:color w:val="auto"/>
        </w:rPr>
      </w:pPr>
    </w:p>
    <w:p>
      <w:pPr>
        <w:ind w:left="1500" w:right="139" w:hanging="329"/>
        <w:spacing w:after="0" w:line="250"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tuition increases, diversity decreases;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Universities have inadequate counseling and support services, especially for distance learners;</w:t>
      </w:r>
    </w:p>
    <w:p>
      <w:pPr>
        <w:spacing w:after="0" w:line="20" w:lineRule="exact"/>
        <w:rPr>
          <w:rFonts w:ascii="Arial" w:cs="Arial" w:eastAsia="Arial" w:hAnsi="Arial"/>
          <w:sz w:val="17"/>
          <w:szCs w:val="17"/>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Most university professors have no formal training in teaching, learning or course design;</w:t>
      </w:r>
    </w:p>
    <w:p>
      <w:pPr>
        <w:spacing w:after="0" w:line="9" w:lineRule="exact"/>
        <w:rPr>
          <w:rFonts w:ascii="Arial" w:cs="Arial" w:eastAsia="Arial" w:hAnsi="Arial"/>
          <w:sz w:val="18"/>
          <w:szCs w:val="18"/>
          <w:color w:val="auto"/>
        </w:rPr>
      </w:pPr>
    </w:p>
    <w:p>
      <w:pPr>
        <w:ind w:left="1500" w:right="299" w:hanging="329"/>
        <w:spacing w:after="0" w:line="323" w:lineRule="auto"/>
        <w:tabs>
          <w:tab w:leader="none" w:pos="1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Universities are under significant financial pressure, which has only been enhanced during 2020 and 2021 due to the pandemic and a declining number of high school graduates attending college.</w:t>
      </w:r>
    </w:p>
    <w:p>
      <w:pPr>
        <w:spacing w:after="0" w:line="13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 xml:space="preserve">We provide the capital, technology and expertise to our university partners to lessen the challenges in each of the areas listed above (see </w:t>
      </w:r>
      <w:r>
        <w:rPr>
          <w:rFonts w:ascii="Arial" w:cs="Arial" w:eastAsia="Arial" w:hAnsi="Arial"/>
          <w:sz w:val="16"/>
          <w:szCs w:val="16"/>
          <w:i w:val="1"/>
          <w:iCs w:val="1"/>
          <w:color w:val="auto"/>
        </w:rPr>
        <w:t>Item 1. Business – Suite of Services</w:t>
      </w:r>
      <w:r>
        <w:rPr>
          <w:rFonts w:ascii="Arial" w:cs="Arial" w:eastAsia="Arial" w:hAnsi="Arial"/>
          <w:sz w:val="16"/>
          <w:szCs w:val="16"/>
          <w:color w:val="auto"/>
        </w:rPr>
        <w:t>).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and the pandemic has put pressure on their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i w:val="1"/>
          <w:iCs w:val="1"/>
          <w:color w:val="auto"/>
        </w:rPr>
        <w:t xml:space="preserve">Community Involvement by GCE and its Employees. </w:t>
      </w:r>
      <w:r>
        <w:rPr>
          <w:rFonts w:ascii="Arial" w:cs="Arial" w:eastAsia="Arial" w:hAnsi="Arial"/>
          <w:sz w:val="18"/>
          <w:szCs w:val="18"/>
          <w:color w:val="auto"/>
        </w:rPr>
        <w:t>Examples of activities in which we and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include:</w:t>
      </w:r>
    </w:p>
    <w:p>
      <w:pPr>
        <w:spacing w:after="0" w:line="170" w:lineRule="exact"/>
        <w:rPr>
          <w:sz w:val="20"/>
          <w:szCs w:val="20"/>
          <w:color w:val="auto"/>
        </w:rPr>
      </w:pPr>
    </w:p>
    <w:p>
      <w:pPr>
        <w:ind w:left="1040" w:right="99" w:hanging="315"/>
        <w:spacing w:after="0" w:line="273"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Improving Our Neighborhood and Increased Home Values - </w:t>
      </w:r>
      <w:r>
        <w:rPr>
          <w:rFonts w:ascii="Arial" w:cs="Arial" w:eastAsia="Arial" w:hAnsi="Arial"/>
          <w:sz w:val="17"/>
          <w:szCs w:val="17"/>
          <w:color w:val="auto"/>
        </w:rPr>
        <w:t>Together with Habitat for Humanity and in</w:t>
      </w:r>
      <w:r>
        <w:rPr>
          <w:rFonts w:ascii="Arial" w:cs="Arial" w:eastAsia="Arial" w:hAnsi="Arial"/>
          <w:sz w:val="17"/>
          <w:szCs w:val="17"/>
          <w:i w:val="1"/>
          <w:iCs w:val="1"/>
          <w:color w:val="auto"/>
        </w:rPr>
        <w:t xml:space="preserve"> </w:t>
      </w:r>
      <w:r>
        <w:rPr>
          <w:rFonts w:ascii="Arial" w:cs="Arial" w:eastAsia="Arial" w:hAnsi="Arial"/>
          <w:sz w:val="17"/>
          <w:szCs w:val="17"/>
          <w:color w:val="auto"/>
        </w:rPr>
        <w:t>concert with our largest university partner, we are participating in the largest home renovation project in the country in the West Phoenix area surrounding GCU’s campus. As of December 31, 2022, 1,109 projects have been completed in which 30,000 hours have been logged by volunteers. These efforts, combined with GCE and GCU’s expanded presence in the community, have contributed to a significant increase in home values since 2011 in the 85017 zip code.</w:t>
      </w:r>
    </w:p>
    <w:p>
      <w:pPr>
        <w:spacing w:after="0" w:line="177" w:lineRule="exact"/>
        <w:rPr>
          <w:rFonts w:ascii="Arial" w:cs="Arial" w:eastAsia="Arial" w:hAnsi="Arial"/>
          <w:sz w:val="17"/>
          <w:szCs w:val="17"/>
          <w:color w:val="auto"/>
        </w:rPr>
      </w:pPr>
    </w:p>
    <w:p>
      <w:pPr>
        <w:ind w:left="1040" w:right="199" w:hanging="315"/>
        <w:spacing w:after="0" w:line="286"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Furthering Job Creation - </w:t>
      </w:r>
      <w:r>
        <w:rPr>
          <w:rFonts w:ascii="Arial" w:cs="Arial" w:eastAsia="Arial" w:hAnsi="Arial"/>
          <w:sz w:val="17"/>
          <w:szCs w:val="17"/>
          <w:color w:val="auto"/>
        </w:rPr>
        <w:t>We, along with GCU have launched a number of new business enterprises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reduced costs, provided management opportunities for recent graduates and employment opportunities for students and neighborhood residents, while spurring economic growth in the area.</w:t>
      </w:r>
    </w:p>
    <w:p>
      <w:pPr>
        <w:spacing w:after="0" w:line="165" w:lineRule="exact"/>
        <w:rPr>
          <w:rFonts w:ascii="Arial" w:cs="Arial" w:eastAsia="Arial" w:hAnsi="Arial"/>
          <w:sz w:val="17"/>
          <w:szCs w:val="17"/>
          <w:color w:val="auto"/>
        </w:rPr>
      </w:pPr>
    </w:p>
    <w:p>
      <w:pPr>
        <w:ind w:left="1040" w:right="119" w:hanging="315"/>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Special Olympics </w:t>
      </w:r>
      <w:r>
        <w:rPr>
          <w:rFonts w:ascii="Arial" w:cs="Arial" w:eastAsia="Arial" w:hAnsi="Arial"/>
          <w:sz w:val="18"/>
          <w:szCs w:val="18"/>
          <w:color w:val="auto"/>
        </w:rPr>
        <w:t>- We participate in the annual Plane Pull Challenge, which benefits Special Olympics</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(SOIN) athletes. The “Orbeasts” go head-to-head in a tug of war with a Boeing FedEx 757 jetliner in SOIN’s largest single-day fundraiser. This event offers a unique opportunity for organizations to team build and work together to raise important funds for SOIN athletes. The vision of Special Olympics Indiana is that sport will open hearts and minds towards people with intellectual disabilities and create inclusive communities across the state and throughout the world.</w:t>
      </w:r>
    </w:p>
    <w:p>
      <w:pPr>
        <w:spacing w:after="0" w:line="192"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Youth Opportunity Foundation - </w:t>
      </w:r>
      <w:r>
        <w:rPr>
          <w:rFonts w:ascii="Arial" w:cs="Arial" w:eastAsia="Arial" w:hAnsi="Arial"/>
          <w:sz w:val="18"/>
          <w:szCs w:val="18"/>
          <w:color w:val="auto"/>
        </w:rPr>
        <w:t>Our employees volunteer and donate time and funds to the Youth</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Foundation which provides advocacy, clinical treatment, education and workforce development for at-risk young people in underprivileged areas.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GCE also invests in the following activities that benefit the community.</w:t>
      </w:r>
    </w:p>
    <w:p>
      <w:pPr>
        <w:spacing w:after="0" w:line="225" w:lineRule="exact"/>
        <w:rPr>
          <w:sz w:val="20"/>
          <w:szCs w:val="20"/>
          <w:color w:val="auto"/>
        </w:rPr>
      </w:pPr>
    </w:p>
    <w:p>
      <w:pPr>
        <w:ind w:left="1040" w:right="199" w:hanging="315"/>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Funding of Student Tuition Organizations - </w:t>
      </w:r>
      <w:r>
        <w:rPr>
          <w:rFonts w:ascii="Arial" w:cs="Arial" w:eastAsia="Arial" w:hAnsi="Arial"/>
          <w:sz w:val="18"/>
          <w:szCs w:val="18"/>
          <w:color w:val="auto"/>
        </w:rPr>
        <w:t>GCE contributes to private school tuition organizations,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entities that allocate financial contributions toward tuition assistance and scholarships for disadvantaged students to attend Arizona private schools. In each of 2022 and 2021, we contributed $5.0 million to these organizations.</w:t>
      </w:r>
    </w:p>
    <w:p>
      <w:pPr>
        <w:spacing w:after="0" w:line="186" w:lineRule="exact"/>
        <w:rPr>
          <w:rFonts w:ascii="Arial" w:cs="Arial" w:eastAsia="Arial" w:hAnsi="Arial"/>
          <w:sz w:val="18"/>
          <w:szCs w:val="18"/>
          <w:color w:val="auto"/>
        </w:rPr>
      </w:pPr>
    </w:p>
    <w:p>
      <w:pPr>
        <w:ind w:left="1040" w:right="219" w:hanging="315"/>
        <w:spacing w:after="0" w:line="25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Encouraging Employee Giving - </w:t>
      </w:r>
      <w:r>
        <w:rPr>
          <w:rFonts w:ascii="Arial" w:cs="Arial" w:eastAsia="Arial" w:hAnsi="Arial"/>
          <w:sz w:val="18"/>
          <w:szCs w:val="18"/>
          <w:color w:val="auto"/>
        </w:rPr>
        <w:t>We participate in Donate to Elevate, a program that encourages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187" w:lineRule="exact"/>
        <w:rPr>
          <w:rFonts w:ascii="Arial" w:cs="Arial" w:eastAsia="Arial" w:hAnsi="Arial"/>
          <w:sz w:val="18"/>
          <w:szCs w:val="18"/>
          <w:color w:val="auto"/>
        </w:rPr>
      </w:pPr>
    </w:p>
    <w:p>
      <w:pPr>
        <w:ind w:left="1040" w:right="239" w:hanging="315"/>
        <w:spacing w:after="0" w:line="27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Students Inspiring Students - </w:t>
      </w:r>
      <w:r>
        <w:rPr>
          <w:rFonts w:ascii="Arial" w:cs="Arial" w:eastAsia="Arial" w:hAnsi="Arial"/>
          <w:sz w:val="17"/>
          <w:szCs w:val="17"/>
          <w:color w:val="auto"/>
        </w:rPr>
        <w:t>GCE continues to support GCU’s free tutoring/mentoring program that serves</w:t>
      </w:r>
      <w:r>
        <w:rPr>
          <w:rFonts w:ascii="Arial" w:cs="Arial" w:eastAsia="Arial" w:hAnsi="Arial"/>
          <w:sz w:val="17"/>
          <w:szCs w:val="17"/>
          <w:i w:val="1"/>
          <w:iCs w:val="1"/>
          <w:color w:val="auto"/>
        </w:rPr>
        <w:t xml:space="preserve"> </w:t>
      </w:r>
      <w:r>
        <w:rPr>
          <w:rFonts w:ascii="Arial" w:cs="Arial" w:eastAsia="Arial" w:hAnsi="Arial"/>
          <w:sz w:val="17"/>
          <w:szCs w:val="17"/>
          <w:color w:val="auto"/>
        </w:rPr>
        <w:t>Phoenix-area K-12 schools. Students who seek academic assistance in the GCU Learning Lounge may become eligible to receive the Students Inspiring Students full-tuition scholarship. To serve our clients and community, we seek donations to fund this neighborhood scholarship program.</w:t>
      </w:r>
    </w:p>
    <w:p>
      <w:pPr>
        <w:spacing w:after="0" w:line="171" w:lineRule="exact"/>
        <w:rPr>
          <w:rFonts w:ascii="Arial" w:cs="Arial" w:eastAsia="Arial" w:hAnsi="Arial"/>
          <w:sz w:val="17"/>
          <w:szCs w:val="17"/>
          <w:color w:val="auto"/>
        </w:rPr>
      </w:pPr>
    </w:p>
    <w:p>
      <w:pPr>
        <w:ind w:left="1040" w:right="159" w:hanging="315"/>
        <w:spacing w:after="0" w:line="271"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Sponsoring K-12 Educational Development - </w:t>
      </w:r>
      <w:r>
        <w:rPr>
          <w:rFonts w:ascii="Arial" w:cs="Arial" w:eastAsia="Arial" w:hAnsi="Arial"/>
          <w:sz w:val="17"/>
          <w:szCs w:val="17"/>
          <w:color w:val="auto"/>
        </w:rPr>
        <w:t>GCE supports GCU’s K-12 Educational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301"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Continuing Community Involvement - </w:t>
      </w:r>
      <w:r>
        <w:rPr>
          <w:rFonts w:ascii="Arial" w:cs="Arial" w:eastAsia="Arial" w:hAnsi="Arial"/>
          <w:sz w:val="16"/>
          <w:szCs w:val="16"/>
          <w:color w:val="auto"/>
        </w:rPr>
        <w:t>GCE and our employees partner in countless other community events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157" w:lineRule="exact"/>
        <w:rPr>
          <w:sz w:val="20"/>
          <w:szCs w:val="20"/>
          <w:color w:val="auto"/>
        </w:rPr>
      </w:pPr>
    </w:p>
    <w:p>
      <w:pPr>
        <w:ind w:left="60" w:right="319" w:firstLine="648"/>
        <w:spacing w:after="0" w:line="255" w:lineRule="auto"/>
        <w:rPr>
          <w:sz w:val="20"/>
          <w:szCs w:val="20"/>
          <w:color w:val="auto"/>
        </w:rPr>
      </w:pPr>
      <w:r>
        <w:rPr>
          <w:rFonts w:ascii="Arial" w:cs="Arial" w:eastAsia="Arial" w:hAnsi="Arial"/>
          <w:sz w:val="18"/>
          <w:szCs w:val="18"/>
          <w:color w:val="auto"/>
        </w:rPr>
        <w:t>In addition, GCE has historically partnered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programs such as Serve the City, Canyon Kids, Salute Our Troops, Colter Commons senior home visits and the Run to Fight Children’s Cancer.</w:t>
      </w:r>
    </w:p>
    <w:p>
      <w:pPr>
        <w:spacing w:after="0" w:line="192"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We believe that we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our culture.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17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i w:val="1"/>
          <w:iCs w:val="1"/>
          <w:color w:val="auto"/>
        </w:rPr>
        <w:t xml:space="preserve">Our Commitment to Diversity. </w:t>
      </w:r>
      <w:r>
        <w:rPr>
          <w:rFonts w:ascii="Arial" w:cs="Arial" w:eastAsia="Arial" w:hAnsi="Arial"/>
          <w:sz w:val="18"/>
          <w:szCs w:val="18"/>
          <w:color w:val="auto"/>
        </w:rPr>
        <w:t>A growing body of evidence suggests that diverse teams improve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outcomes and support innovation, resiliency, and productivity. GCE’s commitment to fostering diversity in its community is evident in the following:</w:t>
      </w:r>
    </w:p>
    <w:p>
      <w:pPr>
        <w:spacing w:after="0" w:line="184" w:lineRule="exact"/>
        <w:rPr>
          <w:sz w:val="20"/>
          <w:szCs w:val="20"/>
          <w:color w:val="auto"/>
        </w:rPr>
      </w:pPr>
    </w:p>
    <w:p>
      <w:pPr>
        <w:ind w:left="1040" w:right="119" w:hanging="315"/>
        <w:spacing w:after="0" w:line="286"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Our Diversity Statement - </w:t>
      </w:r>
      <w:r>
        <w:rPr>
          <w:rFonts w:ascii="Arial" w:cs="Arial" w:eastAsia="Arial" w:hAnsi="Arial"/>
          <w:sz w:val="16"/>
          <w:szCs w:val="16"/>
          <w:color w:val="auto"/>
        </w:rPr>
        <w:t>Grand Canyon Education is a faith-friendly shared services provider that embraces</w:t>
      </w:r>
      <w:r>
        <w:rPr>
          <w:rFonts w:ascii="Arial" w:cs="Arial" w:eastAsia="Arial" w:hAnsi="Arial"/>
          <w:sz w:val="16"/>
          <w:szCs w:val="16"/>
          <w:i w:val="1"/>
          <w:iCs w:val="1"/>
          <w:color w:val="auto"/>
        </w:rPr>
        <w:t xml:space="preserve"> </w:t>
      </w:r>
      <w:r>
        <w:rPr>
          <w:rFonts w:ascii="Arial" w:cs="Arial" w:eastAsia="Arial" w:hAnsi="Arial"/>
          <w:sz w:val="16"/>
          <w:szCs w:val="16"/>
          <w:color w:val="auto"/>
        </w:rPr>
        <w:t>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173" w:lineRule="exact"/>
        <w:rPr>
          <w:rFonts w:ascii="Arial" w:cs="Arial" w:eastAsia="Arial" w:hAnsi="Arial"/>
          <w:sz w:val="16"/>
          <w:szCs w:val="16"/>
          <w:color w:val="auto"/>
        </w:rPr>
      </w:pPr>
    </w:p>
    <w:p>
      <w:pPr>
        <w:ind w:left="1040" w:right="239" w:hanging="315"/>
        <w:spacing w:after="0" w:line="25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Our Diverse Leadership </w:t>
      </w:r>
      <w:r>
        <w:rPr>
          <w:rFonts w:ascii="Arial" w:cs="Arial" w:eastAsia="Arial" w:hAnsi="Arial"/>
          <w:sz w:val="18"/>
          <w:szCs w:val="18"/>
          <w:color w:val="auto"/>
        </w:rPr>
        <w:t>- Our ability to attract and retain diverse talent is reflected at both the 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levels. Three of our six directors are women and two directors identify with an underrepresented diverse ethnicity. In addition, for all of our employees at the level of manager and above totaling 605 persons, 68.8% are held by women and other diverse persons, collectively, an increase of 1.2% over 2021.</w:t>
      </w:r>
    </w:p>
    <w:p>
      <w:pPr>
        <w:spacing w:after="0" w:line="187" w:lineRule="exact"/>
        <w:rPr>
          <w:rFonts w:ascii="Arial" w:cs="Arial" w:eastAsia="Arial" w:hAnsi="Arial"/>
          <w:sz w:val="18"/>
          <w:szCs w:val="18"/>
          <w:color w:val="auto"/>
        </w:rPr>
      </w:pPr>
    </w:p>
    <w:p>
      <w:pPr>
        <w:ind w:left="1040" w:right="79" w:hanging="315"/>
        <w:spacing w:after="0" w:line="293"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Our Diverse Workforce </w:t>
      </w:r>
      <w:r>
        <w:rPr>
          <w:rFonts w:ascii="Arial" w:cs="Arial" w:eastAsia="Arial" w:hAnsi="Arial"/>
          <w:sz w:val="16"/>
          <w:szCs w:val="16"/>
          <w:color w:val="auto"/>
        </w:rPr>
        <w:t>- As of December 31, 2022, for all of our employees totaling 5,500, 79.8% are</w:t>
      </w:r>
      <w:r>
        <w:rPr>
          <w:rFonts w:ascii="Arial" w:cs="Arial" w:eastAsia="Arial" w:hAnsi="Arial"/>
          <w:sz w:val="16"/>
          <w:szCs w:val="16"/>
          <w:i w:val="1"/>
          <w:iCs w:val="1"/>
          <w:color w:val="auto"/>
        </w:rPr>
        <w:t xml:space="preserve"> </w:t>
      </w:r>
      <w:r>
        <w:rPr>
          <w:rFonts w:ascii="Arial" w:cs="Arial" w:eastAsia="Arial" w:hAnsi="Arial"/>
          <w:sz w:val="16"/>
          <w:szCs w:val="16"/>
          <w:color w:val="auto"/>
        </w:rPr>
        <w:t>women and other diverse persons, collectively, an increase of 1.5% over 2021. As of December 31, 2022, GCE employed approximately 3,920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at December 31, 2022, GCE employed approximately 1,580</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spacing w:after="0" w:line="342" w:lineRule="auto"/>
        <w:rPr>
          <w:sz w:val="20"/>
          <w:szCs w:val="20"/>
          <w:color w:val="auto"/>
        </w:rPr>
      </w:pPr>
      <w:r>
        <w:rPr>
          <w:rFonts w:ascii="Arial" w:cs="Arial" w:eastAsia="Arial" w:hAnsi="Arial"/>
          <w:sz w:val="16"/>
          <w:szCs w:val="16"/>
          <w:color w:val="auto"/>
        </w:rPr>
        <w:t>part-time employees most of whom are student workers. None of our employees are a party to any collective bargaining or similar agreement with us. We consider our relations with our employees to be strong.</w:t>
      </w:r>
    </w:p>
    <w:p>
      <w:pPr>
        <w:spacing w:after="0" w:line="124" w:lineRule="exact"/>
        <w:rPr>
          <w:sz w:val="20"/>
          <w:szCs w:val="20"/>
          <w:color w:val="auto"/>
        </w:rPr>
      </w:pPr>
    </w:p>
    <w:p>
      <w:pPr>
        <w:ind w:left="1040" w:right="199" w:hanging="315"/>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Our Hiring Practices and Policies </w:t>
      </w:r>
      <w:r>
        <w:rPr>
          <w:rFonts w:ascii="Arial" w:cs="Arial" w:eastAsia="Arial" w:hAnsi="Arial"/>
          <w:sz w:val="18"/>
          <w:szCs w:val="18"/>
          <w:color w:val="auto"/>
        </w:rPr>
        <w:t>- GCE ensures company diversity through hiring policies and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support diversity such as the Equal Employment Opportunity Policy, Nondiscrimination and Anti-Harassment Policy and Complaint Procedure, and the Disability Accommodation Policy. We post all open positions to a variety of diversity-related job boards to ensure we attract diverse candidates. We also collect and analyze employee demographic data to identify current trends and areas of opportunity in regard to our diversity efforts.</w:t>
      </w:r>
    </w:p>
    <w:p>
      <w:pPr>
        <w:spacing w:after="0" w:line="192" w:lineRule="exact"/>
        <w:rPr>
          <w:rFonts w:ascii="Arial" w:cs="Arial" w:eastAsia="Arial" w:hAnsi="Arial"/>
          <w:sz w:val="18"/>
          <w:szCs w:val="18"/>
          <w:color w:val="auto"/>
        </w:rPr>
      </w:pPr>
    </w:p>
    <w:p>
      <w:pPr>
        <w:ind w:left="1040" w:right="259" w:hanging="315"/>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Diversity Training </w:t>
      </w:r>
      <w:r>
        <w:rPr>
          <w:rFonts w:ascii="Arial" w:cs="Arial" w:eastAsia="Arial" w:hAnsi="Arial"/>
          <w:sz w:val="18"/>
          <w:szCs w:val="18"/>
          <w:color w:val="auto"/>
        </w:rPr>
        <w:t>- We provide employees and management with regular diversity training. New hires all</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anti-discrimination and harassment training within 3 months of starting at GCE. Thereafter, all employees complete the training every other year, while management undertakes it annually. We have also provided Implicit Bias Training to all employees.</w:t>
      </w:r>
    </w:p>
    <w:p>
      <w:pPr>
        <w:spacing w:after="0" w:line="187"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 xml:space="preserve">Employee Learning and Development (ELD) Services. </w:t>
      </w:r>
      <w:r>
        <w:rPr>
          <w:rFonts w:ascii="Arial" w:cs="Arial" w:eastAsia="Arial" w:hAnsi="Arial"/>
          <w:sz w:val="17"/>
          <w:szCs w:val="17"/>
          <w:color w:val="auto"/>
        </w:rPr>
        <w:t>We provide learning and development support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177"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i w:val="1"/>
          <w:iCs w:val="1"/>
          <w:color w:val="auto"/>
        </w:rPr>
        <w:t xml:space="preserve">Employee Tuition Benefit </w:t>
      </w:r>
      <w:r>
        <w:rPr>
          <w:rFonts w:ascii="Arial" w:cs="Arial" w:eastAsia="Arial" w:hAnsi="Arial"/>
          <w:sz w:val="16"/>
          <w:szCs w:val="16"/>
          <w:color w:val="auto"/>
        </w:rPr>
        <w:t>– GCE promotes the concept of lifelong learning and supports this concept by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its 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16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 xml:space="preserve">Monitoring employee engagement and satisfaction </w:t>
      </w:r>
      <w:r>
        <w:rPr>
          <w:rFonts w:ascii="Arial" w:cs="Arial" w:eastAsia="Arial" w:hAnsi="Arial"/>
          <w:sz w:val="17"/>
          <w:szCs w:val="17"/>
          <w:color w:val="auto"/>
        </w:rPr>
        <w:t>– GCE administered a survey with all of its employees to</w:t>
      </w:r>
      <w:r>
        <w:rPr>
          <w:rFonts w:ascii="Arial" w:cs="Arial" w:eastAsia="Arial" w:hAnsi="Arial"/>
          <w:sz w:val="17"/>
          <w:szCs w:val="17"/>
          <w:i w:val="1"/>
          <w:iCs w:val="1"/>
          <w:color w:val="auto"/>
        </w:rPr>
        <w:t xml:space="preserve"> </w:t>
      </w:r>
      <w:r>
        <w:rPr>
          <w:rFonts w:ascii="Arial" w:cs="Arial" w:eastAsia="Arial" w:hAnsi="Arial"/>
          <w:sz w:val="17"/>
          <w:szCs w:val="17"/>
          <w:color w:val="auto"/>
        </w:rPr>
        <w:t>assess employee engagement and satisfaction. GCE received responses from 1,835 employees on the 2022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“Overall I am satisfied with GCE as an employer,” less than 10% of the responders disagreed with that statement. 92% of those responses confirmed GCE enables a culture of diversity. This survey also inquired about the importance of Environmental, Social and Governance topics that employees felt are important to GCE’s business performance and financial success both internal and external impacts. The top five selected in the survey by employees were Employee Health and Wellbeing (56%), Community Engagement (55%), Human Capital Management (51%), Workforce Diversity and Engagement (33%) and Professional Integrity (32%).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Awareness</w:t>
      </w:r>
    </w:p>
    <w:p>
      <w:pPr>
        <w:spacing w:after="0" w:line="229"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Online education is inherently more environmentally friendly than traditional campus education with a reduction in greenhouse gas (“GHG”) production caused by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materials and there is no shipment required.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75" w:lineRule="auto"/>
        <w:rPr>
          <w:sz w:val="20"/>
          <w:szCs w:val="20"/>
          <w:color w:val="auto"/>
        </w:rPr>
      </w:pPr>
      <w:r>
        <w:rPr>
          <w:rFonts w:ascii="Arial" w:cs="Arial" w:eastAsia="Arial" w:hAnsi="Arial"/>
          <w:sz w:val="17"/>
          <w:szCs w:val="17"/>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12 years, we designed them to maximize energy efficiency and minimize electricity usage and environmental impact, which ultimately lowers our operating costs. Our headquarters building includes the following design features:</w:t>
      </w:r>
    </w:p>
    <w:p>
      <w:pPr>
        <w:spacing w:after="0" w:line="176" w:lineRule="exact"/>
        <w:rPr>
          <w:sz w:val="20"/>
          <w:szCs w:val="20"/>
          <w:color w:val="auto"/>
        </w:rPr>
      </w:pPr>
    </w:p>
    <w:p>
      <w:pPr>
        <w:ind w:left="1160" w:right="239" w:hanging="327"/>
        <w:spacing w:after="0" w:line="311"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North/South Building Orientation - </w:t>
      </w:r>
      <w:r>
        <w:rPr>
          <w:rFonts w:ascii="Arial" w:cs="Arial" w:eastAsia="Arial" w:hAnsi="Arial"/>
          <w:sz w:val="16"/>
          <w:szCs w:val="16"/>
          <w:color w:val="auto"/>
        </w:rPr>
        <w:t>GCE’s office building is orientated with north/south exposure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minimize direct sun and thereby reduce power usage. Exterior courtyards were arranged to ensure summer shade thus creating outdoor areas that can be used by our employees throughout the year.</w:t>
      </w:r>
    </w:p>
    <w:p>
      <w:pPr>
        <w:spacing w:after="0" w:line="148" w:lineRule="exact"/>
        <w:rPr>
          <w:rFonts w:ascii="Arial" w:cs="Arial" w:eastAsia="Arial" w:hAnsi="Arial"/>
          <w:sz w:val="16"/>
          <w:szCs w:val="16"/>
          <w:color w:val="auto"/>
        </w:rPr>
      </w:pPr>
    </w:p>
    <w:p>
      <w:pPr>
        <w:ind w:left="1160" w:right="259" w:hanging="327"/>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Use of Window Glazing - </w:t>
      </w:r>
      <w:r>
        <w:rPr>
          <w:rFonts w:ascii="Arial" w:cs="Arial" w:eastAsia="Arial" w:hAnsi="Arial"/>
          <w:sz w:val="18"/>
          <w:szCs w:val="18"/>
          <w:color w:val="auto"/>
        </w:rPr>
        <w:t>Our building utilizes significant window glazing to allow for daylighting thus</w:t>
      </w:r>
      <w:r>
        <w:rPr>
          <w:rFonts w:ascii="Arial" w:cs="Arial" w:eastAsia="Arial" w:hAnsi="Arial"/>
          <w:sz w:val="18"/>
          <w:szCs w:val="18"/>
          <w:i w:val="1"/>
          <w:iCs w:val="1"/>
          <w:color w:val="auto"/>
        </w:rPr>
        <w:t xml:space="preserve"> </w:t>
      </w:r>
      <w:r>
        <w:rPr>
          <w:rFonts w:ascii="Arial" w:cs="Arial" w:eastAsia="Arial" w:hAnsi="Arial"/>
          <w:sz w:val="18"/>
          <w:szCs w:val="18"/>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186" w:lineRule="exact"/>
        <w:rPr>
          <w:rFonts w:ascii="Arial" w:cs="Arial" w:eastAsia="Arial" w:hAnsi="Arial"/>
          <w:sz w:val="18"/>
          <w:szCs w:val="18"/>
          <w:color w:val="auto"/>
        </w:rPr>
      </w:pPr>
    </w:p>
    <w:p>
      <w:pPr>
        <w:ind w:left="1160" w:right="319" w:hanging="327"/>
        <w:spacing w:after="0" w:line="279"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Reducing Water Consumption - </w:t>
      </w:r>
      <w:r>
        <w:rPr>
          <w:rFonts w:ascii="Arial" w:cs="Arial" w:eastAsia="Arial" w:hAnsi="Arial"/>
          <w:sz w:val="17"/>
          <w:szCs w:val="17"/>
          <w:color w:val="auto"/>
        </w:rPr>
        <w:t>Water usage is another environmental factor for office space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magnified by the Arizona weather. GCE’s office building utilizes numerous water conservation methods including push-tap faucets, waterless urinals, and a rooftop rainwater collection system for irrigating the landscaping below, which significantly reduces our water consumption.</w:t>
      </w:r>
    </w:p>
    <w:p>
      <w:pPr>
        <w:spacing w:after="0" w:line="171" w:lineRule="exact"/>
        <w:rPr>
          <w:rFonts w:ascii="Arial" w:cs="Arial" w:eastAsia="Arial" w:hAnsi="Arial"/>
          <w:sz w:val="17"/>
          <w:szCs w:val="17"/>
          <w:color w:val="auto"/>
        </w:rPr>
      </w:pPr>
    </w:p>
    <w:p>
      <w:pPr>
        <w:ind w:left="1160" w:right="259" w:hanging="327"/>
        <w:spacing w:after="0" w:line="263"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Other Design Features - </w:t>
      </w:r>
      <w:r>
        <w:rPr>
          <w:rFonts w:ascii="Arial" w:cs="Arial" w:eastAsia="Arial" w:hAnsi="Arial"/>
          <w:sz w:val="18"/>
          <w:szCs w:val="18"/>
          <w:color w:val="auto"/>
        </w:rPr>
        <w:t>Additional environment-friendly design features include low VOC paints, use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recycled building materials, interior and exterior LED light bulbs, motion sensor lighting and implementation of an energy-efficient VRF mechanical system.</w:t>
      </w:r>
    </w:p>
    <w:p>
      <w:pPr>
        <w:spacing w:after="0" w:line="18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In addition to our efficient facilities, we have undertaken other measures to minimize our environmental impact, including, among others:</w:t>
      </w:r>
    </w:p>
    <w:p>
      <w:pPr>
        <w:spacing w:after="0" w:line="170" w:lineRule="exact"/>
        <w:rPr>
          <w:sz w:val="20"/>
          <w:szCs w:val="20"/>
          <w:color w:val="auto"/>
        </w:rPr>
      </w:pPr>
    </w:p>
    <w:p>
      <w:pPr>
        <w:ind w:left="1160" w:right="619" w:hanging="327"/>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 Trip Reduction Program, which provides incentives to employees who participate in carpooling or take public transportation to work;</w:t>
      </w:r>
    </w:p>
    <w:p>
      <w:pPr>
        <w:spacing w:after="0" w:line="170" w:lineRule="exact"/>
        <w:rPr>
          <w:rFonts w:ascii="Arial" w:cs="Arial" w:eastAsia="Arial" w:hAnsi="Arial"/>
          <w:sz w:val="18"/>
          <w:szCs w:val="18"/>
          <w:color w:val="auto"/>
        </w:rPr>
      </w:pPr>
    </w:p>
    <w:p>
      <w:pPr>
        <w:ind w:left="1160" w:hanging="32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a telecommute option for a significant number of positions; and</w:t>
      </w:r>
    </w:p>
    <w:p>
      <w:pPr>
        <w:spacing w:after="0" w:line="225" w:lineRule="exact"/>
        <w:rPr>
          <w:rFonts w:ascii="Arial" w:cs="Arial" w:eastAsia="Arial" w:hAnsi="Arial"/>
          <w:sz w:val="18"/>
          <w:szCs w:val="18"/>
          <w:color w:val="auto"/>
        </w:rPr>
      </w:pPr>
    </w:p>
    <w:p>
      <w:pPr>
        <w:ind w:left="1160" w:hanging="32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participating in a recycling program aimed at minimizing the volume of waste products generated by GCE.</w:t>
      </w:r>
    </w:p>
    <w:p>
      <w:pPr>
        <w:spacing w:after="0" w:line="248"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Due to our significant investment in infrastructure, since March 2020, when the World Health Organization declared the COVID-19 a global pandemic, a significant portion of our diverse workforce is continuing to work remotely. This has not only allowed our employees to remain physically safe but has also resulted in savings in the areas of waste, janitorial costs, and travel costs related to business travel and commuting.</w:t>
      </w:r>
    </w:p>
    <w:p>
      <w:pPr>
        <w:spacing w:after="0" w:line="171"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Our off-campus classroom and laboratory sites are all designed with the same efficient footprint in the 35 sites opened as of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Climate Disclosures</w:t>
      </w:r>
    </w:p>
    <w:p>
      <w:pPr>
        <w:spacing w:after="0" w:line="229" w:lineRule="exact"/>
        <w:rPr>
          <w:sz w:val="20"/>
          <w:szCs w:val="20"/>
          <w:color w:val="auto"/>
        </w:rPr>
      </w:pPr>
    </w:p>
    <w:p>
      <w:pPr>
        <w:jc w:val="both"/>
        <w:ind w:left="60" w:right="139" w:firstLine="648"/>
        <w:spacing w:after="0" w:line="301" w:lineRule="auto"/>
        <w:rPr>
          <w:sz w:val="20"/>
          <w:szCs w:val="20"/>
          <w:color w:val="auto"/>
        </w:rPr>
      </w:pPr>
      <w:r>
        <w:rPr>
          <w:rFonts w:ascii="Arial" w:cs="Arial" w:eastAsia="Arial" w:hAnsi="Arial"/>
          <w:sz w:val="16"/>
          <w:szCs w:val="16"/>
          <w:color w:val="auto"/>
        </w:rPr>
        <w:t>We do not operate in a high-risk industry for climate risks. We believe that we have low climate risk with respect to our physical environment (e.g., fires, drought, hailstorms, increasing weather pattern changes). Approximately 90% of our workforce is continuing to work remotely. We have insurance policies in place to cover any damage for our property, plant and equipment. Our Audit Committee is tasked with oversight of climate-related risks for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648"/>
        <w:spacing w:after="0" w:line="286" w:lineRule="auto"/>
        <w:rPr>
          <w:sz w:val="20"/>
          <w:szCs w:val="20"/>
          <w:color w:val="auto"/>
        </w:rPr>
      </w:pPr>
      <w:r>
        <w:rPr>
          <w:rFonts w:ascii="Arial" w:cs="Arial" w:eastAsia="Arial" w:hAnsi="Arial"/>
          <w:sz w:val="17"/>
          <w:szCs w:val="17"/>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165"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We do not have significant risk from a transition to a low-carbon economy, which could result in changing customer behavior. Our customers are university partners located in the United States.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0" w:right="879" w:firstLine="648"/>
        <w:spacing w:after="0" w:line="308" w:lineRule="auto"/>
        <w:rPr>
          <w:sz w:val="20"/>
          <w:szCs w:val="20"/>
          <w:color w:val="auto"/>
        </w:rPr>
      </w:pPr>
      <w:r>
        <w:rPr>
          <w:rFonts w:ascii="Arial" w:cs="Arial" w:eastAsia="Arial" w:hAnsi="Arial"/>
          <w:sz w:val="17"/>
          <w:szCs w:val="17"/>
          <w:color w:val="auto"/>
        </w:rPr>
        <w:t>We believe that effective corporate governance is critical to our ability to create long term value for our stockholders. The following highlights certain key aspects of our corporate governance framework:</w:t>
      </w:r>
    </w:p>
    <w:p>
      <w:pPr>
        <w:spacing w:after="0" w:line="146" w:lineRule="exact"/>
        <w:rPr>
          <w:sz w:val="20"/>
          <w:szCs w:val="20"/>
          <w:color w:val="auto"/>
        </w:rPr>
      </w:pPr>
    </w:p>
    <w:p>
      <w:pPr>
        <w:ind w:left="1040" w:right="29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We Have an Independent and Diverse Board - </w:t>
      </w:r>
      <w:r>
        <w:rPr>
          <w:rFonts w:ascii="Arial" w:cs="Arial" w:eastAsia="Arial" w:hAnsi="Arial"/>
          <w:sz w:val="16"/>
          <w:szCs w:val="16"/>
          <w:color w:val="auto"/>
        </w:rPr>
        <w:t>Five of our six directors are independent. Three of our six</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are diverse persons, and two of our directors identify with an under-represented diverse ethnicity.</w:t>
      </w:r>
    </w:p>
    <w:p>
      <w:pPr>
        <w:spacing w:after="0" w:line="123" w:lineRule="exact"/>
        <w:rPr>
          <w:rFonts w:ascii="Arial" w:cs="Arial" w:eastAsia="Arial" w:hAnsi="Arial"/>
          <w:sz w:val="16"/>
          <w:szCs w:val="16"/>
          <w:color w:val="auto"/>
        </w:rPr>
      </w:pPr>
    </w:p>
    <w:p>
      <w:pPr>
        <w:ind w:left="1040" w:right="35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We Have Majority Voting for Directors - </w:t>
      </w:r>
      <w:r>
        <w:rPr>
          <w:rFonts w:ascii="Arial" w:cs="Arial" w:eastAsia="Arial" w:hAnsi="Arial"/>
          <w:sz w:val="16"/>
          <w:szCs w:val="16"/>
          <w:color w:val="auto"/>
        </w:rPr>
        <w:t>We have adopted majority voting for directors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nominees who fail to achieve an affirmative majority of votes cast must submit their resignation.</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We Hold Annual Elections for Directors - </w:t>
      </w:r>
      <w:r>
        <w:rPr>
          <w:rFonts w:ascii="Arial" w:cs="Arial" w:eastAsia="Arial" w:hAnsi="Arial"/>
          <w:sz w:val="18"/>
          <w:szCs w:val="18"/>
          <w:color w:val="auto"/>
        </w:rPr>
        <w:t>We do not have a staggered board.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We Assess Board Performance - </w:t>
      </w:r>
      <w:r>
        <w:rPr>
          <w:rFonts w:ascii="Arial" w:cs="Arial" w:eastAsia="Arial" w:hAnsi="Arial"/>
          <w:sz w:val="18"/>
          <w:szCs w:val="18"/>
          <w:color w:val="auto"/>
        </w:rPr>
        <w:t>We conduct regular evaluations of our Board and Committees.</w:t>
      </w:r>
    </w:p>
    <w:p>
      <w:pPr>
        <w:spacing w:after="0" w:line="225"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Our Independent Directors Meet Without Management - </w:t>
      </w:r>
      <w:r>
        <w:rPr>
          <w:rFonts w:ascii="Arial" w:cs="Arial" w:eastAsia="Arial" w:hAnsi="Arial"/>
          <w:sz w:val="18"/>
          <w:szCs w:val="18"/>
          <w:color w:val="auto"/>
        </w:rPr>
        <w:t>Our independent directors meet regularly in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sessions without management present.</w:t>
      </w:r>
    </w:p>
    <w:p>
      <w:pPr>
        <w:spacing w:after="0" w:line="170" w:lineRule="exact"/>
        <w:rPr>
          <w:rFonts w:ascii="Arial" w:cs="Arial" w:eastAsia="Arial" w:hAnsi="Arial"/>
          <w:sz w:val="18"/>
          <w:szCs w:val="18"/>
          <w:color w:val="auto"/>
        </w:rPr>
      </w:pPr>
    </w:p>
    <w:p>
      <w:pPr>
        <w:ind w:left="1040" w:right="53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We Have a Stock Ownership Policy - </w:t>
      </w:r>
      <w:r>
        <w:rPr>
          <w:rFonts w:ascii="Arial" w:cs="Arial" w:eastAsia="Arial" w:hAnsi="Arial"/>
          <w:sz w:val="16"/>
          <w:szCs w:val="16"/>
          <w:color w:val="auto"/>
        </w:rPr>
        <w:t>We require both our named executive officers and our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a meaningful ownership stake at levels specified in our stock ownership policy.</w:t>
      </w:r>
    </w:p>
    <w:p>
      <w:pPr>
        <w:spacing w:after="0" w:line="123" w:lineRule="exact"/>
        <w:rPr>
          <w:rFonts w:ascii="Arial" w:cs="Arial" w:eastAsia="Arial" w:hAnsi="Arial"/>
          <w:sz w:val="16"/>
          <w:szCs w:val="16"/>
          <w:color w:val="auto"/>
        </w:rPr>
      </w:pPr>
    </w:p>
    <w:p>
      <w:pPr>
        <w:ind w:left="1040" w:right="3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Our Key Committees are Independent - </w:t>
      </w:r>
      <w:r>
        <w:rPr>
          <w:rFonts w:ascii="Arial" w:cs="Arial" w:eastAsia="Arial" w:hAnsi="Arial"/>
          <w:sz w:val="18"/>
          <w:szCs w:val="18"/>
          <w:color w:val="auto"/>
        </w:rPr>
        <w:t>We have fully independent Audit, Compensation and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Corporate Governance Committees.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We Do Not Have a “Poison Pill” </w:t>
      </w:r>
      <w:r>
        <w:rPr>
          <w:rFonts w:ascii="Arial" w:cs="Arial" w:eastAsia="Arial" w:hAnsi="Arial"/>
          <w:sz w:val="18"/>
          <w:szCs w:val="18"/>
          <w:color w:val="auto"/>
        </w:rPr>
        <w:t>- We do not maintain a stockholder rights plan.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Cybersecurity Controls</w:t>
      </w:r>
    </w:p>
    <w:p>
      <w:pPr>
        <w:spacing w:after="0" w:line="229"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Audit Committee is tasked with oversight of the cybersecurity controls in place at the Company.</w:t>
      </w:r>
    </w:p>
    <w:p>
      <w:pPr>
        <w:spacing w:after="0" w:line="236" w:lineRule="exact"/>
        <w:rPr>
          <w:rFonts w:ascii="Arial" w:cs="Arial" w:eastAsia="Arial" w:hAnsi="Arial"/>
          <w:sz w:val="17"/>
          <w:szCs w:val="17"/>
          <w:color w:val="auto"/>
        </w:rPr>
      </w:pPr>
    </w:p>
    <w:p>
      <w:pPr>
        <w:ind w:left="1040" w:right="199" w:hanging="315"/>
        <w:spacing w:after="0" w:line="296"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employs a dedicated Chief Information Security Officer (“CISO”), with an experienced and competent security team, and works closely with the Chief Risk Officer to provide risk reporting and ensure security and compliance. The Company regularly engages third party experts to perform cybersecurity assessments. These assessments are normally performed on an annual basis. Reports are sent to the Audit Committee monthly, and Security, Risk and Compliance updates are provided quarterly.</w:t>
      </w:r>
    </w:p>
    <w:p>
      <w:pPr>
        <w:spacing w:after="0" w:line="161" w:lineRule="exact"/>
        <w:rPr>
          <w:rFonts w:ascii="Arial" w:cs="Arial" w:eastAsia="Arial" w:hAnsi="Arial"/>
          <w:sz w:val="16"/>
          <w:szCs w:val="16"/>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implemented policies and procedures for all employees including:</w:t>
      </w:r>
    </w:p>
    <w:p>
      <w:pPr>
        <w:spacing w:after="0" w:line="225" w:lineRule="exact"/>
        <w:rPr>
          <w:sz w:val="20"/>
          <w:szCs w:val="20"/>
          <w:color w:val="auto"/>
        </w:rPr>
      </w:pPr>
    </w:p>
    <w:p>
      <w:pPr>
        <w:ind w:left="1800" w:hanging="319"/>
        <w:spacing w:after="0"/>
        <w:tabs>
          <w:tab w:leader="none" w:pos="1800" w:val="left"/>
        </w:tabs>
        <w:numPr>
          <w:ilvl w:val="0"/>
          <w:numId w:val="21"/>
        </w:numPr>
        <w:rPr>
          <w:rFonts w:ascii="Courier New" w:cs="Courier New" w:eastAsia="Courier New" w:hAnsi="Courier New"/>
          <w:sz w:val="17"/>
          <w:szCs w:val="17"/>
          <w:color w:val="auto"/>
        </w:rPr>
      </w:pPr>
      <w:r>
        <w:rPr>
          <w:rFonts w:ascii="Arial" w:cs="Arial" w:eastAsia="Arial" w:hAnsi="Arial"/>
          <w:sz w:val="17"/>
          <w:szCs w:val="17"/>
          <w:color w:val="auto"/>
        </w:rPr>
        <w:t>Information security/cybersecurity policies, which are internally available for all employees;</w:t>
      </w:r>
    </w:p>
    <w:p>
      <w:pPr>
        <w:spacing w:after="0" w:line="221" w:lineRule="exact"/>
        <w:rPr>
          <w:rFonts w:ascii="Courier New" w:cs="Courier New" w:eastAsia="Courier New" w:hAnsi="Courier New"/>
          <w:sz w:val="17"/>
          <w:szCs w:val="17"/>
          <w:color w:val="auto"/>
        </w:rPr>
      </w:pPr>
    </w:p>
    <w:p>
      <w:pPr>
        <w:ind w:left="1800" w:hanging="319"/>
        <w:spacing w:after="0"/>
        <w:tabs>
          <w:tab w:leader="none" w:pos="180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Information security/cybersecurity awareness training;</w:t>
      </w:r>
    </w:p>
    <w:p>
      <w:pPr>
        <w:spacing w:after="0" w:line="209" w:lineRule="exact"/>
        <w:rPr>
          <w:rFonts w:ascii="Courier New" w:cs="Courier New" w:eastAsia="Courier New" w:hAnsi="Courier New"/>
          <w:sz w:val="18"/>
          <w:szCs w:val="18"/>
          <w:color w:val="auto"/>
        </w:rPr>
      </w:pPr>
    </w:p>
    <w:p>
      <w:pPr>
        <w:ind w:left="1800" w:right="839" w:hanging="319"/>
        <w:spacing w:after="0" w:line="259" w:lineRule="auto"/>
        <w:tabs>
          <w:tab w:leader="none" w:pos="180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A clear escalation process which employees can follow in the event an employee notices something suspicious;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right="699" w:hanging="319"/>
        <w:spacing w:after="0" w:line="259" w:lineRule="auto"/>
        <w:tabs>
          <w:tab w:leader="none" w:pos="1800" w:val="left"/>
        </w:tabs>
        <w:numPr>
          <w:ilvl w:val="1"/>
          <w:numId w:val="22"/>
        </w:numPr>
        <w:rPr>
          <w:rFonts w:ascii="Courier New" w:cs="Courier New" w:eastAsia="Courier New" w:hAnsi="Courier New"/>
          <w:sz w:val="18"/>
          <w:szCs w:val="18"/>
          <w:color w:val="auto"/>
        </w:rPr>
      </w:pPr>
      <w:r>
        <w:rPr>
          <w:rFonts w:ascii="Arial" w:cs="Arial" w:eastAsia="Arial" w:hAnsi="Arial"/>
          <w:sz w:val="18"/>
          <w:szCs w:val="18"/>
          <w:color w:val="auto"/>
        </w:rPr>
        <w:t>Information security/cybersecurity is part of the employee performance evaluations and/or disciplinary actions.</w:t>
      </w:r>
    </w:p>
    <w:p>
      <w:pPr>
        <w:spacing w:after="0" w:line="184" w:lineRule="exact"/>
        <w:rPr>
          <w:rFonts w:ascii="Courier New" w:cs="Courier New" w:eastAsia="Courier New" w:hAnsi="Courier New"/>
          <w:sz w:val="18"/>
          <w:szCs w:val="18"/>
          <w:color w:val="auto"/>
        </w:rPr>
      </w:pPr>
    </w:p>
    <w:p>
      <w:pPr>
        <w:ind w:left="1040" w:right="25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maintains a cyber insurance policy. The Company has not had a security breach and has not incurred any expenses for a security breach in the past three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Corporate Policy Matters</w:t>
      </w:r>
    </w:p>
    <w:p>
      <w:pPr>
        <w:spacing w:after="0" w:line="229" w:lineRule="exact"/>
        <w:rPr>
          <w:sz w:val="20"/>
          <w:szCs w:val="20"/>
          <w:color w:val="auto"/>
        </w:rPr>
      </w:pPr>
    </w:p>
    <w:p>
      <w:pPr>
        <w:ind w:left="1160" w:right="99" w:hanging="327"/>
        <w:spacing w:after="0" w:line="25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Whistleblower hotline </w:t>
      </w:r>
      <w:r>
        <w:rPr>
          <w:rFonts w:ascii="Arial" w:cs="Arial" w:eastAsia="Arial" w:hAnsi="Arial"/>
          <w:sz w:val="18"/>
          <w:szCs w:val="18"/>
          <w:color w:val="auto"/>
        </w:rPr>
        <w:t>– GCE has a whistleblower hotline available to both internal and external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whistleblower policy is disclosed on the GCE intranet for employees and disclosed on the GCE investor relations website for external parties. Hotline activity is managed by a third party and all claims are reviewed and monitored by the Chief Risk Officer and General Counsel. All claims are discussed at the quarterly Audit Committee meetings.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 – Seasonality</w:t>
      </w:r>
      <w:r>
        <w:rPr>
          <w:rFonts w:ascii="Arial" w:cs="Arial" w:eastAsia="Arial" w:hAnsi="Arial"/>
          <w:sz w:val="17"/>
          <w:szCs w:val="17"/>
          <w:color w:val="auto"/>
        </w:rPr>
        <w: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Among the largest companies in this sector are Pearson Online Learning Services, Wiley Education Services, and 2U.</w:t>
      </w:r>
    </w:p>
    <w:p>
      <w:pPr>
        <w:spacing w:after="0" w:line="17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pacing w:after="0" w:line="178"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184"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 and brand awareness;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of university partner base and performance track record;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marketing and sales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robustness and evolution of technology solutions;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breadth and depth of services offerings;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of student and faculty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programs;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pacing w:after="0" w:line="184" w:lineRule="exact"/>
        <w:rPr>
          <w:sz w:val="20"/>
          <w:szCs w:val="20"/>
          <w:color w:val="auto"/>
        </w:rPr>
      </w:pPr>
    </w:p>
    <w:p>
      <w:pPr>
        <w:ind w:left="60" w:right="239" w:firstLine="648"/>
        <w:spacing w:after="0" w:line="285" w:lineRule="auto"/>
        <w:rPr>
          <w:sz w:val="20"/>
          <w:szCs w:val="20"/>
          <w:color w:val="auto"/>
        </w:rPr>
      </w:pPr>
      <w:r>
        <w:rPr>
          <w:rFonts w:ascii="Arial" w:cs="Arial" w:eastAsia="Arial" w:hAnsi="Arial"/>
          <w:sz w:val="16"/>
          <w:szCs w:val="16"/>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w:t>
      </w:r>
    </w:p>
    <w:p>
      <w:pPr>
        <w:spacing w:after="0" w:line="2"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 OF OUR EDUCATION SERVICES BUSINESS</w:t>
      </w:r>
    </w:p>
    <w:p>
      <w:pPr>
        <w:spacing w:after="0" w:line="22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Institutions of higher education in America are subject to extensive regulation by state post-secondary, licensure and certification agencies, accrediting commissions, and the federal government through the United States Department of Education (“ED”) under the Higher Education Act (“HEA”). The regulations, standards, and policies of these agencies cover the vast majority of operations of colleges and universities, including educational programs, facilities, instructional and administrative staff, administrative procedures, marketing, recruiting, financial operations, athletics and financial condition.</w:t>
      </w:r>
    </w:p>
    <w:p>
      <w:pPr>
        <w:spacing w:after="0" w:line="1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HEA and the regulations promulgated thereunder are frequently revised, repealed or expanded.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ED guidance is subject to frequent change and may impact our business model.</w:t>
      </w:r>
    </w:p>
    <w:p>
      <w:pPr>
        <w:spacing w:after="0" w:line="178"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Prior to July 1, 2018, GCE, operated GCU. On July 1, 2018, GCE sold GCU to an independent, Arizona non-profit corporation (the “Transaction”). As a result of the Transaction, we no longer own and operate an institution of higher education, nor do we directly participate in Title IV programs. Instead, we operate as an education service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company to institutions of higher education that do participate in Title IV programs. Nevertheless, we are required to comply with certain regulations promulgated by ED for the following reasons:</w:t>
      </w:r>
    </w:p>
    <w:p>
      <w:pPr>
        <w:spacing w:after="0" w:line="170" w:lineRule="exact"/>
        <w:rPr>
          <w:sz w:val="20"/>
          <w:szCs w:val="20"/>
          <w:color w:val="auto"/>
        </w:rPr>
      </w:pPr>
    </w:p>
    <w:p>
      <w:pPr>
        <w:ind w:left="1040" w:right="79" w:hanging="315"/>
        <w:spacing w:after="0" w:line="25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194" w:lineRule="exact"/>
        <w:rPr>
          <w:rFonts w:ascii="Arial" w:cs="Arial" w:eastAsia="Arial" w:hAnsi="Arial"/>
          <w:sz w:val="18"/>
          <w:szCs w:val="18"/>
          <w:color w:val="auto"/>
        </w:rPr>
      </w:pPr>
    </w:p>
    <w:p>
      <w:pPr>
        <w:ind w:left="1040" w:right="139" w:hanging="315"/>
        <w:spacing w:after="0" w:line="270"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181" w:lineRule="exact"/>
        <w:rPr>
          <w:sz w:val="20"/>
          <w:szCs w:val="20"/>
          <w:color w:val="auto"/>
        </w:rPr>
      </w:pPr>
    </w:p>
    <w:p>
      <w:pPr>
        <w:ind w:left="1700" w:right="99" w:hanging="327"/>
        <w:spacing w:after="0" w:line="252" w:lineRule="auto"/>
        <w:tabs>
          <w:tab w:leader="none" w:pos="1700" w:val="left"/>
        </w:tabs>
        <w:numPr>
          <w:ilvl w:val="0"/>
          <w:numId w:val="26"/>
        </w:numPr>
        <w:rPr>
          <w:rFonts w:ascii="Courier New" w:cs="Courier New" w:eastAsia="Courier New" w:hAnsi="Courier New"/>
          <w:sz w:val="18"/>
          <w:szCs w:val="18"/>
          <w:color w:val="auto"/>
        </w:rPr>
      </w:pPr>
      <w:r>
        <w:rPr>
          <w:rFonts w:ascii="Arial" w:cs="Arial" w:eastAsia="Arial" w:hAnsi="Arial"/>
          <w:sz w:val="18"/>
          <w:szCs w:val="18"/>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93" w:lineRule="exact"/>
        <w:rPr>
          <w:rFonts w:ascii="Courier New" w:cs="Courier New" w:eastAsia="Courier New" w:hAnsi="Courier New"/>
          <w:sz w:val="18"/>
          <w:szCs w:val="18"/>
          <w:color w:val="auto"/>
        </w:rPr>
      </w:pPr>
    </w:p>
    <w:p>
      <w:pPr>
        <w:ind w:left="1700" w:right="199" w:hanging="327"/>
        <w:spacing w:after="0" w:line="270" w:lineRule="auto"/>
        <w:tabs>
          <w:tab w:leader="none" w:pos="1700" w:val="left"/>
        </w:tabs>
        <w:numPr>
          <w:ilvl w:val="0"/>
          <w:numId w:val="26"/>
        </w:numPr>
        <w:rPr>
          <w:rFonts w:ascii="Courier New" w:cs="Courier New" w:eastAsia="Courier New" w:hAnsi="Courier New"/>
          <w:sz w:val="17"/>
          <w:szCs w:val="17"/>
          <w:color w:val="auto"/>
        </w:rPr>
      </w:pPr>
      <w:r>
        <w:rPr>
          <w:rFonts w:ascii="Arial" w:cs="Arial" w:eastAsia="Arial" w:hAnsi="Arial"/>
          <w:sz w:val="17"/>
          <w:szCs w:val="17"/>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79" w:lineRule="exact"/>
        <w:rPr>
          <w:rFonts w:ascii="Courier New" w:cs="Courier New" w:eastAsia="Courier New" w:hAnsi="Courier New"/>
          <w:sz w:val="17"/>
          <w:szCs w:val="17"/>
          <w:color w:val="auto"/>
        </w:rPr>
      </w:pPr>
    </w:p>
    <w:p>
      <w:pPr>
        <w:ind w:left="1700" w:right="239" w:hanging="327"/>
        <w:spacing w:after="0" w:line="294" w:lineRule="auto"/>
        <w:tabs>
          <w:tab w:leader="none" w:pos="1700" w:val="left"/>
        </w:tabs>
        <w:numPr>
          <w:ilvl w:val="0"/>
          <w:numId w:val="26"/>
        </w:numPr>
        <w:rPr>
          <w:rFonts w:ascii="Courier New" w:cs="Courier New" w:eastAsia="Courier New" w:hAnsi="Courier New"/>
          <w:sz w:val="16"/>
          <w:szCs w:val="16"/>
          <w:color w:val="auto"/>
        </w:rPr>
      </w:pPr>
      <w:r>
        <w:rPr>
          <w:rFonts w:ascii="Arial" w:cs="Arial" w:eastAsia="Arial" w:hAnsi="Arial"/>
          <w:sz w:val="16"/>
          <w:szCs w:val="16"/>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6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are also subject to a number of data security and privacy regulations given our role as a third-party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area is evolving, however, and the scope of services covered by regulations may change.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OF OUR UNIVERSITY PARTNERS</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648"/>
        <w:spacing w:after="0" w:line="279" w:lineRule="auto"/>
        <w:rPr>
          <w:sz w:val="20"/>
          <w:szCs w:val="20"/>
          <w:color w:val="auto"/>
        </w:rPr>
      </w:pPr>
      <w:r>
        <w:rPr>
          <w:rFonts w:ascii="Arial" w:cs="Arial" w:eastAsia="Arial" w:hAnsi="Arial"/>
          <w:sz w:val="17"/>
          <w:szCs w:val="17"/>
          <w:color w:val="auto"/>
        </w:rPr>
        <w:t>While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 company to institutions of higher education generally.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 Post-Secondary Education Regulation</w:t>
      </w:r>
    </w:p>
    <w:p>
      <w:pPr>
        <w:spacing w:after="0" w:line="229"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Our university partners are authorized to offer education by the relevant state authorizing agencies for the state in which the client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This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168"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ED requirements many schools have applied and sought to become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is a member of SARA in Arizona (AZ-SARA), which is administered by the Western Interstate Commission for Higher Education (referred to as W-SARA). There is a yearly renewal for participating in NC-SARA and AZ-SARA and institutions must agree to meet certain requirements to participate. As of December 31, 2022, all states other than California are members of SARA.</w:t>
      </w:r>
    </w:p>
    <w:p>
      <w:pPr>
        <w:spacing w:after="0" w:line="18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Any state that does not participate in SARA may impose regulatory requirements on out-of-state higher education institutions operating within their boundaries, such as those having a physical facility or conducting certain academic activities within the state. GCU, for example, currently enrolls students in all 50 states and the District of Columbia. Although it is currently licensed, authorized, in-process, or exempt in all non-SARA jurisdictions in which it operates, if it fails to comply with state licensing or authorization requirements for a state, or fails to obtain licenses or authorizations when required, it could lose its state license or authorization by that state or be subject to other sanctions, including restrictions on our activities in, and fines and penalties imposed by, that state, as well as fines, penalties, and sanctions imposed by ED. The loss of licensure or authorization by a university partner in any non-SARA state could prohibit us from recruiting prospective students or offering services to current students in that state on behalf of such university partner, which could significantly affect our business.</w:t>
      </w:r>
    </w:p>
    <w:p>
      <w:pPr>
        <w:spacing w:after="0" w:line="18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 In addition, state laws can indirectly regulate how GCE provides its services to its university partners. For example, some states have considered new requirements that would dictate what information GCE must convey to students and prospective students and impose reporting requirements related to the nature of our services. To the extent such requirements were ultimately enacted into law, they could significantly affect our business.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 Professional Licensure</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57" w:lineRule="exact"/>
        <w:rPr>
          <w:sz w:val="20"/>
          <w:szCs w:val="20"/>
          <w:color w:val="auto"/>
        </w:rPr>
      </w:pPr>
    </w:p>
    <w:p>
      <w:pPr>
        <w:ind w:left="1040" w:right="179" w:hanging="315"/>
        <w:spacing w:after="0" w:line="258"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1" w:lineRule="exact"/>
        <w:rPr>
          <w:rFonts w:ascii="Arial" w:cs="Arial" w:eastAsia="Arial" w:hAnsi="Arial"/>
          <w:sz w:val="18"/>
          <w:szCs w:val="18"/>
          <w:color w:val="auto"/>
        </w:rPr>
      </w:pPr>
    </w:p>
    <w:p>
      <w:pPr>
        <w:ind w:left="1040" w:right="2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ind w:left="1040" w:hanging="315"/>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institution and the program are accredited and, if so, by what accrediting commissions;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institution’s degrees are recognized by other states in which a student may seek to work.</w:t>
      </w:r>
    </w:p>
    <w:p>
      <w:pPr>
        <w:spacing w:after="0" w:line="222"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184"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184"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Accreditation</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9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college.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68" w:lineRule="exact"/>
        <w:rPr>
          <w:sz w:val="20"/>
          <w:szCs w:val="20"/>
          <w:color w:val="auto"/>
        </w:rPr>
      </w:pPr>
    </w:p>
    <w:p>
      <w:pPr>
        <w:ind w:left="60" w:right="479" w:firstLine="648"/>
        <w:spacing w:after="0" w:line="257" w:lineRule="auto"/>
        <w:rPr>
          <w:sz w:val="20"/>
          <w:szCs w:val="20"/>
          <w:color w:val="auto"/>
        </w:rPr>
      </w:pPr>
      <w:r>
        <w:rPr>
          <w:rFonts w:ascii="Arial" w:cs="Arial" w:eastAsia="Arial" w:hAnsi="Arial"/>
          <w:sz w:val="18"/>
          <w:szCs w:val="18"/>
          <w:color w:val="auto"/>
        </w:rPr>
        <w:t>University partners other than GCU may be accredited by different accrediting bodies that are likely to have standards that are different from those of the HLC. Moreover, other university partners may also hold various programmatic accreditations that set additional requirements related to specific programs. As we work with university partners in different regions we will need to work with those accrediting bodies and tailor our services to meet the requirements of those accreditors.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18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19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i w:val="1"/>
          <w:iCs w:val="1"/>
          <w:color w:val="auto"/>
        </w:rPr>
        <w:t xml:space="preserve">Congressional action. </w:t>
      </w:r>
      <w:r>
        <w:rPr>
          <w:rFonts w:ascii="Arial" w:cs="Arial" w:eastAsia="Arial" w:hAnsi="Arial"/>
          <w:sz w:val="17"/>
          <w:szCs w:val="17"/>
          <w:color w:val="auto"/>
        </w:rPr>
        <w:t>Congress must reauthorize the HEA on a periodic basis, usually every five to six years,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recent reauthorization through September 30, 2013,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CARES Act</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On March 27, 2020, former President Trump signed into law the Coronavirus Aid, Relief, and Economic Security (“CARES”) Act. Among other things, the $2.2 trillion bill established some flexibilities related to the processing of federal student financial aid, established a higher education emergency fund, and created relief for some federal student loan borrowers. Through the CARES Act, institutions of higher education were provided relief from conducting a return to Title IV (R2T4) calculation in cases where the student withdrew because of the COVID-19 pandemic, including removing the requirement that the institution return unearned funds to ED and providing loan cancellation for the portion of the Direct Loan associated with a payment period that the student did not complete due to the COVID-19 pandemic. The CARES Act also allows institutions to exclude from satisfactory academic progress calculations any attempted credits that the student did not complete due to the COVID-19 pandemic, without requiring an appeal from the student. Additionally, under the legislation, institutions are permitted to transfer up to 100% of Federal Work-Study (“FWS”) funds into their Federal Supplemental Educational Opportunity Grant (“FSEOG”) allocation and are granted a waiver of the 2019/2020 and 2020/2021 non-federal share institutional match. Institutions may continue to make FWS payments to student employees who are unable to meet their employment obligations due to the COVID-19 pandemic. ED issued sub-regulatory guidance to institutions regarding implementation of the provisions included in the CARES Act.</w:t>
      </w:r>
    </w:p>
    <w:p>
      <w:pPr>
        <w:spacing w:after="0" w:line="171"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CARES Act also suspended payments and interest accrual on federal student loans until September 30, 2020, in addition to suspending involuntary collections such as wage garnishment, tax refund reductions, and reductions of federal benefits like Social Security benefits during the same timeframe. On March 30, 2021, the Secretary of Education also extended student loan relief to all Federal Family Education Loans (“FFEL”) not previously covered. Through a series of administrative actions, student loan relief has been extended, including on August 24, 2022, when ED announced, “a final extension of the pause on student loan repayment, interest, and collections through June 30, 2023.”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Finally, the CARES Act allocated $14 billion to higher education through the creation of the Education Stabilization Fund. Fifty percent of the emergency funds received by institutions must go directly to students in the form of emergency financial aid grants to cover expenses related to the disruption of campus operations due to the COVID-19 pandemic. Students who were previously enrolled in exclusively online courses prior to March 13, 2020 are not eligible for these grants. Institutions may use remaining emergency funds not given to students for costs associated with significant changes to the delivery of instruction due to the COVID-19 pandemic, as long as such costs do not include payment to contractors for the provision of pre-enrollment recruitment activities, including marketing and advertising; endowments; or capital outlays associated with facilities related to athletics, sectarian instruction, or religious worship.</w:t>
      </w:r>
    </w:p>
    <w:p>
      <w:pPr>
        <w:spacing w:after="0" w:line="165" w:lineRule="exact"/>
        <w:rPr>
          <w:sz w:val="20"/>
          <w:szCs w:val="20"/>
          <w:color w:val="auto"/>
        </w:rPr>
      </w:pPr>
    </w:p>
    <w:p>
      <w:pPr>
        <w:jc w:val="both"/>
        <w:ind w:left="60" w:right="139" w:firstLine="648"/>
        <w:spacing w:after="0" w:line="311" w:lineRule="auto"/>
        <w:rPr>
          <w:sz w:val="20"/>
          <w:szCs w:val="20"/>
          <w:color w:val="auto"/>
        </w:rPr>
      </w:pPr>
      <w:r>
        <w:rPr>
          <w:rFonts w:ascii="Arial" w:cs="Arial" w:eastAsia="Arial" w:hAnsi="Arial"/>
          <w:sz w:val="16"/>
          <w:szCs w:val="16"/>
          <w:color w:val="auto"/>
        </w:rPr>
        <w:t>Institutions received funds under the Education Stabilization Fund based on a formula that factors in their relative percentage of full-time, Federal Pell Grant-eligible students who were not exclusively enrolled in online education prior to the emergency period. On April 9, 2020, ED published guidance and funding levels for the Education Stabilization Fund.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Appropriations Act, 2021</w:t>
      </w:r>
    </w:p>
    <w:p>
      <w:pPr>
        <w:spacing w:after="0" w:line="225"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On December 27, 2020, former President Trump signed into law the Consolidated Appropriations Act of 2021. Among other things, this package funded the federal government through September 2021, provided additional COVID-related relief, and made a number of U.S. higher education changes.</w:t>
      </w:r>
    </w:p>
    <w:p>
      <w:pPr>
        <w:spacing w:after="0" w:line="184"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The legislation includes a number of tax provisions, including replacing the tuition deduction with an expanded Lifetime Learning Credit, which now shares the higher income limitations of the American Opportunity Tax Credit. The legislation also extends until January 1, 2026 expanded employer-provided educational assistance permitting employers to pay up to $5,250 toward an employee’s federal student loans as a tax-free benefit.</w:t>
      </w:r>
    </w:p>
    <w:p>
      <w:pPr>
        <w:spacing w:after="0" w:line="171"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In addition, the legislation includes a number of higher education-related provisions, including: adopting the FAFSA Simplification Act, which includes eliminating the “expected family contribution” from the Free Application for Federal Student Aid (“FAFSA”) and replacing it with a “Student Aid Index;” expanding eligibility for Pell Grants; restoring Pell Grant eligibility for incarcerated students attending non-profit institutions; restoring quarters/semesters of Pell eligibility to students who have successfully asserted a borrower defense to repayment; repealing the limitation on lifetime subsidized loan eligibility (known as “Subsidized Usage Limit Applies,” or SULA); and significantly simplifying the FAFSA form. The ED published a FAFSA Simplification Information webpage on October 14, 2022 and is expected to provide institutions with guidance on the higher education provisions included in the Consolidated Appropriations Act of 2021, which take effect on July 1, 2023. According to a tweet from the official account of the National Association of Student Financial Aid Administrators (“NASFAA”), on February 7, 2023, at a NASFAA conference, the ED did not commit to an October 1, 2023 launch date for the FAFSA for 2024-2024, although the ED said it would be offered in the fourth quarter of 2023. It is unclear what, if any, this delay will have on our business. We will continue to monitor this situation.</w:t>
      </w:r>
    </w:p>
    <w:p>
      <w:pPr>
        <w:spacing w:after="0" w:line="186"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The bill also provided $22.7 billion for higher education institutions and students impacted by COVID-19 in which all of our university partners were eligible.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Veterans Health Care and Benefits Improvement Act of 2020</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On January 5, 2021, former President Trump signed into law the Veterans Health Care and Benefits Improvement Act of 2020, which expanded student veterans’ protections. Among other things, the legislation requires a risk-based review of schools if an institution is operating under Heightened Cash Monitoring 2 or provisional approval status by ED, is subject to any punitive action by a federal or state entity, faces the loss or risk of loss of accreditation, or has converted from for-profit to non-profit status. The legislation also restores veterans benefits to students whose school closed, as long as the student transferred fewer than 12 credits from the closed school or program; protects students from debt collection by the VA for overpaid tuition benefits; and establishes a number of institutional requirements, including: providing clear disclosures about cost, loan debt, graduation and job placement rates, and acceptance of transfer credit; ensuring institutions are accommodating short absences due to service; prohibiting same-day recruitment and registration; and prohibiting more than three unsolicited recruiting contacts during any one-month period. Most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provisions became effective August 1, 2021. Institutions were permitted to seek waivers for certain sections of the new law if they were not able to satisfy compliance requirements by August 1,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THRIVE Act</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June 8, 2021, President Biden signed into law the Training in High-Demand Roles to Improve Veteran Employment Act (the “THRIVE Act”), which amended provisions of the Veterans Health Care and Benefits Improvement Act and the American Rescue Plan Act. The law requires the U.S. Department of Labor and VA to collaborate on a list of high-demand occupations for a rapid retraining assistance program. Additionally, the law requires the Government Accountability Office to report on the outcomes and effectiveness of retraining programs. The THRIVE Act amended the Veterans Health Care and Benefits Improvement Act by clarifying that programs pursued solely through distance education on a half-time basis or less are not eligible for the housing stipend that is generally available for retraining programs. As noted above, the Veterans Health Care and Benefits Improvement Act prohibits certain high-pressure recruiting tactics. The THRIVE Act requires the VA to take disciplinary action if a person with whom an institution has a recruiting or educational services agreement violates the VA’s incentive compensation bans.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REMOTE Act</w:t>
      </w:r>
    </w:p>
    <w:p>
      <w:pPr>
        <w:spacing w:after="0" w:line="225"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On December 21, 2021, President Biden signed into law the Responsible Education Mitigating Options and Technical Extensions (“REMOTE”) Act, which amended provisions of the Veterans Health Care and Benefits Improvement Act, the American Rescue Plan Act, and the THRIVE Act. The law includes changes to help institutions satisfy the Veterans Health Care and Benefits Improvement Act’s requirements by using the College Financing Plan template, in addition to extending some COVID-related flexibilities previously granted amid the pandemic. The law also extended remote learning waivers through June 1, 2022, simplified the VA verification process for tuition reimbursement, and fixed a technical error to ensure U.S. institutions of higher education can continue to use incentive compensation to recruit foreign students without losing GI Bill funding for their students.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Ensuring the Best Schools for Veterans Act of 2022</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On August 26, 2022, President Biden signed into law the Ensuring the Best Schools for Veterans Act of 2022, which amended prior statutory language and made modifications to how the VA operationalizes the 85/15 requirement (that is, the rule that generally forbids use of Department of Veterans Affairs benefits for students enrolling in a program in which more than 85% of students enrolled in the program have any portion of their tuition, fees, or other charges paid to or for them by the institution or by the VA). Among other things, the law clarifies that reporting associated with the 85/15 requirement does not apply to institutions at which 35% or fewer students receive GI bill benefits. The law also exempts programs for which fewer than 10 students have any portion of their tuition, fees, or other charges paid to or for them by the institution or by the VA.</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Appropriations Act, 2022</w:t>
      </w:r>
    </w:p>
    <w:p>
      <w:pPr>
        <w:spacing w:after="0" w:line="22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On March 15, 2022, President Biden signed into law the Consolidated Appropriations Act of 2022. The bill allocated $76.4 billion to the Department of Education and its programs, including an increase to the maximum Pell Grant award, bringing the total to $6,895 for the 2022-23 award year. In addition, campus-based aid programs were increased, with $895 million allocated for the FSEOG program, an increase of $15 million above the FY 2021 enacted level, and $1.21 billion allocated for FWS, an increase of $20 million above the FY 2021 enacted level.</w:t>
      </w:r>
    </w:p>
    <w:p>
      <w:pPr>
        <w:spacing w:after="0" w:line="176" w:lineRule="exact"/>
        <w:rPr>
          <w:sz w:val="20"/>
          <w:szCs w:val="20"/>
          <w:color w:val="auto"/>
        </w:rPr>
      </w:pPr>
    </w:p>
    <w:p>
      <w:pPr>
        <w:jc w:val="both"/>
        <w:ind w:left="60" w:right="99" w:firstLine="648"/>
        <w:spacing w:after="0" w:line="275" w:lineRule="auto"/>
        <w:rPr>
          <w:sz w:val="20"/>
          <w:szCs w:val="20"/>
          <w:color w:val="auto"/>
        </w:rPr>
      </w:pPr>
      <w:r>
        <w:rPr>
          <w:rFonts w:ascii="Arial" w:cs="Arial" w:eastAsia="Arial" w:hAnsi="Arial"/>
          <w:sz w:val="17"/>
          <w:szCs w:val="17"/>
          <w:color w:val="auto"/>
        </w:rPr>
        <w:t>In addition to the increases in federal student aid funding, the bill provided $2.1 billion for career, technical, and adult education, $61 million above the FY 2021 enacted level, and an additional $3 billion for higher education programs, $452 million more than the FY 2021 enacted level. The bill also dictated ED requirements related to federal loan servicing, including appropriations for just over $2 billion for expenses related to the administration of the federal loan program, and made a number of changes to the FAFSA Simplification Act.</w:t>
      </w:r>
    </w:p>
    <w:p>
      <w:pPr>
        <w:spacing w:after="0" w:line="176"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i w:val="1"/>
          <w:iCs w:val="1"/>
          <w:color w:val="auto"/>
        </w:rPr>
        <w:t xml:space="preserve">Eligibility and certification procedures. </w:t>
      </w:r>
      <w:r>
        <w:rPr>
          <w:rFonts w:ascii="Arial" w:cs="Arial" w:eastAsia="Arial" w:hAnsi="Arial"/>
          <w:sz w:val="16"/>
          <w:szCs w:val="16"/>
          <w:color w:val="auto"/>
        </w:rPr>
        <w:t>Each institution must apply periodically to ED for continued certification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participate in the Title IV programs. Such recertification generally is required every six years, but may be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required earlier, including when an institution undergoes a change in control. To the extent ED suspends, limits, modifies, conditions, or terminates any client institution’s eligibility to participate in the Title IV programs, that action is likely to have a negative impact on our business. Indeed, this could range from disallowing the institution from adding new programs or terminating the institution from Title IV eligibility.</w:t>
      </w:r>
    </w:p>
    <w:p>
      <w:pPr>
        <w:spacing w:after="0" w:line="18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Transaction resulted in a change in control of our most significant university partner, GCU, following which it began operating as a non-profit university and necessitating the application by GCU to ED for approval of the change in control and for a new program participation agreement. In November 2019, GCU received a new provisional Program Participation Agreement (“PPA”), which granted GCU the ability to participate in the Title IV programs on a provisional basis through September 30, 2022. As required, GCU filed a renewal application three months in advance of the scheduled expiration date. ED has not made a decision on its recertification application, and therefore its provisional certification to participate in the Title IV programs has been automatically extended on a month-to-month basis until ED makes its decision. Institutions are routinely given a month-to-month extension on their PPA until ED has completed its review of the application. For example, when GCU’s provisional PPA expired in June 2008, it continued to receive a month-to-month extension between that date and April 2011 when ED issued it a new, provisional PPA. For a school that is certified on a provisional basis, ED may revoke the institution’s certification without advance notice or advance opportunity for the institution to challenge that action. For a school that is provisionally certified on a month-to-month basis, like GCU, ED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167"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ED regulations specify extensive criteria by which an institution must establish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requisite “administrative capability” to participate in the Title IV programs. To meet the administrative capability standards, an institution must, among other things:</w:t>
      </w:r>
    </w:p>
    <w:p>
      <w:pPr>
        <w:spacing w:after="0" w:line="184"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9" w:lineRule="exact"/>
        <w:rPr>
          <w:rFonts w:ascii="Arial" w:cs="Arial" w:eastAsia="Arial" w:hAnsi="Arial"/>
          <w:sz w:val="18"/>
          <w:szCs w:val="18"/>
          <w:color w:val="auto"/>
        </w:rPr>
      </w:pPr>
    </w:p>
    <w:p>
      <w:pPr>
        <w:ind w:left="1040" w:right="89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ind w:left="1040" w:hanging="315"/>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administer the Title IV programs with adequate checks and balances in its system of internal controls;</w:t>
      </w:r>
    </w:p>
    <w:p>
      <w:pPr>
        <w:spacing w:after="0" w:line="20" w:lineRule="exact"/>
        <w:rPr>
          <w:rFonts w:ascii="Arial" w:cs="Arial" w:eastAsia="Arial" w:hAnsi="Arial"/>
          <w:sz w:val="17"/>
          <w:szCs w:val="17"/>
          <w:color w:val="auto"/>
        </w:rPr>
      </w:pPr>
    </w:p>
    <w:p>
      <w:pPr>
        <w:ind w:left="1040" w:right="51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9" w:lineRule="exact"/>
        <w:rPr>
          <w:rFonts w:ascii="Arial" w:cs="Arial" w:eastAsia="Arial" w:hAnsi="Arial"/>
          <w:sz w:val="18"/>
          <w:szCs w:val="18"/>
          <w:color w:val="auto"/>
        </w:rPr>
      </w:pPr>
    </w:p>
    <w:p>
      <w:pPr>
        <w:ind w:left="1040" w:right="5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11"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184"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23" w:lineRule="exact"/>
        <w:rPr>
          <w:rFonts w:ascii="Arial" w:cs="Arial" w:eastAsia="Arial" w:hAnsi="Arial"/>
          <w:sz w:val="18"/>
          <w:szCs w:val="18"/>
          <w:color w:val="auto"/>
        </w:rPr>
      </w:pPr>
    </w:p>
    <w:p>
      <w:pPr>
        <w:ind w:left="1040" w:right="15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9" w:lineRule="exact"/>
        <w:rPr>
          <w:rFonts w:ascii="Arial" w:cs="Arial" w:eastAsia="Arial" w:hAnsi="Arial"/>
          <w:sz w:val="18"/>
          <w:szCs w:val="18"/>
          <w:color w:val="auto"/>
        </w:rPr>
      </w:pPr>
    </w:p>
    <w:p>
      <w:pPr>
        <w:ind w:left="1040" w:right="99" w:hanging="315"/>
        <w:spacing w:after="0" w:line="26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Imposition of these sanctions could have a negative impact on our ability to conduct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HEA and ED regulations establish extensive standards of financial responsibility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192"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equity ratio, which measures the institution’s capital resources, financial viability and ability to borrow;</w:t>
      </w:r>
    </w:p>
    <w:p>
      <w:pPr>
        <w:spacing w:after="0" w:line="34" w:lineRule="exact"/>
        <w:rPr>
          <w:rFonts w:ascii="Arial" w:cs="Arial" w:eastAsia="Arial" w:hAnsi="Arial"/>
          <w:sz w:val="17"/>
          <w:szCs w:val="17"/>
          <w:color w:val="auto"/>
        </w:rPr>
      </w:pPr>
    </w:p>
    <w:p>
      <w:pPr>
        <w:ind w:left="1040" w:right="179" w:hanging="315"/>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211"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7"/>
          <w:szCs w:val="17"/>
          <w:color w:val="auto"/>
        </w:rPr>
        <w:t>ED assigns a strength factor to the results of each of these ratios on a scale from negative 1.0 to positive 3.0, with negative 1.0 reflecting financial weakness and positive 3.0 reflecting financial strength. ED then assigns a</w:t>
      </w:r>
    </w:p>
    <w:p>
      <w:pPr>
        <w:ind w:left="60" w:right="79"/>
        <w:spacing w:after="0" w:line="269" w:lineRule="auto"/>
        <w:rPr>
          <w:sz w:val="20"/>
          <w:szCs w:val="20"/>
          <w:color w:val="auto"/>
        </w:rPr>
      </w:pPr>
      <w:r>
        <w:rPr>
          <w:rFonts w:ascii="Arial" w:cs="Arial" w:eastAsia="Arial" w:hAnsi="Arial"/>
          <w:sz w:val="17"/>
          <w:szCs w:val="17"/>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18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 purposes, a poor composite score could have additional effects. For example, NC-SARA utilizes the composite score in determining whether an institution is eligible to participate in SARA.</w:t>
      </w:r>
    </w:p>
    <w:p>
      <w:pPr>
        <w:spacing w:after="0" w:line="182" w:lineRule="exact"/>
        <w:rPr>
          <w:sz w:val="20"/>
          <w:szCs w:val="20"/>
          <w:color w:val="auto"/>
        </w:rPr>
      </w:pPr>
    </w:p>
    <w:p>
      <w:pPr>
        <w:ind w:left="60" w:right="279" w:firstLine="648"/>
        <w:spacing w:after="0" w:line="291" w:lineRule="auto"/>
        <w:rPr>
          <w:sz w:val="20"/>
          <w:szCs w:val="20"/>
          <w:color w:val="auto"/>
        </w:rPr>
      </w:pPr>
      <w:r>
        <w:rPr>
          <w:rFonts w:ascii="Arial" w:cs="Arial" w:eastAsia="Arial" w:hAnsi="Arial"/>
          <w:sz w:val="16"/>
          <w:szCs w:val="16"/>
          <w:color w:val="auto"/>
        </w:rPr>
        <w:t>Per the audited financial statements of GCU as of June 30, 2022 and 2021, GCU’s composite score was 1.8 and 1.9, respectively, using the proprietary school calculation methodology. If GCU’s future composite scores do not exceed</w:t>
      </w:r>
    </w:p>
    <w:p>
      <w:pPr>
        <w:ind w:left="60" w:right="459"/>
        <w:spacing w:after="0" w:line="260" w:lineRule="auto"/>
        <w:rPr>
          <w:sz w:val="20"/>
          <w:szCs w:val="20"/>
          <w:color w:val="auto"/>
        </w:rPr>
      </w:pPr>
      <w:r>
        <w:rPr>
          <w:rFonts w:ascii="Arial" w:cs="Arial" w:eastAsia="Arial" w:hAnsi="Arial"/>
          <w:sz w:val="18"/>
          <w:szCs w:val="18"/>
          <w:color w:val="auto"/>
        </w:rPr>
        <w:t>1.5, ED could impose sanctions. If any such sanctions were imposed, it could have a negative impact on our ability to conduct our business.</w:t>
      </w:r>
    </w:p>
    <w:p>
      <w:pPr>
        <w:spacing w:after="0" w:line="18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Additionally, on January 4, 2023, the ED announced their intention to issue new regulations in eight different areas of higher education regulations via negotiated rulemaking, including on Return to Title IV funds. No specific proposals have been put forth at this time. To the extent our services for a university partner include conducting returns to Title IV, as they do with GCU, we would likely be jointly and severally liable to ED, along with the relevant university partner, for return of those funds.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 xml:space="preserve">The “90/10 Rule.” </w:t>
      </w:r>
      <w:r>
        <w:rPr>
          <w:rFonts w:ascii="Arial" w:cs="Arial" w:eastAsia="Arial" w:hAnsi="Arial"/>
          <w:sz w:val="17"/>
          <w:szCs w:val="17"/>
          <w:color w:val="auto"/>
        </w:rPr>
        <w:t>A requirement of the HEA, commonly referred to as the “90/10 Rule,” that is applicable only</w:t>
      </w:r>
      <w:r>
        <w:rPr>
          <w:rFonts w:ascii="Arial" w:cs="Arial" w:eastAsia="Arial" w:hAnsi="Arial"/>
          <w:sz w:val="17"/>
          <w:szCs w:val="17"/>
          <w:i w:val="1"/>
          <w:iCs w:val="1"/>
          <w:color w:val="auto"/>
        </w:rPr>
        <w:t xml:space="preserve"> </w:t>
      </w:r>
      <w:r>
        <w:rPr>
          <w:rFonts w:ascii="Arial" w:cs="Arial" w:eastAsia="Arial" w:hAnsi="Arial"/>
          <w:sz w:val="17"/>
          <w:szCs w:val="17"/>
          <w:color w:val="auto"/>
        </w:rPr>
        <w:t>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ED. If an institution’s rate exceeds 90% for any single fiscal year, it will be placed on provisional certification for at least two fiscal years.</w:t>
      </w:r>
    </w:p>
    <w:p>
      <w:pPr>
        <w:spacing w:after="0" w:line="17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Using the ED’s cash-basis, regulatory formula under the 90/10 Rule as currently in effect, GCU, our most significant client, derived approximately 66.2% and 69.7% of its 90/10 Rule revenue from Title IV program funds for the fiscal years ended June 30, 2022 and 2021, respectively, per GCU’s audited financial statements. Accordingly, even if ED continues to treat GCU as a proprietary institution for Title IV purposes, we do not expect this rule to have any material impact on GCU.</w:t>
      </w:r>
    </w:p>
    <w:p>
      <w:pPr>
        <w:spacing w:after="0" w:line="188"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In March 2021, the $1.9 trillion American Rescue Plan Act of 2021 (“ARPA”) was signed into law. Among other things, the ARPA also includes a provision that amends the 90/10 rule. The ARPA amends the 90/10 rule by treating other “Federal funds that are disbursed or delivered to or on behalf of a student to be used to attend such institution” in the same way as Title IV funds are currently treated in the 90/10 rule calculation. This means that institutions subject to the 90/10 Rule will be required to limit the combined amount of Title IV funds and applicable “Federal funds” revenue in a fiscal year to no more than 90% in a fiscal year as calculated under the rule. Consequently, the ARPA change to the 90/10 rule is expected to increase the 90/10 rule calculations at GCU. The ARPA does not identify the specific Federal funding programs that will be covered by this provision, but it is expected to include funding from federal student aid programs such as the veterans’ benefits programs. GCU has informed us that it does not believe any change to the 90/10 rule calculation being currently discussed will have a material impact on its calculation.</w:t>
      </w:r>
    </w:p>
    <w:p>
      <w:pPr>
        <w:spacing w:after="0" w:line="168"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The ARPA states that the amendments to the 90/10 rule apply to institutional fiscal years beginning on or after January 1, 2023 and are subject to the HEA’s negotiated rulemaking process which may not commence earlier than October 1, 2021. ED started the negotiated rulemaking process in January 2022. In March 2022, the negotiated rulemaking committee reached consensus on changes to the 90/10 Rule. On July 26, 2022, ED released proposed 90/10 regulations consistent with this consensus language which revised the definition of “federal education assistance” that will include tuition assistance programs offered by the U.S. Department of Defense and U.S. Department of Veterans Affairs (“VA”), in addition to the Title IV programs already covered by the 90/10 Rule. On October 27, 2022, following a 30 day comment period that ended August 26, 2022, ED released final 90/10 regulations, which are consistent with the consensus language. The new 90/10 regulations are effective for fiscal years beginning on or after January 1, 2023.</w:t>
      </w:r>
    </w:p>
    <w:p>
      <w:pPr>
        <w:spacing w:after="0" w:line="166"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Other legislation has been introduced in both chambers of Congress that seeks to modify the 90/10 Rule further, including proposals to change the ratio requirement to 85/15 (federal to nonfederal revenue), or to eliminate the 90/10 Rule. We cannot predict whether or how legislative or regulatory changes will affect the 90/10 Rule.</w:t>
      </w:r>
    </w:p>
    <w:p>
      <w:pPr>
        <w:spacing w:after="0" w:line="16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HEA, an educational institution may lose its eligibility to participate in some or</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(known as the “three-year method”).</w:t>
      </w:r>
    </w:p>
    <w:p>
      <w:pPr>
        <w:spacing w:after="0" w:line="192"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ED applies legal thresholds to measure an institution’s compliance. If ED notifies an institution that its cohort default rates exceeded 30%, for each of its three most recent federal fiscal years, the institution’s participation in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4" w:lineRule="auto"/>
        <w:rPr>
          <w:sz w:val="20"/>
          <w:szCs w:val="20"/>
          <w:color w:val="auto"/>
        </w:rPr>
      </w:pPr>
      <w:r>
        <w:rPr>
          <w:rFonts w:ascii="Arial" w:cs="Arial" w:eastAsia="Arial" w:hAnsi="Arial"/>
          <w:sz w:val="16"/>
          <w:szCs w:val="16"/>
          <w:color w:val="auto"/>
        </w:rPr>
        <w:t>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w:t>
      </w:r>
    </w:p>
    <w:p>
      <w:pPr>
        <w:spacing w:after="0" w:line="4"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fiscal years. If an institution’s cohort default rate for any single federal fiscal year equals or exceeds 30%, ED may place the institution on provisional certification status.</w:t>
      </w:r>
    </w:p>
    <w:p>
      <w:pPr>
        <w:spacing w:after="0" w:line="18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Student Loan Relief. </w:t>
      </w:r>
      <w:r>
        <w:rPr>
          <w:rFonts w:ascii="Arial" w:cs="Arial" w:eastAsia="Arial" w:hAnsi="Arial"/>
          <w:sz w:val="17"/>
          <w:szCs w:val="17"/>
          <w:color w:val="auto"/>
        </w:rPr>
        <w:t>On August 24, 2022, ED announced that it would provide student loan relief to eligible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borrowers to address financial hardships in connection with the COVID-19 pandemic. Under the relief measures, up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$10,000 in student debt will be forgiven for individual borrowers earning less than $125,000 or married couples or heads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household earning less than $250,000, and up to $20,000 will be forgiven for such borrowers who formerly received Pell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Grants. In a memorandum prepared by ED General Counsel, ED stated that it has interpreted provisions of the Higher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Education Relief Opportunities for Students Act of 2003 to authorize the Secretary to exercise broad discretion in granting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student loan relief. Since ED’s student loan relief announcement, multiple lawsuits have been filed against ED challenging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its authority to grant such relief. The U.S. Supreme Court will hear arguments on this matter on February 28, 2023 and will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likely issue an opinion in June 2023. We cannot predict the outcome of these lawsuits.</w:t>
      </w:r>
    </w:p>
    <w:p>
      <w:pPr>
        <w:spacing w:after="0" w:line="21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ED also announced its intent to publish a proposed rule to create a new income-driven repayment plan to reduce future monthly payments for lower- and middle-income borrowers. The new plan would include a lower payment cap, coverage of unpaid monthly interest, and loan forgiveness after 10 years of payment for borrowers with original loan balances under a certain threshold.</w:t>
      </w:r>
    </w:p>
    <w:p>
      <w:pPr>
        <w:spacing w:after="0" w:line="187"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i w:val="1"/>
          <w:iCs w:val="1"/>
          <w:color w:val="auto"/>
        </w:rPr>
        <w:t xml:space="preserve">Incentive compensation rule. </w:t>
      </w:r>
      <w:r>
        <w:rPr>
          <w:rFonts w:ascii="Arial" w:cs="Arial" w:eastAsia="Arial" w:hAnsi="Arial"/>
          <w:sz w:val="17"/>
          <w:szCs w:val="17"/>
          <w:color w:val="auto"/>
        </w:rPr>
        <w:t>An institution that participates in the Title IV programs may not provide any</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bonus, or other incentive payment based directly or indirectly on success in securing enrollments or financial aid to any person or entity engaged in any student recruitment, admissions, or financial aid awarding activity. In its program participation agreement with ED, each higher education institution agrees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rule,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w:t>
      </w:r>
    </w:p>
    <w:p>
      <w:pPr>
        <w:spacing w:after="0" w:line="17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provide. Example 2-B in the DCL is described as a “possible business model” developed “with the statutory mandate in mind.” Example 2-B describes the following as a possible business model:</w:t>
      </w:r>
    </w:p>
    <w:p>
      <w:pPr>
        <w:spacing w:after="0" w:line="170" w:lineRule="exact"/>
        <w:rPr>
          <w:sz w:val="20"/>
          <w:szCs w:val="20"/>
          <w:color w:val="auto"/>
        </w:rPr>
      </w:pPr>
    </w:p>
    <w:p>
      <w:pPr>
        <w:ind w:left="700" w:right="119"/>
        <w:spacing w:after="0" w:line="254" w:lineRule="auto"/>
        <w:rPr>
          <w:sz w:val="20"/>
          <w:szCs w:val="20"/>
          <w:color w:val="auto"/>
        </w:rPr>
      </w:pPr>
      <w:r>
        <w:rPr>
          <w:rFonts w:ascii="Arial" w:cs="Arial" w:eastAsia="Arial" w:hAnsi="Arial"/>
          <w:sz w:val="18"/>
          <w:szCs w:val="18"/>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9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addition, we have requested guidance from ED that our specific model is proper under the incentive compensation rule and that our company is not an “affiliate” of GCU for purposes of the DCL. We are awaiting a response to this guidance request. See “Risk Factors – Risks Related to Our Business - If we are determined to have paid improper incentive compensation to our covered employees, or tuition sharing arrangements are deemed to violate the incentive compensation regulations, our business will be impaired.”</w:t>
      </w:r>
    </w:p>
    <w:p>
      <w:pPr>
        <w:spacing w:after="0" w:line="188"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i w:val="1"/>
          <w:iCs w:val="1"/>
          <w:color w:val="auto"/>
        </w:rPr>
        <w:t>Borrower Defense to Repayment regulations</w:t>
      </w:r>
      <w:r>
        <w:rPr>
          <w:rFonts w:ascii="Arial" w:cs="Arial" w:eastAsia="Arial" w:hAnsi="Arial"/>
          <w:sz w:val="16"/>
          <w:szCs w:val="16"/>
          <w:color w:val="auto"/>
        </w:rPr>
        <w:t>. ED has long had a regulation that establishes standards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that govern their ability to raise defenses to their obligation to repay certain Title IV loans, which defenses were based on certain acts or omissions of the institution that relate to the making of the loan for enrollment at the school or the provision of educational services for which the loan was provided and that gave rise to a cause of action under state law against the school. This regulation currently applies to all loans first disbursed prior to July 1, 2017.</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2016, ED published a regulatory package related to “Borrower Defense to Repayment.” This was a highly consequential rule that, among other things, would make it easier for borrowers – individually or in groups – to extinguish, in whole or in part, their student loans based on whether:</w:t>
      </w:r>
    </w:p>
    <w:p>
      <w:pPr>
        <w:spacing w:after="0" w:line="184" w:lineRule="exact"/>
        <w:rPr>
          <w:sz w:val="20"/>
          <w:szCs w:val="20"/>
          <w:color w:val="auto"/>
        </w:rPr>
      </w:pPr>
    </w:p>
    <w:p>
      <w:pPr>
        <w:ind w:left="1040" w:right="31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or a governmental agency, has obtained against the school a nondefault, favorable contested judgment based on state or federal law in a court of administrative tribunal;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institution failed to perform its obligations under the terms of a contract with the student; or</w:t>
      </w:r>
    </w:p>
    <w:p>
      <w:pPr>
        <w:spacing w:after="0" w:line="225" w:lineRule="exact"/>
        <w:rPr>
          <w:rFonts w:ascii="Arial" w:cs="Arial" w:eastAsia="Arial" w:hAnsi="Arial"/>
          <w:sz w:val="18"/>
          <w:szCs w:val="18"/>
          <w:color w:val="auto"/>
        </w:rPr>
      </w:pPr>
    </w:p>
    <w:p>
      <w:pPr>
        <w:ind w:left="1040" w:right="119" w:hanging="315"/>
        <w:spacing w:after="0" w:line="275"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school or any of its representatives (including contractors) or any institution, organization, or person with whom the school has an agreement to provide educational programs, or to provide marketing, advertising, recruiting or admissions services, made a substantial misrepresentation (as defined by ED regulations) that the borrower reasonably relied on to the borrower’s detriment when the borrower decided to attend, or to continue attending, the school or decided to take out a Direct Loan.</w:t>
      </w:r>
    </w:p>
    <w:p>
      <w:pPr>
        <w:spacing w:after="0" w:line="176"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These regulations also established separate procedures for claims initiated for individual borrowers and claims initiated for groups of borrowers as well as separate procedures in the event that the institution is open or closed. The rules established varying, borrower-favorable statutes of limitations for the initiation of claims and, in some cases,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auto"/>
        </w:rPr>
        <w:t>imposed an unlimited statute of limitations. If the ED official or hearing official approves the borrower’s defense to repayment through the applicable administrative process established in the proposed regulations, ED may discharge the borrower’s obligation to repay some or all of the borrower’s student loans, may return to the borrower amounts already paid by the borrower toward the discharged portion of the loan, and may initiate a separate proceeding to collect the discharged and returned amounts from the institution.</w:t>
      </w:r>
    </w:p>
    <w:p>
      <w:pPr>
        <w:spacing w:after="0" w:line="1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Although ED attempted to prevent the effectiveness of these regulations, an October 2018 court decision mandated that the Borrower Defense to Repayment regulations that were originally published by ED in 2016 are now in effect and apply to loans first disbursed after July 1, 2017, and (because of recent regulatory developments) prior to July 1, 2020.</w:t>
      </w:r>
    </w:p>
    <w:p>
      <w:pPr>
        <w:spacing w:after="0" w:line="187"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September 23, 2019, ED published new regulations related to the “Borrower Defense to Repayment” regulations. These regulations, which went into effect July 1, 2020 modify the existing regulations to now permit borrowers to raise as a defense to repayment on a student loan any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Among other things, the new regulations modify the procedures and standards for borrowers to assert through an ED-administered process a defense to the borrowers’ obligation to repay certain Title IV loans first disbursed on or after July 1, 2020, based on certain acts or omissions by the institution or a covered party. The procedures establish a process for students to obtain a loan discharge by establishing by a preponderance of the evidence that the institution made a misrepresentation of material fact, upon which the borrower reasonably relied in deciding to obtain a covered loan, where such misrepresentation directly and clearly relates to enrollment or continuing enrollment at the institution or to the provision of educational services for which the loan was made, and where the borrower was financially harmed by the misrepresentation. The regulations establish revised definitions for misrepresentation and financial harm, identify a nonexclusive list of items that may be evidence that a misrepresentation occurred, identify a list of items that do not constitute a basis for a defense to repayment. The regulations also set forth rules on a limitations period for submitting claims and circumstances for extending this period, on the requirements for submitting an application for a discharge, on the consideration of the application by ED, on the opportunities for the institution to respond and submit evidence, and on the process for discharging the borrower’s loan and for ED to seek recovery of the discharged amounts from the institution.</w:t>
      </w:r>
    </w:p>
    <w:p>
      <w:pPr>
        <w:spacing w:after="0" w:line="3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In addition to revising the claims for defenses to repayment, the 2019 Borrower Defense to Repayment regulations that became effective on July 1, 2020, revises the financial responsibility regulations that were a part of the 2016 version of those regulations. The 2019 regulation shortens and reduces the scope of the list of events that could result in ED determining that an institution has failed ED’s financial responsibility standards and requiring a letter of credit or other form of acceptable financial protection and the acceptance of other conditions or requirements. Specifically, the regulations establish revised lists of mandatory triggering events and discretionary triggering events. The regulation also establishes discretionary triggering events for which ED may determine that an institution is not able to meet its financial or administrative obligations if the events are likely to have a material adverse effect on the financial condition of the institution. The regulations require the institution to notify ED of the occurrence of a mandatory or discretionary event in accordance with procedures established by ED, typically within 10 days of the occurrence of the event with certain exceptions. ED may make a determination that an institution fails to meet the financial responsibility standards based on the occurrence of one or more mandatory or discretionary triggers and impose a letter of credit and/or other conditions upon the institution. As with the 2016 version of this rule, the 2019 version of the regulations could require institutions we service – like GCU – to submit a letter of credit or other form of acceptable financial protection and accept other conditions or requirements. This could put financial strain on our university partners and negatively affect our business.</w:t>
      </w:r>
    </w:p>
    <w:p>
      <w:pPr>
        <w:spacing w:after="0" w:line="16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On August 10, 2021, the ED announced its intention to establish a negotiated rulemaking committee to develop proposed regulations for borrower defenses to repayment and other topics related to programs authorized under Title IV of the HEA. Negotiated rulemaking for the Affordability and Student Loans Committee began in October 2021 and concluded in December 2021, with the committee failing to reach consensus on Borrower Defense to Repayment (“BDTR”). On October 31, 2022, the ED released final BDTR regulations. Among other things, the final rule sets a single standard and streamlined process for relief that will apply to all future and pending BDTR claims as of July 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2023, instead of various standards based on the date of the borrower’s first loan disbursement; define what kinds of misconduct could lead to borrower defense discharges, including substantial misrepresentations, substantial omissions of fact, breaches of contract, aggressive and deceptive recruitment, and state or federal judgments or final ED actions that could give rise to a BDTR claim; establish a reconsideration process for borrowers whose claims are not approved for a full discharge; and create a process for forming groups of borrowers and adjudicating claims based on the common facts of those group claims. The final rule also sets the expectation that the ED will hold colleges accountable for the cost of discharges, including establishing a recoupment process separate from the approval of BDTR claims. In addition, the final rule prohibits institutions from requiring borrowers to sign mandatory pre-dispute arbitration agreements or class action waivers for claims related to the making of a Federal Direct Loan or the provision of educational services for which the loan was obtained.</w:t>
      </w:r>
    </w:p>
    <w:p>
      <w:pPr>
        <w:spacing w:after="0" w:line="185"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Note, the borrower defense to repayment regulations discussed herein were and are extensive and this does not attempt to discuss all the facets of any of the versions of these regulations. We cannot determine what effect of these regulations on out university partners or on GCE.</w:t>
      </w:r>
    </w:p>
    <w:p>
      <w:pPr>
        <w:spacing w:after="0" w:line="18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i w:val="1"/>
          <w:iCs w:val="1"/>
          <w:color w:val="auto"/>
        </w:rPr>
        <w:t xml:space="preserve">Compliance reviews. </w:t>
      </w:r>
      <w:r>
        <w:rPr>
          <w:rFonts w:ascii="Arial" w:cs="Arial" w:eastAsia="Arial" w:hAnsi="Arial"/>
          <w:sz w:val="18"/>
          <w:szCs w:val="18"/>
          <w:color w:val="auto"/>
        </w:rPr>
        <w:t>Our client institutions are subject to announced and unannounced compliance reviews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audits 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19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Additionally, on October 8, 2021, ED announced establishment of an Office of Enforcement within ED's Office of Federal Student Aid, designed to strengthen oversight over and enforcement against postsecondary schools that participate in federal student loan, grant, and work-study programs. The Office of Enforcement restores an office first established by ED in 2016. ED announced the Office of Enforcement would comprise four existing divisions: Administrative Actions and Appeals Services Group, Borrower Defense Group, Investigations Group, and Resolution and Referral Management Group. ED intends the Office of Enforcement to coordinate with other state and federal partners, including the Department of Justice, Consumer Financial Protection Bureau, Federal Trade Commission, and state attorneys general.</w:t>
      </w:r>
    </w:p>
    <w:p>
      <w:pPr>
        <w:spacing w:after="0" w:line="16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As a third-party servicer, not only are our university partners subject to reviews and audits that may require our involvement, but we are also subject to program reviews from ED and the Office of the Inspector General. Further, we also have an obligation to annually submit to ED a Title IV compliance audit conducted by an independent certified public accountant in accordance with applicable federal and ED audit standards.</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 xml:space="preserve">Gainful employment rules. </w:t>
      </w:r>
      <w:r>
        <w:rPr>
          <w:rFonts w:ascii="Arial" w:cs="Arial" w:eastAsia="Arial" w:hAnsi="Arial"/>
          <w:sz w:val="17"/>
          <w:szCs w:val="17"/>
          <w:color w:val="auto"/>
        </w:rPr>
        <w:t>Under the HEA, proprietary schools are eligible to participate in Title IV programs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 While this change was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is no longer subject to the gainful employment rules. While GCU largely complied with the previously published gainful employment rules, the previously published draft rates did indicate that four current degree programs were in the “Zone” – that is, potentially faced sanctions in the future if GCU could not reform the program to comply with the regulations – including three undergraduate education programs and the Masters in Theology.</w:t>
      </w:r>
    </w:p>
    <w:p>
      <w:pPr>
        <w:spacing w:after="0" w:line="182"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On December 8, 2021, ED announced its intention to establish negotiated rulemaking committees to develop proposed regulations for gainful employment and other topics related to programs authorized under Title IV of the HEA. Negotiated rulemaking committee sessions occurred January-March 2022, and the Institutional and Programmatic Eligibility committee failed to reach consensus on the Gainful Employment topic. ED has indicated its intention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publish draft Gainful Employment rules in April 2023, which would be effective no earlier than July 2024. While we are watching this process closely, we cannot determine what the outcome will be or the effect of these regulations on out university partners or on GCE.</w:t>
      </w:r>
    </w:p>
    <w:p>
      <w:pPr>
        <w:spacing w:after="0" w:line="18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HEA prohibits an institution that participates in Title IV programs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164"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149"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subcontractors.</w:t>
      </w:r>
    </w:p>
    <w:p>
      <w:pPr>
        <w:spacing w:after="0" w:line="166" w:lineRule="exact"/>
        <w:rPr>
          <w:sz w:val="20"/>
          <w:szCs w:val="20"/>
          <w:color w:val="auto"/>
        </w:rPr>
      </w:pPr>
    </w:p>
    <w:p>
      <w:pPr>
        <w:ind w:left="60" w:right="459" w:firstLine="648"/>
        <w:spacing w:after="0" w:line="311" w:lineRule="auto"/>
        <w:rPr>
          <w:sz w:val="20"/>
          <w:szCs w:val="20"/>
          <w:color w:val="auto"/>
        </w:rPr>
      </w:pPr>
      <w:r>
        <w:rPr>
          <w:rFonts w:ascii="Arial" w:cs="Arial" w:eastAsia="Arial" w:hAnsi="Arial"/>
          <w:sz w:val="16"/>
          <w:szCs w:val="16"/>
          <w:color w:val="auto"/>
        </w:rPr>
        <w:t>Additionally, matters regarding substantial misrepresentation, and defining what constitutes “aggressive recruiting,” are currently the subject of negotiated rulemaking. While we are watching this process closely, we cannot determine what the outcome will be or the effect of these regulations on out university partners or on GCE.</w:t>
      </w:r>
    </w:p>
    <w:p>
      <w:pPr>
        <w:spacing w:after="0" w:line="149"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color w:val="auto"/>
        </w:rPr>
        <w:t>Despite our best efforts, we may face complaints from students and prospective students of our university partners over statements made by us and our agents throughout the conduct of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Federal Trade Commission (“ FTC”) applies similar</w:t>
      </w:r>
    </w:p>
    <w:p>
      <w:pPr>
        <w:spacing w:after="0" w:line="6"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rules prohibiting any unfair or deceptive marketing practices to the education sector. On October 6, 2021 the FTC announced that it is resurrecting Penalty Offense Authority under Section 5(m) of the FTC Act (the “Act”). Under the Act, the FTC may secure penalties against entities not a party to an original proceeding if the FTC can show that the entity had actual knowledge that the conduct in question was found to be unfair or deceptive. Entities that have actual knowledge of acts or practices the FTC has found to be unlawful and that subsequently engage in such unlawful acts or practices may be held liable for civil penalties up to $50,120 per violation. Also on October 6, 2021, in an effort to establish actual knowledge and create a pathway for penalties in the event of post-notice acts or practices, the FTC issued notice to the 70 largest for-profit schools based on enrollment and revenues. The notice included a list of acts and practices that the FTC has determined are unfair or deceptive, including but not limited to acts relating to misrepresentation of employment opportunities and other benefits, together with citation to various prior determinations from cases previously litigated by the FTC. GCU received the FTC’s notice on October 7, 2021. The FTC made clear that receipt of the notice itself does not reflect any assessment as to whether GCU has engaged in deceptive or unfair conduct.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If ED or another regulator determines that statements made by us or on our behalf are in violation of the regulations, we could be subject to sanctions and other liability, which could have a material adverse effect on our business.</w:t>
      </w:r>
    </w:p>
    <w:p>
      <w:pPr>
        <w:spacing w:after="0" w:line="124"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i w:val="1"/>
          <w:iCs w:val="1"/>
          <w:color w:val="auto"/>
        </w:rPr>
        <w:t xml:space="preserve">Negotiated Rulemaking. </w:t>
      </w:r>
      <w:r>
        <w:rPr>
          <w:rFonts w:ascii="Arial" w:cs="Arial" w:eastAsia="Arial" w:hAnsi="Arial"/>
          <w:sz w:val="17"/>
          <w:szCs w:val="17"/>
          <w:color w:val="auto"/>
        </w:rPr>
        <w:t>ED periodically issues new regulations and guidance that can have an adverse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our partner institutions. ED has changed its regulations, and may make other changes in the future, in a manner which could require us to incur additional costs in connection with providing the services that we provide our partners affect their ability to remain eligible to participate in the Title IV programs, impose restrictions on their participation in the Title IV programs, affect the rate at which students enroll in our partners’ programs, or otherwise have a significant impact on our business and results of operations. We cannot predict the timing and content of any new regulations or guidance that ED may seek to impose or whether and to what extent ED under the new administration may issue new regulations and guidance that could adversely impact our partner institutions.</w:t>
      </w:r>
    </w:p>
    <w:p>
      <w:pPr>
        <w:spacing w:after="0" w:line="178"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 xml:space="preserve">In May 2021, ED announced its intention to establish negotiated rulemaking committees to prepare proposed regulations on an extensive range of topics including without limitation changes of ownership and change in control of institutions of higher education, certification procedures for participation in the Title IV programs, standards of administrative capability, ability to benefit standards, borrower defense to repayment, discharges for borrowers with a total and permanent disability, closed school loan discharges, discharges for false certification of student eligibility, loan repayment plans, the public service loan forgiveness program, mandatory pre-dispute arbitration and prohibition of class action lawsuits provisions in institutional enrollment agreements, financial responsibility standards including events that indicate heightened financial risk, gainful employment, and Pell Grant eligibility for prison education programs. Additionally, on October 4, 2021, ED published a notice in the </w:t>
      </w:r>
      <w:r>
        <w:rPr>
          <w:rFonts w:ascii="Arial" w:cs="Arial" w:eastAsia="Arial" w:hAnsi="Arial"/>
          <w:sz w:val="17"/>
          <w:szCs w:val="17"/>
          <w:i w:val="1"/>
          <w:iCs w:val="1"/>
          <w:color w:val="auto"/>
        </w:rPr>
        <w:t>Federal Register</w:t>
      </w:r>
      <w:r>
        <w:rPr>
          <w:rFonts w:ascii="Arial" w:cs="Arial" w:eastAsia="Arial" w:hAnsi="Arial"/>
          <w:sz w:val="17"/>
          <w:szCs w:val="17"/>
          <w:color w:val="auto"/>
        </w:rPr>
        <w:t xml:space="preserve"> announcing its intention to establish a negotiated rulemaking committee to prepare proposed regulations affecting institutional and programmatic eligibility, including the gainful employment rule and the 90/10 rule changes made by the ARPA. ED published many of these regulations in Fall of 2022, some of which are discussed herein. Additionally, ED is expected to publish proposed regulations related to gainful employment in the </w:t>
      </w:r>
      <w:r>
        <w:rPr>
          <w:rFonts w:ascii="Arial" w:cs="Arial" w:eastAsia="Arial" w:hAnsi="Arial"/>
          <w:sz w:val="17"/>
          <w:szCs w:val="17"/>
          <w:i w:val="1"/>
          <w:iCs w:val="1"/>
          <w:color w:val="auto"/>
        </w:rPr>
        <w:t>Federal Register</w:t>
      </w:r>
      <w:r>
        <w:rPr>
          <w:rFonts w:ascii="Arial" w:cs="Arial" w:eastAsia="Arial" w:hAnsi="Arial"/>
          <w:sz w:val="17"/>
          <w:szCs w:val="17"/>
          <w:color w:val="auto"/>
        </w:rPr>
        <w:t xml:space="preserve"> for public comment in April 2023. If the final regulations are published by or before November 1, 2023, then the regulations typically would not take effect until July 1, 2024. However, we cannot predict the ultimate timing and content of any final regulations following the conclusion of the rulemaking process. The negotiated rulemaking process could lead to future ED regulations that could adversely impact our partner institutions.</w:t>
      </w:r>
    </w:p>
    <w:p>
      <w:pPr>
        <w:spacing w:after="0" w:line="191" w:lineRule="exact"/>
        <w:rPr>
          <w:sz w:val="20"/>
          <w:szCs w:val="20"/>
          <w:color w:val="auto"/>
        </w:rPr>
      </w:pPr>
    </w:p>
    <w:p>
      <w:pPr>
        <w:ind w:left="60" w:right="559" w:firstLine="648"/>
        <w:spacing w:after="0" w:line="258" w:lineRule="auto"/>
        <w:rPr>
          <w:sz w:val="20"/>
          <w:szCs w:val="20"/>
          <w:color w:val="auto"/>
        </w:rPr>
      </w:pPr>
      <w:r>
        <w:rPr>
          <w:rFonts w:ascii="Arial" w:cs="Arial" w:eastAsia="Arial" w:hAnsi="Arial"/>
          <w:sz w:val="18"/>
          <w:szCs w:val="18"/>
          <w:color w:val="auto"/>
        </w:rPr>
        <w:t>On January 4, 2023, ED announced their intention to issue new regulations in eight different areas of higher education regulations via negotiated rulemaking. The topics include:</w:t>
      </w:r>
    </w:p>
    <w:p>
      <w:pPr>
        <w:spacing w:after="0" w:line="1" w:lineRule="exact"/>
        <w:rPr>
          <w:sz w:val="20"/>
          <w:szCs w:val="20"/>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Distance Education</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Accreditation and Related Issues</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Authorization</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Servicers and Related Agencies</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Management</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Return to Title IV</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TRIO Programs</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Improving Use of Deferments and Forbearances.</w:t>
      </w:r>
    </w:p>
    <w:p>
      <w:pPr>
        <w:spacing w:after="0" w:line="211"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While ED has announced their intent to move forward on these topics in April, no proposed language has yet been put forth. It is expected that ED will soon give dates and times for at least two or more regional field hearings seeking public comment on the proposed regulatory topics they intend to review and rewrite. They will also provide a calendar for when the required negotiated rulemaking sessions will be held. While we will be watching this closely, we cannot predict what, if any impact this rulemaking will have on our business.</w:t>
      </w:r>
    </w:p>
    <w:p>
      <w:pPr>
        <w:spacing w:after="0" w:line="188"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We cannot predict with certainty the ultimate combined impact of the regulatory changes which have occurred in recent years and that may occur as a result of the upcoming negotiated rulemaking, nor can we predict the effect of future legislative or regulatory action by federal, state or other agencies regulating our education programs or other aspects of our operations, how any resulting regulations will be interpreted or whether we and our partner institutions will be able to comply with these requirements in the future. Any such actions by legislative or regulatory bodies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affect our programs and operations could have a material adverse effect on our student population and our partner institutions, including the need to cease offering a number of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22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8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and, similarly, is not required to obtain advance approval for new programs that prepare students for gainful employment in the same or a related recognized occupation as an educational program that has previously been designated by ED as an eligible program at that institution if it meets certain minimum-length requirements. GCU, because it is currently certified to participate in the Title IV programs on a month-to-month basis, is required to obtain ED approval for new programs, which requirement could impede GCU’s ability to introduce new programs and slow its growth.</w:t>
      </w:r>
    </w:p>
    <w:p>
      <w:pPr>
        <w:spacing w:after="0" w:line="18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i w:val="1"/>
          <w:iCs w:val="1"/>
          <w:color w:val="auto"/>
        </w:rPr>
        <w:t>There are many factors that affect our business, financial condition, operating results, cash flows and distributions,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168"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 currently provide services to 27 university partners across the United States, GCU is, and will for the foreseeable future remain, our most significant university partner. Accordingly, the risk factors set forth below also include risks attributable to GCU’s operations, which could materially affect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GCU</w:t>
      </w:r>
    </w:p>
    <w:p>
      <w:pPr>
        <w:spacing w:after="0" w:line="229"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184"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We expect the revenue derived from our Master Services Agreement with GCU to account for a large percentage of our revenue for the foreseeable future. Any decline in reputation or changes in policies of GCU could adversely affect its student enrollment and its overall financial and operating results, which could materially impact us.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Furthermore, GCU has the right to terminate the Master Services Agreement early after seven (7) years and, upon the termination or expiration of the Master Services Agreement, GCU is not required to continue using us as the provider of the services set forth thereunder. If GCU were to terminate or not renew its relationship with us, or if certain of the programs offered by GCU pursuant to the Master Services Agreement were to materially underperform for any reason, it could negatively affect our reputation, revenue and future operating results.</w:t>
      </w:r>
    </w:p>
    <w:p>
      <w:pPr>
        <w:spacing w:after="0" w:line="176"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146"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While GCE believes that its relationship with GCU will remain strong, GCU’s board of trustees and management have fiduciary and other duties that require them to focus on the best interests of GCU and, over time, those interests could diverge from those of GCE.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Chief Executive Officer’s role as President of GCU may adversely affect his ability to run GCE</w:t>
      </w:r>
      <w:r>
        <w:rPr>
          <w:rFonts w:ascii="Arial" w:cs="Arial" w:eastAsia="Arial" w:hAnsi="Arial"/>
          <w:sz w:val="18"/>
          <w:szCs w:val="18"/>
          <w:color w:val="auto"/>
        </w:rPr>
        <w:t>.</w:t>
      </w:r>
    </w:p>
    <w:p>
      <w:pPr>
        <w:spacing w:after="0" w:line="22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Mr. Brian E. Mueller has served as the Chief Executive Officer of GCE since 2008, the Chairman of the Board of GCE since 2017 and the President of GCU since 2012. In connection with the Transaction, the Board of Directors of GCE and the board of trustees of GCU each determined that Mr. Mueller should retain those roles. Accordingly, Mr. Mueller serves as the Chairman of the Board and Chief Executive Officer of GCE and as the President of GCU, although he is prohibited from serving on the board of trustees of GCU. Our Board and the board of trustees of GCU each recognized that Mr. Mueller’s dual role could raise conflict of interest issues. Accordingly, at the time of the Transaction,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GCE and GCU relating to, the Master Services Agreement. In addition, Mr. Mueller’s dual capacity may at times adversely affect his ability to devote time, attention, and effort to GCE.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Risks Related to Our Business</w:t>
      </w:r>
    </w:p>
    <w:p>
      <w:pPr>
        <w:spacing w:after="0" w:line="229" w:lineRule="exact"/>
        <w:rPr>
          <w:sz w:val="20"/>
          <w:szCs w:val="20"/>
          <w:color w:val="auto"/>
        </w:rPr>
      </w:pPr>
    </w:p>
    <w:p>
      <w:pPr>
        <w:ind w:left="60" w:right="659"/>
        <w:spacing w:after="0" w:line="381" w:lineRule="auto"/>
        <w:rPr>
          <w:sz w:val="20"/>
          <w:szCs w:val="20"/>
          <w:color w:val="auto"/>
        </w:rPr>
      </w:pPr>
      <w:r>
        <w:rPr>
          <w:rFonts w:ascii="Arial" w:cs="Arial" w:eastAsia="Arial" w:hAnsi="Arial"/>
          <w:sz w:val="15"/>
          <w:szCs w:val="15"/>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00"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7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In addition, the regulation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Example 2-B in the DCL is described as a “possible business model” developed “with the statutory mandate in mind.”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Example 2-B describes the following as a possible business model:</w:t>
      </w:r>
    </w:p>
    <w:p>
      <w:pPr>
        <w:spacing w:after="0" w:line="211" w:lineRule="exact"/>
        <w:rPr>
          <w:sz w:val="20"/>
          <w:szCs w:val="20"/>
          <w:color w:val="auto"/>
        </w:rPr>
      </w:pPr>
    </w:p>
    <w:p>
      <w:pPr>
        <w:ind w:left="700" w:right="119"/>
        <w:spacing w:after="0" w:line="254" w:lineRule="auto"/>
        <w:rPr>
          <w:sz w:val="20"/>
          <w:szCs w:val="20"/>
          <w:color w:val="auto"/>
        </w:rPr>
      </w:pPr>
      <w:r>
        <w:rPr>
          <w:rFonts w:ascii="Arial" w:cs="Arial" w:eastAsia="Arial" w:hAnsi="Arial"/>
          <w:sz w:val="18"/>
          <w:szCs w:val="18"/>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92" w:lineRule="exact"/>
        <w:rPr>
          <w:sz w:val="20"/>
          <w:szCs w:val="20"/>
          <w:color w:val="auto"/>
        </w:rPr>
      </w:pPr>
    </w:p>
    <w:p>
      <w:pPr>
        <w:ind w:left="60" w:right="999"/>
        <w:spacing w:after="0" w:line="277" w:lineRule="auto"/>
        <w:rPr>
          <w:sz w:val="20"/>
          <w:szCs w:val="20"/>
          <w:color w:val="auto"/>
        </w:rPr>
      </w:pPr>
      <w:r>
        <w:rPr>
          <w:rFonts w:ascii="Arial" w:cs="Arial" w:eastAsia="Arial" w:hAnsi="Arial"/>
          <w:sz w:val="18"/>
          <w:szCs w:val="18"/>
          <w:b w:val="1"/>
          <w:bCs w:val="1"/>
          <w:i w:val="1"/>
          <w:iCs w:val="1"/>
          <w:color w:val="auto"/>
        </w:rPr>
        <w:t>We may have difficulty integrating future acquisitions, which would reduce the anticipated benefits of those transactions.</w:t>
      </w:r>
    </w:p>
    <w:p>
      <w:pPr>
        <w:spacing w:after="0" w:line="170"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We intend to continually evaluate potential acquisitions of complementary businesses, products, services and technologies, including those that are significant in size and scope. The risks we may encounter in acquisitions include:</w:t>
      </w:r>
    </w:p>
    <w:p>
      <w:pPr>
        <w:spacing w:after="0" w:line="124" w:lineRule="exact"/>
        <w:rPr>
          <w:sz w:val="20"/>
          <w:szCs w:val="20"/>
          <w:color w:val="auto"/>
        </w:rPr>
      </w:pPr>
    </w:p>
    <w:p>
      <w:pPr>
        <w:ind w:left="1040" w:right="139" w:hanging="315"/>
        <w:spacing w:after="0" w:line="258"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incur significant debt to finance a future acquisition and our business does not perform as expected, we may have difficulty complying with debt covenants;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unable to make a future acquisition which is in our best interest due to our existing indebtedness;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use our stock to make a future acquisition, it will dilute existing stockholders;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assimilating the operations and personnel of any acquired company;</w:t>
      </w:r>
    </w:p>
    <w:p>
      <w:pPr>
        <w:spacing w:after="0" w:line="9" w:lineRule="exact"/>
        <w:rPr>
          <w:rFonts w:ascii="Arial" w:cs="Arial" w:eastAsia="Arial" w:hAnsi="Arial"/>
          <w:sz w:val="18"/>
          <w:szCs w:val="18"/>
          <w:color w:val="auto"/>
        </w:rPr>
      </w:pPr>
    </w:p>
    <w:p>
      <w:pPr>
        <w:ind w:left="1040" w:right="31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challenge and additional investment involved with integrating new products, services and technologies into our sales and marketing process;</w:t>
      </w: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ongoing business may be disrupted by transition and integration issues;</w:t>
      </w:r>
    </w:p>
    <w:p>
      <w:pPr>
        <w:spacing w:after="0" w:line="9" w:lineRule="exact"/>
        <w:rPr>
          <w:rFonts w:ascii="Arial" w:cs="Arial" w:eastAsia="Arial" w:hAnsi="Arial"/>
          <w:sz w:val="18"/>
          <w:szCs w:val="18"/>
          <w:color w:val="auto"/>
        </w:rPr>
      </w:pPr>
    </w:p>
    <w:p>
      <w:pPr>
        <w:ind w:left="1040" w:right="319" w:hanging="315"/>
        <w:spacing w:after="0" w:line="281"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and complexity of integrating the internal information technology infrastructure of each acquired business with ours may be greater than expected and may require additional capital investments;</w:t>
      </w:r>
    </w:p>
    <w:p>
      <w:pPr>
        <w:spacing w:after="0" w:line="1" w:lineRule="exact"/>
        <w:rPr>
          <w:rFonts w:ascii="Arial" w:cs="Arial" w:eastAsia="Arial" w:hAnsi="Arial"/>
          <w:sz w:val="16"/>
          <w:szCs w:val="16"/>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achieve the financial and strategic goals for any acquired businesses;</w:t>
      </w:r>
    </w:p>
    <w:p>
      <w:pPr>
        <w:spacing w:after="0" w:line="9" w:lineRule="exact"/>
        <w:rPr>
          <w:rFonts w:ascii="Arial" w:cs="Arial" w:eastAsia="Arial" w:hAnsi="Arial"/>
          <w:sz w:val="18"/>
          <w:szCs w:val="18"/>
          <w:color w:val="auto"/>
        </w:rPr>
      </w:pPr>
    </w:p>
    <w:p>
      <w:pPr>
        <w:ind w:left="1040" w:right="1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in maintaining controls, procedures and policies during the transition and integration period following a future acquisition;</w:t>
      </w: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relationships with existing clients could be adversely affected;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successor we may be subject to certain liabilities of our acquisition targets.</w:t>
      </w:r>
    </w:p>
    <w:p>
      <w:pPr>
        <w:spacing w:after="0" w:line="211"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Our failure to effectively integrate any future acquisition would adversely affect the benefit of such transaction, including potential synergies or sales growth opportunities, in the time frame anticipated.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143"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Building awareness of our university partner institutions, and the programs they offer, is critical to our ability to attract prospective students. It is also critical to our success that we convert prospective students to enrolled students in a cost-effective manner and that these enrolled students remain active in the programs of our client institutions. The tightness of the job market has historically had an impact on our ability to successfully recruit new students especially for students considering re-careering into a different field. Historically the percentage of students we recruited that were re-careering was low but with the increase in university partners and off-campus classroom and laboratory sites and the growth in new online licensure programs by GCU, the number of students we recruit that are re-careering is growing. Therefore, changes in the job market will impact our ability to recruit students. Some of the other factors that could prevent us from successfully recruiting, enrolling, and retaining students in those programs include:</w:t>
      </w:r>
    </w:p>
    <w:p>
      <w:pPr>
        <w:spacing w:after="0" w:line="126" w:lineRule="exact"/>
        <w:rPr>
          <w:sz w:val="20"/>
          <w:szCs w:val="20"/>
          <w:color w:val="auto"/>
        </w:rPr>
      </w:pPr>
    </w:p>
    <w:p>
      <w:pPr>
        <w:ind w:left="1040" w:right="459" w:hanging="315"/>
        <w:spacing w:after="0" w:line="25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9" w:lineRule="exact"/>
        <w:rPr>
          <w:rFonts w:ascii="Arial" w:cs="Arial" w:eastAsia="Arial" w:hAnsi="Arial"/>
          <w:sz w:val="18"/>
          <w:szCs w:val="18"/>
          <w:color w:val="auto"/>
        </w:rPr>
      </w:pPr>
    </w:p>
    <w:p>
      <w:pPr>
        <w:ind w:left="1040" w:right="9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our client institutions to maintain institutional and specialized accreditations;</w:t>
      </w:r>
    </w:p>
    <w:p>
      <w:pPr>
        <w:spacing w:after="0" w:line="9" w:lineRule="exact"/>
        <w:rPr>
          <w:rFonts w:ascii="Arial" w:cs="Arial" w:eastAsia="Arial" w:hAnsi="Arial"/>
          <w:sz w:val="18"/>
          <w:szCs w:val="18"/>
          <w:color w:val="auto"/>
        </w:rPr>
      </w:pPr>
    </w:p>
    <w:p>
      <w:pPr>
        <w:ind w:left="1040" w:right="53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client institutions which could restrict their initiation of new programs and modification of existing programs;</w:t>
      </w:r>
    </w:p>
    <w:p>
      <w:pPr>
        <w:ind w:left="1040" w:right="21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university partner institutions which restrict the ways schools can compensate their recruitment personnel;</w:t>
      </w:r>
    </w:p>
    <w:p>
      <w:pPr>
        <w:ind w:left="1040" w:right="33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our university partner institutions do not have a physical presence;</w:t>
      </w:r>
    </w:p>
    <w:p>
      <w:pPr>
        <w:ind w:left="1040" w:right="59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9" w:lineRule="exact"/>
        <w:rPr>
          <w:rFonts w:ascii="Arial" w:cs="Arial" w:eastAsia="Arial" w:hAnsi="Arial"/>
          <w:sz w:val="18"/>
          <w:szCs w:val="18"/>
          <w:color w:val="auto"/>
        </w:rPr>
      </w:pPr>
    </w:p>
    <w:p>
      <w:pPr>
        <w:ind w:left="1040" w:right="139" w:hanging="315"/>
        <w:spacing w:after="0" w:line="281"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damage to our reputation or other adverse effects as a result of negative publicity in the media, in industry or governmental reports, or otherwise, affecting us or other companies in the post-secondary education sector;</w:t>
      </w:r>
    </w:p>
    <w:p>
      <w:pPr>
        <w:spacing w:after="0" w:line="1" w:lineRule="exact"/>
        <w:rPr>
          <w:rFonts w:ascii="Arial" w:cs="Arial" w:eastAsia="Arial" w:hAnsi="Arial"/>
          <w:sz w:val="16"/>
          <w:szCs w:val="16"/>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9"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the programs offered by any university partner institution.</w:t>
      </w:r>
    </w:p>
    <w:p>
      <w:pPr>
        <w:spacing w:after="0" w:line="18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If we are unable to continue to develop awareness of the programs of our university partners, and to recruit, enroll, and retain students, enrollments would suffer and our ability to increase revenues and maintain profitability would be significantly impaired.</w:t>
      </w:r>
    </w:p>
    <w:p>
      <w:pPr>
        <w:spacing w:after="0" w:line="143"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meet the needs of our client institutions.</w:t>
      </w:r>
    </w:p>
    <w:p>
      <w:pPr>
        <w:spacing w:after="0" w:line="143"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client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157" w:lineRule="exact"/>
        <w:rPr>
          <w:sz w:val="20"/>
          <w:szCs w:val="20"/>
          <w:color w:val="auto"/>
        </w:rPr>
      </w:pPr>
    </w:p>
    <w:p>
      <w:pPr>
        <w:jc w:val="both"/>
        <w:ind w:left="60" w:right="99" w:firstLine="648"/>
        <w:spacing w:after="0" w:line="287" w:lineRule="auto"/>
        <w:rPr>
          <w:sz w:val="20"/>
          <w:szCs w:val="20"/>
          <w:color w:val="auto"/>
        </w:rPr>
      </w:pPr>
      <w:r>
        <w:rPr>
          <w:rFonts w:ascii="Arial" w:cs="Arial" w:eastAsia="Arial" w:hAnsi="Arial"/>
          <w:sz w:val="16"/>
          <w:szCs w:val="16"/>
          <w:color w:val="auto"/>
        </w:rPr>
        <w:t>Based on industry analyses, enrollment growth in degree-granting, post-secondary institutions is slowing and that the number of high school graduates that are eligible to enroll in degree-granting, post-secondary institutions is expected to continue to decrease over the next few years. In order to maintain current growth rates, we will need to attract a</w:t>
      </w:r>
    </w:p>
    <w:p>
      <w:pPr>
        <w:spacing w:after="0" w:line="2"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color w:val="auto"/>
        </w:rPr>
        <w:t>larger percentage of students in existing markets to our client institutions and work with university partner institutions to create new academic programs. In addition, if job growth in the fields related to our university partners’ core disciplines is weaker than expected, as a result of any regional or national economic downturn or otherwise, fewer students may seek the types of degrees that our clients offer. Our failure to attract new students for our university partners, or the decisions by prospective students to seek degrees in other disciplines, would have an adverse impact on our future growth.</w:t>
      </w:r>
    </w:p>
    <w:p>
      <w:pPr>
        <w:spacing w:after="0" w:line="122"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106"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color w:val="auto"/>
        </w:rPr>
        <w:t>We expect existing competitors and new entrants to the educational services market to revise and improve their business models constantly in response to challenges from competing businesses, including ours.</w:t>
      </w:r>
    </w:p>
    <w:p>
      <w:pPr>
        <w:spacing w:after="0" w:line="119"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Our primary competitors include EmbanetCompass (owned by Pearson), Wiley Education Services, and 2U.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117"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Increased competition may result in changes in the revenue share percentage we are able to negotiate to receive from a university partner. The competitive landscape may also result in longer and more complex sales cycles with a prospective university partner, which would negatively affect our ability to add additional university partners and thus our ability to grow our business.</w:t>
      </w:r>
    </w:p>
    <w:p>
      <w:pPr>
        <w:spacing w:after="0" w:line="146"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A number of competitive factors could cause us to lose potential university partner opportunities or force us to offer our solutions on less favorable economic terms, including</w:t>
      </w:r>
    </w:p>
    <w:p>
      <w:pPr>
        <w:spacing w:after="0" w:line="143" w:lineRule="exact"/>
        <w:rPr>
          <w:sz w:val="20"/>
          <w:szCs w:val="20"/>
          <w:color w:val="auto"/>
        </w:rPr>
      </w:pPr>
    </w:p>
    <w:p>
      <w:pPr>
        <w:ind w:left="1040" w:right="239" w:hanging="315"/>
        <w:spacing w:after="0" w:line="258"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competitors may develop service offerings that our potential university partners find to be more compelling than ours;</w:t>
      </w:r>
    </w:p>
    <w:p>
      <w:pPr>
        <w:spacing w:after="0" w:line="1" w:lineRule="exact"/>
        <w:rPr>
          <w:rFonts w:ascii="Arial" w:cs="Arial" w:eastAsia="Arial" w:hAnsi="Arial"/>
          <w:sz w:val="18"/>
          <w:szCs w:val="18"/>
          <w:color w:val="auto"/>
        </w:rPr>
      </w:pPr>
    </w:p>
    <w:p>
      <w:pPr>
        <w:ind w:left="1040" w:right="239" w:hanging="315"/>
        <w:spacing w:after="0" w:line="265"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ind w:left="1040" w:right="379" w:hanging="315"/>
        <w:spacing w:after="0" w:line="273"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17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187"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84" w:lineRule="exact"/>
        <w:rPr>
          <w:sz w:val="20"/>
          <w:szCs w:val="20"/>
          <w:color w:val="auto"/>
        </w:rPr>
      </w:pPr>
    </w:p>
    <w:p>
      <w:pPr>
        <w:ind w:left="60" w:right="379" w:firstLine="648"/>
        <w:spacing w:after="0" w:line="311" w:lineRule="auto"/>
        <w:rPr>
          <w:sz w:val="20"/>
          <w:szCs w:val="20"/>
          <w:color w:val="auto"/>
        </w:rPr>
      </w:pPr>
      <w:r>
        <w:rPr>
          <w:rFonts w:ascii="Arial" w:cs="Arial" w:eastAsia="Arial" w:hAnsi="Arial"/>
          <w:sz w:val="16"/>
          <w:szCs w:val="16"/>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7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157"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Massachusetts recently proposed MA Bill SD 341, “An Act relative to consumer data privacy.” There are similar bills pending in a number of other states, as well. CCPA and MA Bill SD 341 each represent a trend toward stronger privacy protections and greater data transparency in the U.S. Currently, federal law legislates privacy on an industry by 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393"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contract with one or more of our university partners and could harm our reputation. Further, in the event that we disclose student information in violation of FERPA, ED could require a university partner to suspend our access to their student information for at least five years.</w:t>
      </w:r>
    </w:p>
    <w:p>
      <w:pPr>
        <w:spacing w:after="0" w:line="181" w:lineRule="exact"/>
        <w:rPr>
          <w:sz w:val="20"/>
          <w:szCs w:val="20"/>
          <w:color w:val="auto"/>
        </w:rPr>
      </w:pPr>
    </w:p>
    <w:p>
      <w:pPr>
        <w:ind w:left="60" w:right="519"/>
        <w:spacing w:after="0" w:line="308" w:lineRule="auto"/>
        <w:rPr>
          <w:sz w:val="20"/>
          <w:szCs w:val="20"/>
          <w:color w:val="auto"/>
        </w:rPr>
      </w:pPr>
      <w:r>
        <w:rPr>
          <w:rFonts w:ascii="Arial" w:cs="Arial" w:eastAsia="Arial" w:hAnsi="Arial"/>
          <w:sz w:val="17"/>
          <w:szCs w:val="17"/>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46"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the online programs of our university partners, is critical to our operations, reputation and to our ability to attract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university partner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Extensive Regulation of The Higher Education Industry</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184"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primary university partner, and any future university partners, are regulated by other state education agencies and additional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our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Rulemaking by ED could materially and adversely affect our business.</w:t>
      </w:r>
    </w:p>
    <w:p>
      <w:pPr>
        <w:spacing w:after="0" w:line="225"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Over the past few years, ED has regularly promulgated new regulations and guidance that impact our university partners and our business directly. These and other regulations and guidance documents, including those discussed above under “Business – Regulation,”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servicers, could further negatively impact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required to accept significant limitations as a condition of its continued participation in the Title IV programs.</w:t>
      </w:r>
    </w:p>
    <w:p>
      <w:pPr>
        <w:spacing w:after="0" w:line="131"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w:t>
      </w:r>
    </w:p>
    <w:p>
      <w:pPr>
        <w:spacing w:after="0" w:line="157"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As an example, on November 6, 2019, ED informed GCU that it had approved the Transaction and granted to GCU a provisional PPA, permitting GCU to participate in Title IV, HEA programs on a provisional basis for the period through September 30, 2022. This PPA, which was automatically granted on a provisional basis due to the fact that the Transaction constituted a change of control of GCU, was granted without any requirement to post a letter of credit or any growth restrictions. Accordingly, GCU is authorized to participate in Title IV, HEA programs for the stated period. As required, GCU filed a renewal application three months in advance of the scheduled expiration date. ED has not made a decision on its recertification application, and therefore its provisional certification to participate in the Title IV programs has been automatically extended on a month-to-month basis until ED makes its decision. Institutions are routinely given a month-to-month extension on their PPA until ED has completed its review of the application. For example, when GCU’s provisional PPA expired in June 2008, it continued to receive a month-to-month extension between that date and April 2011 when ED issued it a new, provisional PPA. For a school that is certified on a provisional basis, the ED may revoke the institution’s certification without advance notice or advance opportunity for the institution to challenge that action. For a school that is provisionally certified on a month-to-month basis, like GCU, the ED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w:t>
      </w:r>
    </w:p>
    <w:p>
      <w:pPr>
        <w:spacing w:after="0" w:line="180"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There can be no assurance that ED will recertify any university partner institution at that time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place other restrictions on the institution, or it could delay recertification after any university partners’ program participation agreement expires, in which case our university partner’s certification would continue on a month-to-month basis, which is GCU’s current status. Any of these outcomes could have a material adverse effect on our university partners’ enrollments and us.</w:t>
      </w:r>
    </w:p>
    <w:p>
      <w:pPr>
        <w:spacing w:after="0" w:line="18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client institution fails to maintain any of its accreditations or approvals.</w:t>
      </w:r>
    </w:p>
    <w:p>
      <w:pPr>
        <w:spacing w:after="0" w:line="184"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and the HLC approved the Transaction in February 2018. Some of our other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177"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84"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 university partner institution may lose eligibility to participate in the Title IV programs if its student loan default rates are too high.</w:t>
      </w:r>
    </w:p>
    <w:p>
      <w:pPr>
        <w:spacing w:after="0" w:line="170"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GCU’s cohort default rates, for example,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168"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184"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which sanctions could have an adverse impact on our business. For example, GCU, calculated its composite score with respect to its fiscal years ending June 30, 2022 and 2021. As of June 30, 2022 and 2021, GCU’s composite score per GCU’s audited financial statements was 1.8 and 1.9, respectively, using the proprietary school calculation. If GCU’s future composite scores do not exceed 1.5, ED could impose sanctions. If any such sanctions were imposed on GCU or one of our other partners, it could have a negative impact on our ability to conduct our business. In addition, if its composite score dropped low enough, it could cause GCU to be ineligible for participation in NC-SARA, which would require GCU to become authorized in numerous states in which it operates or has students.</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our university partner institutions do not comply with ED’s administrative capability standards, we could suffer harm.</w:t>
      </w:r>
    </w:p>
    <w:p>
      <w:pPr>
        <w:spacing w:after="0" w:line="26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the institution to have an adequate number of qualified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 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185"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b w:val="1"/>
          <w:bCs w:val="1"/>
          <w:i w:val="1"/>
          <w:iCs w:val="1"/>
          <w:color w:val="auto"/>
        </w:rPr>
        <w:t>A finding that our university partner institutions violated ED’s substantial misrepresentation regulation could materially and adversely affect our business.</w:t>
      </w:r>
    </w:p>
    <w:p>
      <w:pPr>
        <w:spacing w:after="0" w:line="170"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conversations with students and prospective students.</w:t>
      </w:r>
    </w:p>
    <w:p>
      <w:pPr>
        <w:spacing w:after="0" w:line="191"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color w:val="auto"/>
        </w:rPr>
        <w:t>Despite our best efforts, we may face complaints from our university partners’ students and prospective students over statements made by us and our agents throughout the conduct of all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FTC applies similar rules prohibiting any unfair or deceptive marketing practices to the education sector. If ED or other regulator determines that statements made by us or on our university partner’s behalf are in violation of the regulations, we could be subject to sanctions and other liability, which could have a material adverse effect on our business.</w:t>
      </w:r>
    </w:p>
    <w:p>
      <w:pPr>
        <w:spacing w:after="0" w:line="16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18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severally liable to ED, along with the relevant client,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university partner institutions, which would materially affect us.</w:t>
      </w:r>
    </w:p>
    <w:p>
      <w:pPr>
        <w:spacing w:after="0" w:line="17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revenue and results of operations.</w:t>
      </w:r>
    </w:p>
    <w:p>
      <w:pPr>
        <w:spacing w:after="0" w:line="13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71"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7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18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 For example, GCU, because it is currently certified to participate in the Title IV programs on a month-to-month basis, is required to obtain ED approval for new programs, which requirement could impede GCU’s ability to introduce new programs and slow its growth.</w:t>
      </w:r>
    </w:p>
    <w:p>
      <w:pPr>
        <w:spacing w:after="0" w:line="16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If our university partner institutions do not maintain state authorization, they may not operate or participate in the Title IV programs.</w:t>
      </w:r>
    </w:p>
    <w:p>
      <w:pPr>
        <w:spacing w:after="0" w:line="170"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7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activity in the state, such as enrolling or offering educational services to students who reside in the state, employing faculty who reside in the state, or advertising to or recruiting prospective students in the state.</w:t>
      </w:r>
    </w:p>
    <w:p>
      <w:pPr>
        <w:spacing w:after="0" w:line="1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ED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 a yearly renewal for participating in NC-SARA and AZ-SARA and institutions must agree to meet certain requirements to participate. As of June 30, 2018, all states other than California are members of SARA.</w:t>
      </w:r>
    </w:p>
    <w:p>
      <w:pPr>
        <w:spacing w:after="0" w:line="185"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8"/>
          <w:szCs w:val="18"/>
          <w:color w:val="auto"/>
        </w:rPr>
        <w:t>Any state that does not participate in SARA may impose regulatory requirements on out-of-state post-secondary institutions operating within their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state, or fails to obtain licenses or authorizations when required, it could lose its state license or authorization by that state or be subject to other sanctions, including restrictions on its activities in, and fines and penalties imposed by, that state, as well as fines, penalties, and sanctions imposed by ED. The loss of licensure or authorization in any non-SARA state by a client institution could prohibit us from recruiting prospective students or offering services to current students in that state, which could significantly reduce our university partner’s enrollments.</w:t>
      </w:r>
    </w:p>
    <w:p>
      <w:pPr>
        <w:spacing w:after="0" w:line="194"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181"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Furthermore, our university partners must typically maintain a composite score of at least 1.5 to maintain their membership in a State Authorization Reciprocity Agreement, or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18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 which could cause the imposition of sanctions against us or our university partners.</w:t>
      </w:r>
    </w:p>
    <w:p>
      <w:pPr>
        <w:spacing w:after="0" w:line="187" w:lineRule="exact"/>
        <w:rPr>
          <w:sz w:val="20"/>
          <w:szCs w:val="20"/>
          <w:color w:val="auto"/>
        </w:rPr>
      </w:pPr>
    </w:p>
    <w:p>
      <w:pPr>
        <w:jc w:val="both"/>
        <w:ind w:left="60" w:right="439" w:firstLine="648"/>
        <w:spacing w:after="0" w:line="301" w:lineRule="auto"/>
        <w:rPr>
          <w:sz w:val="20"/>
          <w:szCs w:val="20"/>
          <w:color w:val="auto"/>
        </w:rPr>
      </w:pPr>
      <w:r>
        <w:rPr>
          <w:rFonts w:ascii="Arial" w:cs="Arial" w:eastAsia="Arial" w:hAnsi="Arial"/>
          <w:sz w:val="16"/>
          <w:szCs w:val="16"/>
          <w:color w:val="auto"/>
        </w:rPr>
        <w:t>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Similarly, reviews of us directly could also impose a host of limitations and monetary penalties and fines for wrongful actions on our part. Claims and lawsuits brought against us or our university partners, even if they are without merit, may also result in adverse publicity, damage our reputation, negatively affect the market price of our stock, adversely affect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85" w:lineRule="exact"/>
        <w:rPr>
          <w:sz w:val="20"/>
          <w:szCs w:val="20"/>
          <w:color w:val="auto"/>
        </w:rPr>
      </w:pPr>
    </w:p>
    <w:p>
      <w:pPr>
        <w:ind w:left="60" w:right="299"/>
        <w:spacing w:after="0" w:line="381" w:lineRule="auto"/>
        <w:rPr>
          <w:sz w:val="20"/>
          <w:szCs w:val="20"/>
          <w:color w:val="auto"/>
        </w:rPr>
      </w:pPr>
      <w:r>
        <w:rPr>
          <w:rFonts w:ascii="Arial" w:cs="Arial" w:eastAsia="Arial" w:hAnsi="Arial"/>
          <w:sz w:val="15"/>
          <w:szCs w:val="15"/>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100"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A “Third-party servicer” is any person or entity used by “any eligible institution of higher education to administer, through either manual or automated processing, any aspect of such institution’s student assistance programs.” Third party servicers have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161" w:lineRule="exact"/>
        <w:rPr>
          <w:sz w:val="20"/>
          <w:szCs w:val="20"/>
          <w:color w:val="auto"/>
        </w:rPr>
      </w:pPr>
    </w:p>
    <w:p>
      <w:pPr>
        <w:ind w:left="1040" w:right="359" w:hanging="315"/>
        <w:spacing w:after="0" w:line="271"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ind w:left="1040" w:right="11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 w:lineRule="exact"/>
        <w:rPr>
          <w:rFonts w:ascii="Arial" w:cs="Arial" w:eastAsia="Arial" w:hAnsi="Arial"/>
          <w:sz w:val="18"/>
          <w:szCs w:val="18"/>
          <w:color w:val="auto"/>
        </w:rPr>
      </w:pPr>
    </w:p>
    <w:p>
      <w:pPr>
        <w:jc w:val="both"/>
        <w:ind w:left="1040" w:right="279" w:hanging="315"/>
        <w:spacing w:after="0" w:line="25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93"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 Additionally, on January 4, 2023, ED announced their intention to issue new regulations in eight different areas of higher education regulations via negotiated rulemaking including those regulations related to third-party services. ED has not put forth any specific proposals at this time. We will monitor this rulemaking as it develops.</w:t>
      </w:r>
    </w:p>
    <w:p>
      <w:pPr>
        <w:spacing w:after="0" w:line="178"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2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process of re-authorization of the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176"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services such as us directly could damage our reputation. The environment surrounding access to and the costs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187"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178"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Changing requirements related to data privacy may create increased costs and operational difficulties for university partner institutions and, potential for GCE.</w:t>
      </w:r>
    </w:p>
    <w:p>
      <w:pPr>
        <w:spacing w:after="0" w:line="170"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On December 18, 2020,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 Nonfederal Systems (NIST 800–171 Rev. 2) readiness and outreach activities. ED specifically said it was “committed to fully advancing and encouraging all postsecondary institutions implementation of NIST 800-171 controls.” This announcement was addressed both to institutions of higher education and their third-party servicers.</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While details related to this announcement are few, it does suggest that ED will be taking a greater role in ensuring universities and their service providers meet NIST standards and are protecting the students and ED data received. Although management is reviewing this letter and the issues it raises, compliance with NIST will likely increase operational cost if required to come into compliance.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2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19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170"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2" w:lineRule="exact"/>
        <w:rPr>
          <w:sz w:val="20"/>
          <w:szCs w:val="20"/>
          <w:color w:val="auto"/>
        </w:rPr>
      </w:pPr>
    </w:p>
    <w:p>
      <w:pPr>
        <w:ind w:left="60" w:right="739"/>
        <w:spacing w:after="0" w:line="381" w:lineRule="auto"/>
        <w:rPr>
          <w:sz w:val="20"/>
          <w:szCs w:val="20"/>
          <w:color w:val="auto"/>
        </w:rPr>
      </w:pPr>
      <w:r>
        <w:rPr>
          <w:rFonts w:ascii="Arial" w:cs="Arial" w:eastAsia="Arial" w:hAnsi="Arial"/>
          <w:sz w:val="15"/>
          <w:szCs w:val="15"/>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00"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existing credit facility preclude, and the terms of any future debt agreements is likely to similarly preclude, us from paying dividends. As a result, capital appreciation, if any, of our common stock will be your sole source of gain for the foreseeable future. Investors seeking cash dividends should not purchase our common stock.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General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66"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24" w:lineRule="exact"/>
        <w:rPr>
          <w:sz w:val="20"/>
          <w:szCs w:val="20"/>
          <w:color w:val="auto"/>
        </w:rPr>
      </w:pPr>
    </w:p>
    <w:p>
      <w:pPr>
        <w:jc w:val="both"/>
        <w:ind w:left="60" w:right="359" w:firstLine="648"/>
        <w:spacing w:after="0" w:line="342" w:lineRule="auto"/>
        <w:rPr>
          <w:sz w:val="20"/>
          <w:szCs w:val="20"/>
          <w:color w:val="auto"/>
        </w:rPr>
      </w:pPr>
      <w:r>
        <w:rPr>
          <w:rFonts w:ascii="Arial" w:cs="Arial" w:eastAsia="Arial" w:hAnsi="Arial"/>
          <w:sz w:val="16"/>
          <w:szCs w:val="16"/>
          <w:color w:val="auto"/>
        </w:rPr>
        <w:t>We are dependent on the integrity of our data management systems. If these systems do not effectively collect, store and process relevant data for the operation of our business, whether due to equipment malfunctions or constraints,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187"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170"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212529"/>
        </w:rPr>
        <w:t>Natural events, health epidemics (including the outbreak of the COVID-19 pandemic), acts of God, terrorist attacks and other acts of violence, computer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16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184"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In addition to its owned facilities, GCE leases 28 off-campus classroom and laboratory sites for use in serving its university partners, four office locations in California, one office location in Colorado, and office space in Indianapolis, Indiana. GCE has commitments to add more off-campus classroom and laboratory sites as of December 31, 2022 that have not yet commenced and plans to add additional off-campus classroom and laboratory sites in Arizona and in other states in the U.S. to accommodate our growth plans in 2023 and beyond. GCE works to maximize energy efficiency and minimize environmental impact in operating its leased facilities just as it does with its owned properties.</w:t>
      </w:r>
    </w:p>
    <w:p>
      <w:pPr>
        <w:spacing w:after="0" w:line="160"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80"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As of December 31, 2022, there were approximately 165 registered holders of record of common stock. A substantially greater number of holders of common stock are “street name” or beneficial holders, whose shares are held of record by banks, brokers and other financial institutions.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currently do not anticipate paying cash dividends on our common stock in the foreseeable future.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In January 2021, July 2021, January 2022 and October 2022 our Board of Directors increased the authorization under its existing stock repurchase program by $100.0 million, $970.0 million, $175.0 million and $200.0 million respectively, reflecting an aggregate authorization for share repurchases since the initiation of the program of $1,845.0 million. The current expiration date on the repurchase authorization by our Board of Directors is December 31, 2023.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Since the initial approval of our share repurchase plan, we have purchased 21,572,283 shares of common stock at an aggregate cost of $1,649.2 billion, which purchases are recorded at cost in the accompanying December 31, 2022 consolidated balance sheet and statement of stockholders’ equity. At December 31, 2022, there remained $195.8 million available under our current share repurchase authorization. During the fourth quarter and the year ended December 31, 2022, GCE repurchased 318,935 and 6,794,693 shares of common stock, respectively, at an aggregate cost of $28.0 million and $599.6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Value of Shares</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October 1, 2022 – October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271,382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271,382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200,900,000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2022 – November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200,900,000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1, 2022 – December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47,553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106.55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47,553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195,800,000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318,935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195,800,000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2022 – October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November 1, 2022 – November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2022 –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GCE Stock Performance</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The following graph compares the cumulative total return of our common stock with the cumulative total returns of the S&amp;P 500 Index and our education services peer group of eight companies that includes: Wiley Education Services, Pearson plc, CHEGG, Inc., Laureate Education, Inc., Strategic Education, Inc., Adtalum Global Education, Inc., 2U, Inc. and Coursera. The graph also includes for the required transition year, our 2020 selected education peer group of seven companies that includes: Wiley Education Services, Pearson plc, CHEGG, Inc., Laureate Education, Inc., Strategic Education, Inc., Adtalum Global Education, Inc., and 2U, Inc. This chart assumes that an investment of $100 was made in our common stock, in the index, and in the peer group on December 31, 2017 and that all dividends paid by us and such companies were reinvested, and tracks the relative performance of such investments through December 31, 2022.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692150</wp:posOffset>
            </wp:positionV>
            <wp:extent cx="5589270" cy="4620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9270" cy="462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12/17</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12/18</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12/19</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12/20</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12/21</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12/22</w:t>
            </w:r>
          </w:p>
        </w:tc>
      </w:tr>
      <w:tr>
        <w:trPr>
          <w:trHeight w:val="209"/>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107.38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106.99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104.00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118.02</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S&amp;P</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500</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7"/>
              </w:rPr>
              <w:t>100.00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95.62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125.72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148.85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191.58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156.89</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2022</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Peer Group</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104.68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121.11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89.87</w:t>
            </w:r>
          </w:p>
        </w:tc>
      </w:tr>
    </w:tbl>
    <w:p>
      <w:pPr>
        <w:spacing w:after="0" w:line="202"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stock price performance included in this graph is not necessarily indicative of future stock price performance.</w:t>
      </w:r>
    </w:p>
    <w:p>
      <w:pPr>
        <w:spacing w:after="0" w:line="24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2022 and 2021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Arial" w:cs="Arial" w:eastAsia="Arial" w:hAnsi="Arial"/>
          <w:sz w:val="16"/>
          <w:szCs w:val="16"/>
          <w:i w:val="1"/>
          <w:iCs w:val="1"/>
          <w:color w:val="auto"/>
        </w:rPr>
        <w:t>Special Note Regarding Forward-Looking Statements</w:t>
      </w:r>
      <w:r>
        <w:rPr>
          <w:rFonts w:ascii="Arial" w:cs="Arial" w:eastAsia="Arial" w:hAnsi="Arial"/>
          <w:sz w:val="16"/>
          <w:szCs w:val="16"/>
          <w:color w:val="auto"/>
        </w:rPr>
        <w:t xml:space="preserve"> and in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right="379" w:firstLine="648"/>
        <w:spacing w:after="0" w:line="296" w:lineRule="auto"/>
        <w:rPr>
          <w:sz w:val="20"/>
          <w:szCs w:val="20"/>
          <w:color w:val="auto"/>
        </w:rPr>
      </w:pPr>
      <w:r>
        <w:rPr>
          <w:rFonts w:ascii="Arial" w:cs="Arial" w:eastAsia="Arial" w:hAnsi="Arial"/>
          <w:sz w:val="16"/>
          <w:szCs w:val="16"/>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nine colleges both online, on ground at its campus in Phoenix, Arizona and at four off-campus classroom and laboratory sites.</w:t>
      </w:r>
    </w:p>
    <w:p>
      <w:pPr>
        <w:spacing w:after="0" w:line="161"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wholly-owned subsidiary, Orbis Education, which we acquired on January 22, 2019.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2022, GCE provides education services to 27 university partners across the United States.</w:t>
      </w:r>
    </w:p>
    <w:p>
      <w:pPr>
        <w:spacing w:after="0" w:line="19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6"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GCE generates all of its revenue through services agreements with its university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Agreements”), pursuant to which GCE provides integrated technology and academic services, marketing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communication services, and as applicable, certain back office services to its university partners in return for a percentage of tuition and fee revenue.</w:t>
      </w:r>
    </w:p>
    <w:p>
      <w:pPr>
        <w:spacing w:after="0" w:line="1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 xml:space="preserve">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 known and billable because these fees relate to the distinct service period in which the fees are earned. GCE meets the criteria in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38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2022 and 2021, GCE has reserved approximately $15,862 and $14,108, respectively, for uncertain tax positions, including interest and penalties.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In July 2019, the FASB issued </w:t>
      </w:r>
      <w:r>
        <w:rPr>
          <w:rFonts w:ascii="Arial" w:cs="Arial" w:eastAsia="Arial" w:hAnsi="Arial"/>
          <w:sz w:val="18"/>
          <w:szCs w:val="18"/>
          <w:i w:val="1"/>
          <w:iCs w:val="1"/>
          <w:color w:val="auto"/>
        </w:rPr>
        <w:t>Accounting Standards Update 2019-07, “Codification Updates to SEC Sections-Amendments to SEC Paragraphs Pursuant to SEC Final Rule Releases No. 33-10532, Disclosure Update and Simplification”</w:t>
      </w:r>
      <w:r>
        <w:rPr>
          <w:rFonts w:ascii="Arial" w:cs="Arial" w:eastAsia="Arial" w:hAnsi="Arial"/>
          <w:sz w:val="18"/>
          <w:szCs w:val="18"/>
          <w:color w:val="auto"/>
        </w:rPr>
        <w:t>, which makes a number of changes meant to simplify certain disclosures in financial condition and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operations, particularly by eliminating year-to-year comparisons between prior periods previously disclosed. In complying with the relevant aspects of the rule covering the current year annual report, we now include disclosures on results of operations for fiscal year 2022 versus 2021 only. For a discussion of the results of operations for fiscal year 2021 vs 2020, see “Item 7. Management’s Discussion and Analysis of Financial Condition and Results of Operations” in our </w:t>
      </w:r>
      <w:hyperlink r:id="rId67">
        <w:r>
          <w:rPr>
            <w:rFonts w:ascii="Arial" w:cs="Arial" w:eastAsia="Arial" w:hAnsi="Arial"/>
            <w:sz w:val="18"/>
            <w:szCs w:val="18"/>
            <w:u w:val="single" w:color="auto"/>
            <w:color w:val="0000EE"/>
          </w:rPr>
          <w:t>Annual Report on Form 10-K filed with the SEC for the fiscal year ended December 31, 2021</w:t>
        </w:r>
        <w:r>
          <w:rPr>
            <w:rFonts w:ascii="Arial" w:cs="Arial" w:eastAsia="Arial" w:hAnsi="Arial"/>
            <w:sz w:val="18"/>
            <w:szCs w:val="18"/>
            <w:color w:val="0000EE"/>
          </w:rPr>
          <w:t xml:space="preserve">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herein by</w:t>
      </w:r>
      <w:r>
        <w:rPr>
          <w:rFonts w:ascii="Arial" w:cs="Arial" w:eastAsia="Arial" w:hAnsi="Arial"/>
          <w:sz w:val="18"/>
          <w:szCs w:val="18"/>
          <w:color w:val="0000EE"/>
        </w:rPr>
        <w:t xml:space="preserve"> </w:t>
      </w:r>
      <w:r>
        <w:rPr>
          <w:rFonts w:ascii="Arial" w:cs="Arial" w:eastAsia="Arial" w:hAnsi="Arial"/>
          <w:sz w:val="18"/>
          <w:szCs w:val="18"/>
          <w:color w:val="000000"/>
        </w:rPr>
        <w:t>reference.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revenue for each of the periods indicated. Amortization of intangible assets have been excluded from the table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Technology and academic services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16.5 %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14.7 %</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Counseling services and support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Marketing and communication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225"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year ended December 31, 2022 was $911.3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$14.7 million, or 1.6%, as compared to service revenue of $896.6 million for the year ended December 31, 2021. The increase year over year in service revenue was primarily due to increases in GCU traditional campus enrollments and revenue per student year over year partially offset by a decrease in online enrollments at GCU of 1.6% and to a lesser extent, students in a university partner’s Occupational Therapy Assistants (“OTA”) program in which enrollment declined 11.3% between December 31, 2022 and 2021. The increase in revenue per student between years is primarily due to the service revenue impact of the increased ground campus enrollments which generates higher revenue per student due to the room, board and other ancillary revenues earned by GCU and the higher revenue per student at off-campus classroom and laboratory sites. Service revenue per student for Accelerated Bachelor of Science in Nursing (“ABSN”) program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Partner enrollments totaled 112,955 at December 31, 2022 as compared to 112,554 at December 31, 2021. University partner enrollments at our off-campus classroom and laboratory sites were 4,636, a decrease of 1.0% over enrollments at December 31, 2021, which includes 320 and 269 GCU students at December 31, 2022 and 2021, respectively. This growth rate has slowed over the past year primarily due to the 11.3% decline in OTA students as the university partner stopped admitting new students for most of 2021 due to clinical placement backlog. Year over year ABSN students decreased 0.3% at December 31, 2022. None of our ABSN partners have stopped admitting new students due to the clinical faculty challenges that began during the pandemic, however some locations that were scheduled to open in 2021 and 2022 have been pushed back and some existing partners have reduced incoming cohort sizes which has slowed the growth. In addition,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by 3.6% year over year. We did open six new off-campus classroom and laboratory sites in the year ended December 31, 2022 increasing the total number of these sites to 35 at December 31, 2022 and we anticipate opening six to eight more in 2023 which should re-accelerate the ABSN student enrollment growth. Enrollments at GCU increased to 108,639 at December 31, 2022, a slight increase of 0.5% over enrollments at December 31, 2021 primarily due to the increase in ground traditional and ABSN off-campus enrollments partially offset by the decrease in GCU online enrollments between years. The decline in GCU online enrollments between years is primarily due to recruitment challenges caused by reduced access to schools, hospitals, and businesses where our potential students work due to COVID-19. In the second half of 2022, we have seen an online new student increase over the prior year. As the year-over-year comparables returned to historical levels, and schools, hospitals, and businesses are generally reopened, our online enrollment growth rate has begun to re-accelerate. Enrollments for GCU ground students were 25,522 at December 31, 2022 up from 23,629 at December 31, 2021 primarily due to a 8.6% increase in traditional ground students between years.</w:t>
      </w:r>
    </w:p>
    <w:p>
      <w:pPr>
        <w:spacing w:after="0" w:line="184"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i w:val="1"/>
          <w:iCs w:val="1"/>
          <w:color w:val="auto"/>
        </w:rPr>
        <w:t>Technology and academic services</w:t>
      </w:r>
      <w:r>
        <w:rPr>
          <w:rFonts w:ascii="Arial" w:cs="Arial" w:eastAsia="Arial" w:hAnsi="Arial"/>
          <w:sz w:val="17"/>
          <w:szCs w:val="17"/>
          <w:color w:val="auto"/>
        </w:rPr>
        <w:t>. Our technology and academic services expenses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were $150.5 million, an increase of $18.4 million, or 13.9%, as compared to technology and academic services expenses of $132.1 million for the year ended December 31, 2021. Excluding the $5.0 million reversal of the credit loss reserve in the fourth quarter of 2021 as a result of the repayment by GCU for the Secured Note and capital expenditure loans, there was an increase of $13.4 million or 9.8%, year over year. This increase was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primarily due to increases in employee compensation and related expenses including share-based compensation, in other technology and academic supply costs, and in occupancy and depreciation including lease expenses of $9.2 million, $2.6 million and $1.6 million, respectively. The increases were primarily due to increased headcount to support our 27 university partners, and their increased enrollment growth, tenure-based salary adjustments, an increase in benefit costs and the increased number of off-campus classroom and laboratory sites open between years. Our technology and academic services expenses as a percentage of service revenue, excluding the reversal of the $5.0 million credit loss in 2021 increased 1.3% to 16.5% for the year ended December 31, 2022, from 15.2% for the year ended December 31, 2021 primarily due to our services agreements with university partners that provide for off-campus classroom and laboratory sites, which necessitate a higher level of technology and academic services than does our agreement with GCU. We anticipate that technology and academic services expenses as a percentage of revenue will continue to increase in the future as we open more off-site classroom and laboratory sites.</w:t>
      </w:r>
    </w:p>
    <w:p>
      <w:pPr>
        <w:spacing w:after="0" w:line="182"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$273.3 million, an increase of $24.1 million, or 9.7%, as compared to counseling services and support expenses of $249.2 million for the year ended December 31, 2021. This increase was primarily attributable to increases in employee compensation and related expenses including share-based compensation, increases in other counseling services and support expenses and in depreciation, amortization and occupancy costs of $13.6 million, $9.8 million and $0.8 million, respectively. The increases in employee compensation and related expenses were primarily due to increased headcount to support our 27 university partners, and their increased enrollment growth, tenure-based salary adjustments, and an increase in benefit costs. The increase in other counseling services and support expenses is primarily the result of increased travel costs to service our 27 university partners as compared to the COVID-19 impacted 2021, during which significantly lower travel costs were incurred. Occupancy and depreciation costs increased slightly due to the increased number of off-campus classroom and laboratory sites open year over year. Our counseling services and support expenses as a percentage of service revenue increased 2.2% to 30.0% for the year ended December 31, 2022, from 27.8% for the year ended December 31, 2021 primarily due to increased travel costs and the increase in our employee base and their compensation to meet our university partners’ growth expectations and retain our employees increasing at a faster rate than revenue growth. We anticipate that counseling services and support expenses as a percentage of revenue will continue to increase on a year over year basis in the first half of 2023 as a result of the investments made primarily in the second half of 2022, but are hopeful that the growth rate will be more in line with our revenue growth in the second half of 2023.</w:t>
      </w:r>
    </w:p>
    <w:p>
      <w:pPr>
        <w:spacing w:after="0" w:line="174"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$196.1 million, an increase of $13.2 million, or 7.2%, as compared to marketing and communication expenses of $182.9 million for the year ended December 31, 2021. This increase was primarily attributable to the increased cost to market our university partners’ programs and due to the marketing of new university partners and new off-campus classroom and laboratory sites which resulted in increased advertising of $10.6 million and increased employee compensation expenses and related expenses including share-based compensation of $2.9 million, partially offset by a decrease in other marketing supplies of $0.4 million. Our marketing and communication expenses as a percentage of service revenue increased by 1.1% to 21.5% for the year ended December 31, 2022, from 20.4% for the year ended December 31, 2021, primarily due to the increase in the number of new university partners and their growth expectations and increased off-campus classroom and laboratory sites open between years. Although we will continue to invest heavily in this area, we are hopeful that the growth rate will be more in line with our revenue growth in 2023.</w:t>
      </w:r>
    </w:p>
    <w:p>
      <w:pPr>
        <w:spacing w:after="0" w:line="17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year ended December 31, 2022 were</w:t>
      </w:r>
      <w:r>
        <w:rPr>
          <w:rFonts w:ascii="Arial" w:cs="Arial" w:eastAsia="Arial" w:hAnsi="Arial"/>
          <w:sz w:val="16"/>
          <w:szCs w:val="16"/>
          <w:i w:val="1"/>
          <w:iCs w:val="1"/>
          <w:color w:val="auto"/>
        </w:rPr>
        <w:t xml:space="preserve"> </w:t>
      </w:r>
      <w:r>
        <w:rPr>
          <w:rFonts w:ascii="Arial" w:cs="Arial" w:eastAsia="Arial" w:hAnsi="Arial"/>
          <w:sz w:val="16"/>
          <w:szCs w:val="16"/>
          <w:color w:val="auto"/>
        </w:rPr>
        <w:t>$45.5 million, an increase of $3.7 million, or 8.8%, as compared to general and administrative expenses of $41.8 million for the year ended December 31, 2021. This increase was primarily due to increases in other general and administrative expenses of $2.0 million and increases in employee compensation and related expenses including share-based compensation of $1.7 million. The increase in other general and administrative expenses is primarily due to continued increases in travel costs and increases in charitable contributions over the prior year. The increase in employee compensation and related expenses is increased headcount to support our 27 university partners, and their increased enrollment growth, tenure-based salary adjustments, and an increase in benefit costs. Our general and administrative expenses as a percentage of service revenue increased by 0.3% to 5.0% for the year ended December 31, 2022, from 4.7% for the year ended December 31, 2021 due to the other general and administrative expense and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employee compensation costs growing at a faster rate than our revenue growth. Although we will continue to invest heavily in this area, we are hopeful that the growth rate will be more in line with our revenue growth in 2023.</w:t>
      </w:r>
    </w:p>
    <w:p>
      <w:pPr>
        <w:spacing w:after="0" w:line="124"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years ended December 31,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were $8.4 million for both periods. As a result of the Acquisition, certain identifiable intangible assets were created (primarily customer relationships) that will be amortized over their expected lives.</w:t>
      </w:r>
    </w:p>
    <w:p>
      <w:pPr>
        <w:spacing w:after="0" w:line="184"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the Secured Note for the year ended December 31, 2022 was</w:t>
      </w:r>
      <w:r>
        <w:rPr>
          <w:rFonts w:ascii="Arial" w:cs="Arial" w:eastAsia="Arial" w:hAnsi="Arial"/>
          <w:sz w:val="16"/>
          <w:szCs w:val="16"/>
          <w:i w:val="1"/>
          <w:iCs w:val="1"/>
          <w:color w:val="auto"/>
        </w:rPr>
        <w:t xml:space="preserve"> </w:t>
      </w:r>
      <w:r>
        <w:rPr>
          <w:rFonts w:ascii="Arial" w:cs="Arial" w:eastAsia="Arial" w:hAnsi="Arial"/>
          <w:sz w:val="16"/>
          <w:szCs w:val="16"/>
          <w:color w:val="auto"/>
        </w:rPr>
        <w:t>nil as compared to $52.1 million for the year ended December 31, 2021. GCE recognized interest income on its Secured Note with GCU including borrowings made for capital expenditures, at an interest rate of 6%. The decrease over the prior year was due to GCU repaying $500.0 million of the outstanding balance of the Secured Note receivable on October 29, 2021 and the remaining balance of the Secured Note receivable of $469.9 million on December 9, 2021. As the Secured Note receivable is paid off we do not anticipate any interest income to be earned in the future.</w:t>
      </w:r>
    </w:p>
    <w:p>
      <w:pPr>
        <w:spacing w:after="0" w:line="164"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$3.6 million for the year ended December 31, 2021 as compared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nil for the year ended December 31, 2022. The decrease in interest expense is primarily due to the repayment and termination of the credit facility in early November 2021, partially offset by the write-off of the remaining deferred loan costs of $1.0 million in 2021 at the time of the termination of the credit facility.</w:t>
      </w:r>
    </w:p>
    <w:p>
      <w:pPr>
        <w:spacing w:after="0" w:line="171"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year ended December 31, 2022 was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$2.0 million, as compared to $0.6 million for the year ended December 31, 2021. Interest rates have increased in 2022 resulting in increased investment interest income.</w:t>
      </w:r>
    </w:p>
    <w:p>
      <w:pPr>
        <w:spacing w:after="0" w:line="184"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year ended December 31, 2022 was $55.4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$15.5 million, or 21.9%, as compared to income tax expense of $70.9 million for the year ended December 31, 2021. This decrease is the result of a decline in taxable income between years, partially offset by a slight increase in our effective tax rate between years. Our effective tax rate was 23.1% during the year ended December 31, 2022 as compared to 21.4% during the year ended December 31, 2021. The effective tax rate in 2021 was favorably impacted by higher excess tax benefits of $4.4 million compared to excess tax benefits of $0.1 million for the year ended December 31, 2022.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In 2021 the remaining stock options that had been granted ten years prior were exercised by certain of our executives prior to their expiration generating the large excess tax benefit. As there are no stock options remaining, we anticipate our excess tax benefit or expense will be similar to what it was in 2022 going forward. Our restricted stock vests in March each year so any benefit or expense will primarily impact the first quarter each year.</w:t>
      </w:r>
    </w:p>
    <w:p>
      <w:pPr>
        <w:spacing w:after="0" w:line="17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ended December 31, 2022 was $184.7 million, a decrease of $75.6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29.1% as compared to $260.3 million for the year ended December 31, 2021, due to the factors discussed above.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service revenue and operating results normally fluctuate as a result of seasonal variations in our business, principally due to changes in our university partners’ enrollment. Our partners’ enrollment varies as a result of new enrollments, graduations, and student attrition. Service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$ 181,704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600,941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Our liquidity position, as measured by cash and cash equivalents and investments decreased by $419.2 million between December 31, 2021 and December 31, 2022, which was largely attributable to share repurchases in accordance with our share repurchase program and capital expenditures during the year ended December 31, 2022 of $604.2 million and $35.2 million, respectively, partially offset by cash provided by operating activities of $220.8 million. Our unrestricted cash and cash equivalents and investments were $181.7 million and $600.9 million at December 31, 2022 and 2021, respectively.</w:t>
      </w:r>
    </w:p>
    <w:p>
      <w:pPr>
        <w:spacing w:after="0" w:line="192"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$ 220,819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313,119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decrease in cash generated from operating activities between the years ended December 31, 2021 and 2022 was primarily due to a decrease in net income and changes in other working capital balances. We define working capital as the assets and liabilities, other than cash, generated through GCE’s primary operating activities. Changes in these balances are included in the changes in assets and liabilities presented in the statement of cash flows.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(97,139)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950,979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99" w:firstLine="648"/>
        <w:spacing w:after="0" w:line="308" w:lineRule="auto"/>
        <w:rPr>
          <w:sz w:val="20"/>
          <w:szCs w:val="20"/>
          <w:color w:val="auto"/>
        </w:rPr>
      </w:pPr>
      <w:r>
        <w:rPr>
          <w:rFonts w:ascii="Arial" w:cs="Arial" w:eastAsia="Arial" w:hAnsi="Arial"/>
          <w:sz w:val="17"/>
          <w:szCs w:val="17"/>
          <w:color w:val="auto"/>
        </w:rPr>
        <w:t>Investing activities consumed $97.1 million of cash in fiscal 2022. Investing activities provided $951.0 million of cash in fiscal 2021 primarily due to the repayment of the Secured Note receivable by GCU for $969.9 million.</w:t>
      </w:r>
    </w:p>
    <w:p>
      <w:pPr>
        <w:spacing w:after="0" w:line="14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In 2022 and 2021 cash used in investing activities was primarily related to capital expenditures of $35.2 million and $28.9 million, respectively. Capital expenditures for both fiscal years primarily consisted of leasehold improvements and equipment for new off-campus classroom and laboratory sites, as well as purchases of computer equipment, internal use software projects and furniture and equipment to support our increasing employee headcount. The Company intends to continue to spend approximately $30.0 million to $35.0 million per year for capital expenditures.</w:t>
      </w:r>
    </w:p>
    <w:p>
      <w:pPr>
        <w:spacing w:after="0" w:line="161"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Purchases from investments, net of proceeds, were $61.5 million. Proceeds from investments, net of purchases of short-term investments, were $10.5 million in fiscal 2021. In 2022 and 2021, the Company elected to utilize its excess cash balances from both operating cash flows and the payoff of the Secured Note to repurchase its shares.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(604,212)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Financing activities consumed $604.2 million of cash in fiscal 2022 compared to $908.9 in fiscal 2021. During 2021 principal and revolver payments were $107.8 million. 2021 payments represented quarterly term loan repayments through the third quarter with the remaining balance of the credit facility paid and the credit facility terminated in October 2021, when the Secured Note receivable began to be repaid by GCU.</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Proceeds received from option exercises totaled $2.7 million in fiscal 2021.</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During fiscal 2022 and 2021, $599.6 million and $797.8 million, respectively, was used to purchase treasury stock in accordance with GCE’s share repurchase program. In 2022 and 2021, $4.6 million and $6.0 million, respectively, of cash was utilized to purchase common shares withheld in lieu of income taxes resulting from the vesting of restricted share awards. The Company intends to continue using a portion of its cash flows from operations to repurchase its shares.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In January 2021, July 2021, and January 2022 our Board of Directors increased the authorization under its existing stock repurchase program by $100.0 million, $970.0 million and $175.0 million respectively, reflecting an aggregate authorization for share repurchases since the initiation of the program of $1,645.0 million. The current expiration date on the repurchase authorization by our Board of Directors is December 31, 2023. Repurchases occur at the Company’s discretion and the Company may modify, suspend or discontinue the repurchase authorization at any time.</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 on the closing price of the common stock of $95.63, on May 14,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August 13, 2021 with additional delivery of 139,270 shares of common stock. The ASR agreement resulted in a total of 557,549 shares repurchased at an average cost of $89.68.</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Since 2011, we have purchased 21.6 million shares of common stock at an aggregate cost of $1,649.2 million, which includes 6,794,693 shares of common stock at an aggregate cost of $599.6 million during the year ended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 xml:space="preserve">Our contractual obligations primarily consist of capital expenditures primarily for new off-campus classroom and laboratory sites opening and continued spend on computer equipment, software licenses, internal software development and furniture and equipment to support our increasing employee headcount. See </w:t>
      </w:r>
      <w:r>
        <w:rPr>
          <w:rFonts w:ascii="Arial" w:cs="Arial" w:eastAsia="Arial" w:hAnsi="Arial"/>
          <w:sz w:val="18"/>
          <w:szCs w:val="18"/>
          <w:i w:val="1"/>
          <w:iCs w:val="1"/>
          <w:color w:val="auto"/>
        </w:rPr>
        <w:t>Note 9 - Leases</w:t>
      </w:r>
      <w:r>
        <w:rPr>
          <w:rFonts w:ascii="Arial" w:cs="Arial" w:eastAsia="Arial" w:hAnsi="Arial"/>
          <w:sz w:val="18"/>
          <w:szCs w:val="18"/>
          <w:color w:val="auto"/>
        </w:rPr>
        <w:t xml:space="preserve">, in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There are no other material contractual obligations or commitments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88" w:lineRule="exact"/>
        <w:rPr>
          <w:sz w:val="20"/>
          <w:szCs w:val="20"/>
          <w:color w:val="auto"/>
        </w:rPr>
      </w:pPr>
    </w:p>
    <w:p>
      <w:pPr>
        <w:ind w:left="40" w:right="59" w:firstLine="325"/>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6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interest expense, or the cash required to replace assets that are being depreciated or amortized; and</w:t>
      </w:r>
    </w:p>
    <w:p>
      <w:pPr>
        <w:spacing w:after="0" w:line="20" w:lineRule="exact"/>
        <w:rPr>
          <w:rFonts w:ascii="Arial" w:cs="Arial" w:eastAsia="Arial" w:hAnsi="Arial"/>
          <w:sz w:val="17"/>
          <w:szCs w:val="17"/>
          <w:color w:val="auto"/>
        </w:rPr>
      </w:pPr>
    </w:p>
    <w:p>
      <w:pPr>
        <w:ind w:left="1040" w:right="719" w:hanging="315"/>
        <w:spacing w:after="0" w:line="26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8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net income to Adjusted EBITDA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260,344</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Plus: interest expense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3,601</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Less: investment interest and other</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70,945</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Plus: amortization of intangible assets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w:t>
            </w:r>
          </w:p>
        </w:tc>
        <w:tc>
          <w:tcPr>
            <w:tcW w:w="2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EBITDA</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268,677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312,603</w:t>
            </w:r>
          </w:p>
        </w:tc>
        <w:tc>
          <w:tcPr>
            <w:tcW w:w="2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Plus: contributions in lieu of state income taxes</w:t>
            </w:r>
            <w:r>
              <w:rPr>
                <w:rFonts w:ascii="Arial" w:cs="Arial" w:eastAsia="Arial" w:hAnsi="Arial"/>
                <w:sz w:val="24"/>
                <w:szCs w:val="24"/>
                <w:color w:val="auto"/>
                <w:vertAlign w:val="superscript"/>
              </w:rPr>
              <w:t>(a)</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line="216" w:lineRule="exact"/>
              <w:rPr>
                <w:sz w:val="20"/>
                <w:szCs w:val="20"/>
                <w:color w:val="auto"/>
              </w:rPr>
            </w:pPr>
            <w:r>
              <w:rPr>
                <w:rFonts w:ascii="Arial" w:cs="Arial" w:eastAsia="Arial" w:hAnsi="Arial"/>
                <w:sz w:val="17"/>
                <w:szCs w:val="17"/>
                <w:color w:val="auto"/>
              </w:rPr>
              <w:t>Plus: loss on fixed asset disposal</w:t>
            </w:r>
            <w:r>
              <w:rPr>
                <w:rFonts w:ascii="Arial" w:cs="Arial" w:eastAsia="Arial" w:hAnsi="Arial"/>
                <w:sz w:val="25"/>
                <w:szCs w:val="25"/>
                <w:color w:val="auto"/>
                <w:vertAlign w:val="superscript"/>
              </w:rPr>
              <w:t>(b)</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reversal of credit loss reserve</w:t>
            </w:r>
            <w:r>
              <w:rPr>
                <w:rFonts w:ascii="Arial" w:cs="Arial" w:eastAsia="Arial" w:hAnsi="Arial"/>
                <w:sz w:val="25"/>
                <w:szCs w:val="25"/>
                <w:color w:val="auto"/>
                <w:vertAlign w:val="superscript"/>
              </w:rPr>
              <w:t>(c)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line="216" w:lineRule="exact"/>
              <w:rPr>
                <w:sz w:val="20"/>
                <w:szCs w:val="20"/>
                <w:color w:val="auto"/>
              </w:rPr>
            </w:pPr>
            <w:r>
              <w:rPr>
                <w:rFonts w:ascii="Arial" w:cs="Arial" w:eastAsia="Arial" w:hAnsi="Arial"/>
                <w:sz w:val="17"/>
                <w:szCs w:val="17"/>
                <w:color w:val="auto"/>
              </w:rPr>
              <w:t>Plus: share-based compensation</w:t>
            </w:r>
            <w:r>
              <w:rPr>
                <w:rFonts w:ascii="Arial" w:cs="Arial" w:eastAsia="Arial" w:hAnsi="Arial"/>
                <w:sz w:val="25"/>
                <w:szCs w:val="25"/>
                <w:color w:val="auto"/>
                <w:vertAlign w:val="superscript"/>
              </w:rPr>
              <w:t>(d)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11,526</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Plus: litigation and regulatory reserves</w:t>
            </w:r>
            <w:r>
              <w:rPr>
                <w:rFonts w:ascii="Arial" w:cs="Arial" w:eastAsia="Arial" w:hAnsi="Arial"/>
                <w:sz w:val="25"/>
                <w:szCs w:val="25"/>
                <w:color w:val="auto"/>
                <w:vertAlign w:val="superscript"/>
              </w:rPr>
              <w:t>(e)</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4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291,336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327,354</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7" w:lineRule="exact"/>
        <w:rPr>
          <w:sz w:val="20"/>
          <w:szCs w:val="20"/>
          <w:color w:val="auto"/>
        </w:rPr>
      </w:pPr>
    </w:p>
    <w:p>
      <w:pPr>
        <w:ind w:left="720" w:right="119" w:hanging="319"/>
        <w:spacing w:after="0" w:line="252"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23.1% and 21.4% for the years ended December 31, 2022 and 2021, respectively. Had these contributions not been made, our effective tax rate would have been 24.7% and 22.6% for 2022 and 2021, respectively. Such contributions are viewed by our management to be made in lieu of payments of state income taxes and are therefore excluded from evaluation of our core operating performance.</w:t>
      </w:r>
    </w:p>
    <w:p>
      <w:pPr>
        <w:spacing w:after="0" w:line="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 loss on fixed asset disposals.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reversal of the credit loss reserve on the Secured Note receivable due to repayment in full by GCU in the fourth quarter of 2021.</w:t>
      </w: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share-based compensation expense related to GCE employees.</w:t>
      </w:r>
    </w:p>
    <w:p>
      <w:pPr>
        <w:spacing w:after="0" w:line="9" w:lineRule="exact"/>
        <w:rPr>
          <w:rFonts w:ascii="Arial" w:cs="Arial" w:eastAsia="Arial" w:hAnsi="Arial"/>
          <w:sz w:val="18"/>
          <w:szCs w:val="18"/>
          <w:color w:val="auto"/>
        </w:rPr>
      </w:pPr>
    </w:p>
    <w:p>
      <w:pPr>
        <w:ind w:left="720" w:right="339" w:hanging="319"/>
        <w:spacing w:after="0" w:line="260"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primarily regulatory litigation as GCE retained responsibility for all liabilities of GCU arising prior to the closing date of the Transaction.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399" w:firstLine="648"/>
        <w:spacing w:after="0" w:line="311"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As of December 31, 2022, we have no derivative financial instruments or derivative commodity</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We invest cash in excess of current operating requirements in short term certificates of deposit and money market instruments, municipal bond portfolios, or municipal mutual funds at multiple financial institutions.</w:t>
      </w:r>
    </w:p>
    <w:p>
      <w:pPr>
        <w:spacing w:after="0" w:line="14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2022, a 10% increase or decrease in interest rates would not have a material impact on our future earnings, fair values,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820" w:type="dxa"/>
            <w:vAlign w:val="bottom"/>
            <w:gridSpan w:val="8"/>
          </w:tcPr>
          <w:p>
            <w:pPr>
              <w:ind w:left="18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60" w:type="dxa"/>
            <w:vAlign w:val="bottom"/>
          </w:tcPr>
          <w:p>
            <w:pPr>
              <w:spacing w:after="0"/>
              <w:rPr>
                <w:sz w:val="20"/>
                <w:szCs w:val="20"/>
                <w:color w:val="auto"/>
              </w:rPr>
            </w:pPr>
          </w:p>
        </w:tc>
      </w:tr>
      <w:tr>
        <w:trPr>
          <w:trHeight w:val="364"/>
        </w:trPr>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85"/>
        </w:trPr>
        <w:tc>
          <w:tcPr>
            <w:tcW w:w="8540" w:type="dxa"/>
            <w:vAlign w:val="bottom"/>
            <w:gridSpan w:val="9"/>
          </w:tcPr>
          <w:p>
            <w:pPr>
              <w:spacing w:after="0"/>
              <w:rPr>
                <w:sz w:val="20"/>
                <w:szCs w:val="20"/>
                <w:color w:val="auto"/>
              </w:rPr>
            </w:pPr>
            <w:r>
              <w:rPr>
                <w:rFonts w:ascii="Arial" w:cs="Arial" w:eastAsia="Arial" w:hAnsi="Arial"/>
                <w:sz w:val="18"/>
                <w:szCs w:val="18"/>
                <w:color w:val="0000EE"/>
                <w:w w:val="98"/>
              </w:rPr>
              <w:t xml:space="preserve">Report of Independent Registered Public Accounting Firm </w:t>
            </w:r>
            <w:r>
              <w:rPr>
                <w:rFonts w:ascii="Arial" w:cs="Arial" w:eastAsia="Arial" w:hAnsi="Arial"/>
                <w:sz w:val="18"/>
                <w:szCs w:val="18"/>
                <w:color w:val="000000"/>
                <w:w w:val="98"/>
              </w:rPr>
              <w:t>(KPMG LLP, Phoenix, Arizona, Auditor Firm: 185)</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8540" w:type="dxa"/>
            <w:vAlign w:val="bottom"/>
            <w:gridSpan w:val="9"/>
          </w:tcPr>
          <w:p>
            <w:pPr>
              <w:spacing w:after="0"/>
              <w:rPr>
                <w:sz w:val="20"/>
                <w:szCs w:val="20"/>
                <w:color w:val="auto"/>
              </w:rPr>
            </w:pPr>
            <w:r>
              <w:rPr>
                <w:rFonts w:ascii="Arial" w:cs="Arial" w:eastAsia="Arial" w:hAnsi="Arial"/>
                <w:sz w:val="18"/>
                <w:szCs w:val="18"/>
                <w:color w:val="0000EE"/>
              </w:rPr>
              <w:t>Consolidated Balance Sheets as of December 31, 2022 and 2021</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8540" w:type="dxa"/>
            <w:vAlign w:val="bottom"/>
            <w:gridSpan w:val="9"/>
          </w:tcPr>
          <w:p>
            <w:pPr>
              <w:spacing w:after="0"/>
              <w:rPr>
                <w:sz w:val="20"/>
                <w:szCs w:val="20"/>
                <w:color w:val="auto"/>
              </w:rPr>
            </w:pPr>
            <w:r>
              <w:rPr>
                <w:rFonts w:ascii="Arial" w:cs="Arial" w:eastAsia="Arial" w:hAnsi="Arial"/>
                <w:sz w:val="18"/>
                <w:szCs w:val="18"/>
                <w:color w:val="0000EE"/>
              </w:rPr>
              <w:t>Consolidated Income Statements for the years ended December 31, 2022, 2021 and 2020</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7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Consolidated Statements of Comprehensive Income for the years ended December 31, 2022, 2021 and 2020</w:t>
            </w:r>
          </w:p>
        </w:tc>
        <w:tc>
          <w:tcPr>
            <w:tcW w:w="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8540" w:type="dxa"/>
            <w:vAlign w:val="bottom"/>
            <w:gridSpan w:val="9"/>
          </w:tcPr>
          <w:p>
            <w:pPr>
              <w:spacing w:after="0"/>
              <w:rPr>
                <w:sz w:val="20"/>
                <w:szCs w:val="20"/>
                <w:color w:val="auto"/>
              </w:rPr>
            </w:pPr>
            <w:r>
              <w:rPr>
                <w:rFonts w:ascii="Arial" w:cs="Arial" w:eastAsia="Arial" w:hAnsi="Arial"/>
                <w:sz w:val="18"/>
                <w:szCs w:val="18"/>
                <w:color w:val="0000EE"/>
              </w:rPr>
              <w:t>Consolidated Statements of Stockholders’ Equity for the years ended December 31, 2022, 2021 and 2020</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75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7"/>
              </w:rPr>
              <w:t>Consolidated Statements of Cash Flows for the years ended December 31, 2022, 2021 and 2020</w:t>
            </w:r>
          </w:p>
        </w:tc>
        <w:tc>
          <w:tcPr>
            <w:tcW w:w="9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6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Notes to Consolidated Financial Statements</w:t>
            </w:r>
          </w:p>
        </w:tc>
        <w:tc>
          <w:tcPr>
            <w:tcW w:w="16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7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Canyon Education,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left="60" w:right="319"/>
        <w:spacing w:after="0" w:line="272" w:lineRule="auto"/>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 December 31, 2022 and 2021, the related consolidated statements of income, comprehensive income,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50"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16, 2023 expressed an unqualified opinion on the effectiveness of the Company’s internal control over financial reporting.</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Evaluation of the sufficiency of audit evidence over service revenue</w:t>
      </w:r>
    </w:p>
    <w:p>
      <w:pPr>
        <w:spacing w:after="0" w:line="104" w:lineRule="exact"/>
        <w:rPr>
          <w:sz w:val="20"/>
          <w:szCs w:val="20"/>
          <w:color w:val="auto"/>
        </w:rPr>
      </w:pPr>
    </w:p>
    <w:p>
      <w:pPr>
        <w:ind w:left="700" w:right="79"/>
        <w:spacing w:after="0" w:line="301" w:lineRule="auto"/>
        <w:rPr>
          <w:sz w:val="20"/>
          <w:szCs w:val="20"/>
          <w:color w:val="auto"/>
        </w:rPr>
      </w:pPr>
      <w:r>
        <w:rPr>
          <w:rFonts w:ascii="Arial" w:cs="Arial" w:eastAsia="Arial" w:hAnsi="Arial"/>
          <w:sz w:val="16"/>
          <w:szCs w:val="16"/>
          <w:color w:val="auto"/>
        </w:rPr>
        <w:t>As discussed in Note 2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spacing w:after="0" w:line="277" w:lineRule="auto"/>
        <w:rPr>
          <w:sz w:val="20"/>
          <w:szCs w:val="20"/>
          <w:color w:val="auto"/>
        </w:rPr>
      </w:pPr>
      <w:r>
        <w:rPr>
          <w:rFonts w:ascii="Arial" w:cs="Arial" w:eastAsia="Arial" w:hAnsi="Arial"/>
          <w:sz w:val="18"/>
          <w:szCs w:val="18"/>
          <w:color w:val="auto"/>
        </w:rPr>
        <w:t>on the respective University Partner’s reporting processes and the services provided. The Company recorded $911 million of service revenue for the year ended December 31, 2022.</w:t>
      </w:r>
    </w:p>
    <w:p>
      <w:pPr>
        <w:spacing w:after="0" w:line="143" w:lineRule="exact"/>
        <w:rPr>
          <w:sz w:val="20"/>
          <w:szCs w:val="20"/>
          <w:color w:val="auto"/>
        </w:rPr>
      </w:pPr>
    </w:p>
    <w:p>
      <w:pPr>
        <w:ind w:left="700" w:right="159"/>
        <w:spacing w:after="0" w:line="301" w:lineRule="auto"/>
        <w:rPr>
          <w:sz w:val="20"/>
          <w:szCs w:val="20"/>
          <w:color w:val="auto"/>
        </w:rPr>
      </w:pPr>
      <w:r>
        <w:rPr>
          <w:rFonts w:ascii="Arial" w:cs="Arial" w:eastAsia="Arial" w:hAnsi="Arial"/>
          <w:sz w:val="16"/>
          <w:szCs w:val="16"/>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17" w:lineRule="exact"/>
        <w:rPr>
          <w:sz w:val="20"/>
          <w:szCs w:val="20"/>
          <w:color w:val="auto"/>
        </w:rPr>
      </w:pPr>
    </w:p>
    <w:p>
      <w:pPr>
        <w:ind w:left="700" w:right="99"/>
        <w:spacing w:after="0" w:line="272"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83" w:lineRule="exact"/>
        <w:rPr>
          <w:sz w:val="20"/>
          <w:szCs w:val="20"/>
          <w:color w:val="auto"/>
        </w:rPr>
      </w:pPr>
    </w:p>
    <w:p>
      <w:pPr>
        <w:ind w:left="700" w:right="699"/>
        <w:spacing w:after="0" w:line="258" w:lineRule="auto"/>
        <w:rPr>
          <w:sz w:val="20"/>
          <w:szCs w:val="20"/>
          <w:color w:val="auto"/>
        </w:rPr>
      </w:pPr>
      <w:r>
        <w:rPr>
          <w:rFonts w:ascii="Arial" w:cs="Arial" w:eastAsia="Arial" w:hAnsi="Arial"/>
          <w:sz w:val="18"/>
          <w:szCs w:val="18"/>
          <w:color w:val="auto"/>
        </w:rPr>
        <w:t>We evaluated the sufficiency of audit evidence obtained by assessing the results of procedures performed, including the nature of such evidence.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832,749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1,222,745</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130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80" w:type="dxa"/>
            <w:vAlign w:val="bottom"/>
          </w:tcPr>
          <w:p>
            <w:pPr>
              <w:spacing w:after="0" w:line="201" w:lineRule="exact"/>
              <w:rPr>
                <w:sz w:val="20"/>
                <w:szCs w:val="20"/>
                <w:color w:val="auto"/>
              </w:rPr>
            </w:pPr>
            <w:r>
              <w:rPr>
                <w:rFonts w:ascii="Arial" w:cs="Arial" w:eastAsia="Arial" w:hAnsi="Arial"/>
                <w:sz w:val="18"/>
                <w:szCs w:val="18"/>
                <w:color w:val="auto"/>
                <w:w w:val="88"/>
              </w:rPr>
              <w:t>Preferred stock, $0.01 par value, 10,000 shares authorized; 0 shares issued and outstanding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at December 31, 2022 and December 31, 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100,000 shares authorized; 53,830 and 53,637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89"/>
              </w:rPr>
              <w:t>issued and 31,058 and 37,722 shares outstanding at December 31, 2022 and December 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2021,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580" w:type="dxa"/>
            <w:vAlign w:val="bottom"/>
          </w:tcPr>
          <w:p>
            <w:pPr>
              <w:spacing w:after="0" w:line="201" w:lineRule="exact"/>
              <w:rPr>
                <w:sz w:val="20"/>
                <w:szCs w:val="20"/>
                <w:color w:val="auto"/>
              </w:rPr>
            </w:pPr>
            <w:r>
              <w:rPr>
                <w:rFonts w:ascii="Arial" w:cs="Arial" w:eastAsia="Arial" w:hAnsi="Arial"/>
                <w:sz w:val="18"/>
                <w:szCs w:val="18"/>
                <w:color w:val="auto"/>
                <w:w w:val="90"/>
              </w:rPr>
              <w:t>Treasury stock, at cost, 22,772 and 15,915 shares of common stock at December 31, 2022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and December 31, 2021,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(1,711,423)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(1,107,211)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2,039,727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1,855,052</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1,045,047</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832,749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1,222,745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51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911,306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896,564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844,096</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132,078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116,012</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273,313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249,179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234,534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182,872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164,334</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43,360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673,806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614,374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566,659</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277,437</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59,190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333,140</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75,944</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184,675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260,344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257,196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5.92</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32,131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43,835</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46,880</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32,237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43,958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47,165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72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96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$ 184,675</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$ 260,344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$ 257,196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Unrealized losses on available-for-sale securities, net of taxes of $168 for the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year ended December 31, 2022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$ 184,142</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$ 260,344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$ 257,196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193"/>
              <w:spacing w:after="0"/>
              <w:rPr>
                <w:sz w:val="20"/>
                <w:szCs w:val="20"/>
                <w:color w:val="auto"/>
              </w:rPr>
            </w:pPr>
            <w:r>
              <w:rPr>
                <w:rFonts w:ascii="Arial" w:cs="Arial" w:eastAsia="Arial" w:hAnsi="Arial"/>
                <w:sz w:val="14"/>
                <w:szCs w:val="14"/>
                <w:b w:val="1"/>
                <w:bCs w:val="1"/>
                <w:color w:val="auto"/>
                <w:w w:val="98"/>
              </w:rPr>
              <w:t>Year Ended December 31, 2022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8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Comprehensive</w:t>
            </w: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6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7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8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$ 270,923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$1,341,344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1,443,433</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w w:val="98"/>
              </w:rPr>
              <w:t>Cumulative effect from the adoption</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9"/>
              </w:rPr>
              <w:t>of accounting pronouncements, net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of taxes of $1,168</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treasury</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(129,045)</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(129,045)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53,277</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(303,379)</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$ 282,467</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1,594,708</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1,574,329</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260,344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260,344</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treasury</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(797,838)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(797,838)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7"/>
                <w:szCs w:val="17"/>
                <w:color w:val="auto"/>
              </w:rPr>
              <w:t>184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(5,994)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11,525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5,532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Balance at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53,637</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2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15,915</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u w:val="single" w:color="auto"/>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(1,107,211)</w:t>
            </w:r>
          </w:p>
        </w:tc>
        <w:tc>
          <w:tcPr>
            <w:tcW w:w="1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$ 296,670</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$ 1,855,052</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1,045,047</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(533)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184,675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184,142</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treasury</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6,795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(599,587)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(599,587)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7"/>
                <w:szCs w:val="17"/>
                <w:color w:val="auto"/>
              </w:rPr>
              <w:t>193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(4,625)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12,640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8,017</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53,830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(1,711,423)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$ 309,310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$ 2,039,727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637,619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184,675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260,344</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257,196</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12,642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11,526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10,663</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Reversal of credit loss reserve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22,758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21,994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21,233</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3,136</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(3,894)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7,392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18,612</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220,819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313,119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308,823</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provided by investing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(35,232)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(29,418)</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by GCU</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1,159,912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(171,549)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(56,335)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110,039</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66,792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10,591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investing activities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(97,139)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950,979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(19,351)</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(107,774)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(33,144)</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 of common shares and shares withheld in lieu of income taxes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(604,212)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(803,832)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(134,014)</w:t>
            </w:r>
          </w:p>
        </w:tc>
        <w:tc>
          <w:tcPr>
            <w:tcW w:w="0" w:type="dxa"/>
            <w:vAlign w:val="bottom"/>
          </w:tcPr>
          <w:p>
            <w:pPr>
              <w:spacing w:after="0"/>
              <w:rPr>
                <w:sz w:val="1"/>
                <w:szCs w:val="1"/>
                <w:color w:val="auto"/>
              </w:rPr>
            </w:pPr>
          </w:p>
        </w:tc>
      </w:tr>
      <w:tr>
        <w:trPr>
          <w:trHeight w:val="148"/>
        </w:trPr>
        <w:tc>
          <w:tcPr>
            <w:tcW w:w="60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(604,212)</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(908,926)</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(166,275)</w:t>
            </w:r>
          </w:p>
        </w:tc>
        <w:tc>
          <w:tcPr>
            <w:tcW w:w="0" w:type="dxa"/>
            <w:vAlign w:val="bottom"/>
          </w:tcPr>
          <w:p>
            <w:pPr>
              <w:spacing w:after="0"/>
              <w:rPr>
                <w:sz w:val="1"/>
                <w:szCs w:val="1"/>
                <w:color w:val="auto"/>
              </w:rPr>
            </w:pPr>
          </w:p>
        </w:tc>
      </w:tr>
      <w:tr>
        <w:trPr>
          <w:trHeight w:val="142"/>
        </w:trPr>
        <w:tc>
          <w:tcPr>
            <w:tcW w:w="6040" w:type="dxa"/>
            <w:vAlign w:val="bottom"/>
          </w:tcPr>
          <w:p>
            <w:pPr>
              <w:spacing w:after="0" w:line="142" w:lineRule="exact"/>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(480,532)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355,172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123,197</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600,941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245,769</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122,572</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120,409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600,941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245,769</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3,697</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4,306</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48,573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61,900</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68,381</w:t>
            </w:r>
          </w:p>
        </w:tc>
        <w:tc>
          <w:tcPr>
            <w:tcW w:w="0" w:type="dxa"/>
            <w:vAlign w:val="bottom"/>
          </w:tcPr>
          <w:p>
            <w:pPr>
              <w:spacing w:after="0"/>
              <w:rPr>
                <w:sz w:val="1"/>
                <w:szCs w:val="1"/>
                <w:color w:val="auto"/>
              </w:rPr>
            </w:pPr>
          </w:p>
        </w:tc>
      </w:tr>
      <w:tr>
        <w:trPr>
          <w:trHeight w:val="149"/>
        </w:trPr>
        <w:tc>
          <w:tcPr>
            <w:tcW w:w="60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49"/>
        </w:trPr>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3,368</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nine colleges both online, on ground at its campus in Phoenix, Arizona and at four off-site classroom and laboratory sites.</w:t>
      </w:r>
    </w:p>
    <w:p>
      <w:pPr>
        <w:spacing w:after="0" w:line="19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2022, GCE provides education services to 27 university partners across the Unites States.</w:t>
      </w:r>
    </w:p>
    <w:p>
      <w:pPr>
        <w:spacing w:after="0" w:line="181"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On July 1, 2018, the Company sold the university to GCU (the “Transaction”). The Company’s wholly owned subsidiaries were historically used to facilitate expansion of the university campus prior to the Transaction.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including the collection of accounts receivables and reserves associated with uncertain tax positions. Actual results could differ from those estimates.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As of December 31, 2022, the Company considered its investments in corporate bonds, commercial paper, municipal securities, asset backed securities, municipal bonds, and collateralized mortgage obligations as available-for-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sale securities based on the Company’s intent for the respective securities. As of December 31, 2021, the Company had no investments.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 temporary are recognized currently in earnings. Amortization of premiums, accretion of discounts, interest and dividend income and realized gains and losses are included in interest and other income.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Transaction and Arrangements with GCU</w:t>
      </w:r>
    </w:p>
    <w:p>
      <w:pPr>
        <w:spacing w:after="0" w:line="225"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2022 and 2021, $910 and $1,168, respectively, net of amortization, of deferred content assets are included in other assets in the Company’s consolidated balance sheets and amortization is included in technical and academic services where the costs originated.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value and useful lives of the intangible assets acquired involves certain judgments and estimates. These judgments can include, but are not limited to, the cash flows that an asset is expected to generate in the future and the appropriate weighted average cost of capital. The net assets and result of operations of an acquired entity are included on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 Following this assessment, the Company determined that it is more likely than not that its fair value exceeds its carrying amount.</w:t>
      </w:r>
    </w:p>
    <w:p>
      <w:pPr>
        <w:spacing w:after="0" w:line="171"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December 31, 2022.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441"/>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approximate their fair value based on the liquidity or the short-term maturities of these instruments.</w:t>
      </w:r>
    </w:p>
    <w:p>
      <w:pPr>
        <w:spacing w:after="0" w:line="184"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of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right="13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187"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2022 and 2021, the Company has reserved approximately $15,862 and $14,108, respectively, for uncertain tax positions, including interest and penalties, which is classified within accrued liabilities on the accompanying consolidated balance sheet.</w:t>
      </w:r>
    </w:p>
    <w:p>
      <w:pPr>
        <w:spacing w:after="0" w:line="176"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7"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2022 given historical collection experience. The Company will continue to review and revise its allowance methodology based on its collection experience with its partners.</w:t>
      </w:r>
    </w:p>
    <w:p>
      <w:pPr>
        <w:spacing w:after="0" w:line="19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$5,560 and $3,841 as of December 31, 2022 and 2021,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The Company records its accounts receivable and previously had recorded its Secured Note receivable at the net amount expected to be collected. Our accounts receivable are derived through education services 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In the first quarter of 2020, the Company adopted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using a modified retrospective approach. This model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In the fourth quarter of 2021, the Secured Note receivable was paid off in full and the credit loss reserve of $5,000 was reversed. The Company will continue to actively monitor other factors on expected credit losses.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these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2022 and 2021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December 31, 2022 and December 31, 2021, the Company had $119,639 and $600,130, respectively, in excess of the FDIC insured limit. The Company is also subject to credit risk for its accounts receivable balance. The Company has not experienced any losses on accounts receivables since July 1, 2018, the date the Company transitioned to an education service company. To manage accounts receivable risk, the Company maintains an allowance for doubtful accounts, if needed. Our dependence on our most significant university partner, with 85.8% and 85.9% of total service revenue for the years ended December 31, 2022 and 2021, respectively, subjects us to the risk that declines in our customer’s operations would result in a sustained reduction in service revenue for the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The Company has determined that no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As of December 31, 2022, the Company had investments of $61,295, classified as available-for sale securities. As of December 31, 2021, the Company had no investments.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2022, the Company had available-for-sale investments comprised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31, 2022</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Adjusted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0"/>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61,295</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61,295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For the year ended December 31, 2022, the net unrealized losses were $533,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consolidated income statements. As of December 31, 2021, there were no unrealized gains or losses for available-for sale debt securities as all matured or were sold by December 31, 2021.</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Available-for-sale securities maturing as of December 31:</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Available-for-sale securities maturing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2025</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14" w:hanging="1114"/>
        <w:spacing w:after="0"/>
        <w:tabs>
          <w:tab w:leader="none" w:pos="1114" w:val="left"/>
        </w:tabs>
        <w:numPr>
          <w:ilvl w:val="0"/>
          <w:numId w:val="40"/>
        </w:numPr>
        <w:rPr>
          <w:rFonts w:ascii="Arial" w:cs="Arial" w:eastAsia="Arial" w:hAnsi="Arial"/>
          <w:sz w:val="16"/>
          <w:szCs w:val="16"/>
          <w:color w:val="auto"/>
        </w:rPr>
      </w:pPr>
      <w:r>
        <w:rPr>
          <w:rFonts w:ascii="Arial" w:cs="Arial" w:eastAsia="Arial" w:hAnsi="Arial"/>
          <w:sz w:val="16"/>
          <w:szCs w:val="16"/>
          <w:color w:val="auto"/>
        </w:rPr>
        <w:t>35,991</w:t>
      </w:r>
    </w:p>
    <w:p>
      <w:pPr>
        <w:spacing w:after="0" w:line="46"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6"/>
          <w:szCs w:val="16"/>
          <w:color w:val="auto"/>
        </w:rPr>
        <w:t>15,444</w:t>
      </w:r>
    </w:p>
    <w:p>
      <w:pPr>
        <w:spacing w:after="0" w:line="32" w:lineRule="exact"/>
        <w:rPr>
          <w:rFonts w:ascii="Arial" w:cs="Arial" w:eastAsia="Arial" w:hAnsi="Arial"/>
          <w:sz w:val="16"/>
          <w:szCs w:val="16"/>
          <w:color w:val="auto"/>
        </w:rPr>
      </w:pPr>
    </w:p>
    <w:p>
      <w:pPr>
        <w:ind w:left="1194"/>
        <w:spacing w:after="0"/>
        <w:rPr>
          <w:rFonts w:ascii="Arial" w:cs="Arial" w:eastAsia="Arial" w:hAnsi="Arial"/>
          <w:sz w:val="16"/>
          <w:szCs w:val="16"/>
          <w:color w:val="auto"/>
        </w:rPr>
      </w:pPr>
      <w:r>
        <w:rPr>
          <w:rFonts w:ascii="Arial" w:cs="Arial" w:eastAsia="Arial" w:hAnsi="Arial"/>
          <w:sz w:val="16"/>
          <w:szCs w:val="16"/>
          <w:color w:val="auto"/>
        </w:rPr>
        <w:t>9,860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0547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12" w:lineRule="exact"/>
        <w:rPr>
          <w:sz w:val="20"/>
          <w:szCs w:val="20"/>
          <w:color w:val="auto"/>
        </w:rPr>
      </w:pPr>
    </w:p>
    <w:p>
      <w:pPr>
        <w:ind w:left="1114" w:hanging="1114"/>
        <w:spacing w:after="0"/>
        <w:tabs>
          <w:tab w:leader="none" w:pos="11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61,295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547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0547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10547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566" w:space="720"/>
            <w:col w:w="1733"/>
          </w:cols>
          <w:pgMar w:left="1440" w:top="517" w:right="1440" w:bottom="1440" w:gutter="0" w:footer="0" w:header="0"/>
          <w:type w:val="continuous"/>
        </w:sectPr>
      </w:pP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Allowance for Credit Losses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Charged to</w:t>
            </w: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7"/>
              <w:spacing w:after="0" w:line="145"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line="176" w:lineRule="exact"/>
              <w:rPr>
                <w:sz w:val="20"/>
                <w:szCs w:val="20"/>
                <w:color w:val="auto"/>
              </w:rPr>
            </w:pPr>
            <w:r>
              <w:rPr>
                <w:rFonts w:ascii="Arial" w:cs="Arial" w:eastAsia="Arial" w:hAnsi="Arial"/>
                <w:sz w:val="14"/>
                <w:szCs w:val="14"/>
                <w:b w:val="1"/>
                <w:bCs w:val="1"/>
                <w:color w:val="auto"/>
                <w:w w:val="90"/>
              </w:rPr>
              <w:t>Period</w:t>
            </w:r>
            <w:r>
              <w:rPr>
                <w:rFonts w:ascii="Arial" w:cs="Arial" w:eastAsia="Arial" w:hAnsi="Arial"/>
                <w:sz w:val="20"/>
                <w:szCs w:val="20"/>
                <w:b w:val="1"/>
                <w:bCs w:val="1"/>
                <w:color w:val="auto"/>
                <w:w w:val="90"/>
                <w:vertAlign w:val="superscript"/>
              </w:rPr>
              <w:t>(1)</w:t>
            </w:r>
          </w:p>
        </w:tc>
        <w:tc>
          <w:tcPr>
            <w:tcW w:w="84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86"/>
              </w:rPr>
              <w:t>Expense</w:t>
            </w:r>
            <w:r>
              <w:rPr>
                <w:rFonts w:ascii="Arial" w:cs="Arial" w:eastAsia="Arial" w:hAnsi="Arial"/>
                <w:sz w:val="20"/>
                <w:szCs w:val="20"/>
                <w:b w:val="1"/>
                <w:bCs w:val="1"/>
                <w:color w:val="auto"/>
                <w:w w:val="86"/>
                <w:vertAlign w:val="superscript"/>
              </w:rPr>
              <w:t>(2)</w:t>
            </w:r>
          </w:p>
        </w:tc>
        <w:tc>
          <w:tcPr>
            <w:tcW w:w="880" w:type="dxa"/>
            <w:vAlign w:val="bottom"/>
            <w:gridSpan w:val="2"/>
          </w:tcPr>
          <w:p>
            <w:pPr>
              <w:spacing w:after="0" w:line="176" w:lineRule="exact"/>
              <w:rPr>
                <w:sz w:val="20"/>
                <w:szCs w:val="20"/>
                <w:color w:val="auto"/>
              </w:rPr>
            </w:pPr>
            <w:r>
              <w:rPr>
                <w:rFonts w:ascii="Arial" w:cs="Arial" w:eastAsia="Arial" w:hAnsi="Arial"/>
                <w:sz w:val="14"/>
                <w:szCs w:val="14"/>
                <w:b w:val="1"/>
                <w:bCs w:val="1"/>
                <w:color w:val="auto"/>
              </w:rPr>
              <w:t>Transfers</w:t>
            </w:r>
            <w:r>
              <w:rPr>
                <w:rFonts w:ascii="Arial" w:cs="Arial" w:eastAsia="Arial" w:hAnsi="Arial"/>
                <w:sz w:val="20"/>
                <w:szCs w:val="20"/>
                <w:b w:val="1"/>
                <w:bCs w:val="1"/>
                <w:color w:val="auto"/>
                <w:vertAlign w:val="superscript"/>
              </w:rPr>
              <w:t>(3)</w:t>
            </w: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480" w:right="179" w:hanging="430"/>
        <w:spacing w:after="0" w:line="258"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in the year ended December 31, 2020 represents the cumulative effect of the adoption of ASU No. 2016-13 on the Secured Note receivable.</w:t>
      </w:r>
    </w:p>
    <w:p>
      <w:pPr>
        <w:spacing w:after="0" w:line="1" w:lineRule="exact"/>
        <w:rPr>
          <w:rFonts w:ascii="Arial" w:cs="Arial" w:eastAsia="Arial" w:hAnsi="Arial"/>
          <w:sz w:val="18"/>
          <w:szCs w:val="18"/>
          <w:color w:val="auto"/>
        </w:rPr>
      </w:pPr>
    </w:p>
    <w:p>
      <w:pPr>
        <w:ind w:left="480" w:right="319" w:hanging="430"/>
        <w:spacing w:after="0" w:line="250"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fourth quarter of 2021, the Secured Note receivable was paid off in full and the credit loss reserve of $5,000 was reversed.</w:t>
      </w:r>
    </w:p>
    <w:p>
      <w:pPr>
        <w:ind w:left="480" w:hanging="43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17,161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55,083</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296,529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266,446</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(149,025)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(130,326)</w:t>
            </w: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147,504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136,120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Depreciation expense associated with property and equipment totaled $22,115, $21,441 and $20,830 for the years ended December 31, 2022,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5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Estimated</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0"/>
                <w:szCs w:val="10"/>
                <w:color w:val="auto"/>
              </w:rPr>
            </w:pPr>
          </w:p>
        </w:tc>
        <w:tc>
          <w:tcPr>
            <w:tcW w:w="92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92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4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176,800</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40" w:type="dxa"/>
            <w:vAlign w:val="bottom"/>
          </w:tcPr>
          <w:p>
            <w:pPr>
              <w:jc w:val="right"/>
              <w:ind w:right="58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134,705</w:t>
            </w:r>
          </w:p>
        </w:tc>
      </w:tr>
      <w:tr>
        <w:trPr>
          <w:trHeight w:val="210"/>
        </w:trPr>
        <w:tc>
          <w:tcPr>
            <w:tcW w:w="7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176,800</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The Company has operating leases for off-campus classroom and laboratory site locations, office space, office equipment, and optical fiber communication lines. These leases have terms that range from two months to ten years and eight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$10,666, $9,723 and $7,594 for the years ended December 31, 2022, 2021 and 2020, respectively.</w:t>
      </w:r>
    </w:p>
    <w:p>
      <w:pPr>
        <w:spacing w:after="0" w:line="17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As of December 31, 2022, the Company had $23,310 of non-cancelable operating lease commitments for four off-campus classroom and laboratory sites and $192 for optical fiber communication lines that had not yet commenced. The Company’s weighted-average remaining lease term relating to its operating leases is 8.04 years, with a weighted-average discount rate of 3.35%. As of December 31, 2022, the Company had no financing leases.</w:t>
      </w:r>
    </w:p>
    <w:p>
      <w:pPr>
        <w:spacing w:after="0" w:line="17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December 31, 2022, by year and in the aggregate,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2024</w:t>
            </w: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11,143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2026</w:t>
            </w: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35,104</w:t>
            </w: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88,956</w:t>
            </w: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4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11,515</w:t>
            </w: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77,441</w:t>
            </w:r>
          </w:p>
        </w:tc>
      </w:tr>
      <w:tr>
        <w:trPr>
          <w:trHeight w:val="66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20" w:type="dxa"/>
            <w:vAlign w:val="bottom"/>
          </w:tcPr>
          <w:p>
            <w:pPr>
              <w:jc w:val="right"/>
              <w:ind w:right="271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Notes Payable and Other Noncurrent Liabilities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Company upon its receipt of the paydown of $500,000 on the Secured Note in October 2021 repaid all amounts due under the outstanding term loan and revolving credit facilities, terminated the credit agreement and expensed all remaining capitalized loan costs of $1,028 to interest expense.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From time to time the Company has exposure to various non-income tax related matters that arise in the ordinary course of business. At both December 31, 2022 and 2021, the Company has no reserve for tax matters where its ultimate exposure is considered probable and the potential loss can be reasonably estimated.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32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32,131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43,835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46,880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0"/>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Diluted weighted average shares outstanding</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32,237</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43,958</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47,165</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2022, 2021 and 2020, approximately 58, 79, and 142, respectively, of the Company’s restricted stock awards outstanding were excluded from the calculation of diluted earnings per share as their inclusion would have been anti-dilutive. These restricted stock awards could be dilutive in the future.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Equity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As of December 31, 2022 and 2021,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left="60" w:right="59" w:firstLine="648"/>
        <w:spacing w:after="0" w:line="316" w:lineRule="auto"/>
        <w:rPr>
          <w:sz w:val="20"/>
          <w:szCs w:val="20"/>
          <w:color w:val="auto"/>
        </w:rPr>
      </w:pPr>
      <w:r>
        <w:rPr>
          <w:rFonts w:ascii="Arial" w:cs="Arial" w:eastAsia="Arial" w:hAnsi="Arial"/>
          <w:sz w:val="15"/>
          <w:szCs w:val="15"/>
          <w:color w:val="auto"/>
        </w:rPr>
        <w:t>In January 2021, July 2021, January 2022 and October 2022 the Board of Directors increased the authorization under its existing stock repurchase program by $100,000, $970,000, $175,000 and $200,000, respectively, reflecting an aggregate authorization for share repurchases since the initiation of our program of $1,845,000. The expiration date on the repurchase authorization is December 31, 2023.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49"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 capital of $7,000.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a total of 322 shares repurchased at an average cost of $108.76.</w:t>
      </w:r>
    </w:p>
    <w:p>
      <w:pPr>
        <w:spacing w:after="0" w:line="18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May 14, 2021, the Company entered into an ASR agreement with Morgan Stanley to repurchase up to $50,000 of its outstanding shares of common stock as part of the Company’s share repurchase program. Under the ASR agreement, the Company received initial delivery on May 17, 2021 of approximately 418 shares of common stock, representing approximately 80% of the number of shares of common stock initially underlying the ASR agreement based on the closing price of the common stock of $95.63, on May 14, 2021. At inception of the ASR agreement, the Company recognized the initial delivery of shares as treasury stock of $40,000, and recognized the remaining amount underlying the ASR agreement as a reduction to additional paid in capital of $10,000.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August 13, 2021 with additional delivery of 139 shares of common stock. At settlement of the ASR agreement, the Company recognized an increase to additional paid in capital and a decrease in treasury stock of $10,000 related to the remaining delivery of shares. The ASR agreement resulted in a total of 558 shares repurchased at an average cost of $89.68.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During the year ended December 31, 2022, the Company repurchased 6,795 shares of common stock at an aggregate cost of $599,587. As of December 31, 2022, there remained $195,847 available under its current share repurchase authorization. Shares repurchased in lieu of taxes are not included in the repurchase plan totals as they were approved in conjunction with the restricted share awards.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2022 and 2021.</w:t>
      </w:r>
    </w:p>
    <w:p>
      <w:pPr>
        <w:spacing w:after="0" w:line="166"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50,194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59,450</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63,932</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r>
      <w:tr>
        <w:trPr>
          <w:trHeight w:val="210"/>
        </w:trPr>
        <w:tc>
          <w:tcPr>
            <w:tcW w:w="50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55,211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65,272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72,807</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2,842</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9"/>
        </w:trPr>
        <w:tc>
          <w:tcPr>
            <w:tcW w:w="50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Tax expense recorded as an increase of paid-in capital</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55,444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70,945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75,944</w:t>
            </w:r>
          </w:p>
        </w:tc>
      </w:tr>
      <w:tr>
        <w:trPr>
          <w:trHeight w:val="20"/>
        </w:trPr>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reconciliation of income tax computed at the U.S. statutory rate to the effective income tax rate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40" w:type="dxa"/>
            <w:vAlign w:val="bottom"/>
            <w:gridSpan w:val="7"/>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2"/>
              </w:rPr>
              <w:t>State income taxes, net of federal tax benefit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Excess tax benefits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40" w:type="dxa"/>
            <w:vAlign w:val="bottom"/>
            <w:vMerge w:val="restart"/>
          </w:tcPr>
          <w:p>
            <w:pPr>
              <w:jc w:val="right"/>
              <w:ind w:right="1330"/>
              <w:spacing w:after="0"/>
              <w:rPr>
                <w:sz w:val="20"/>
                <w:szCs w:val="20"/>
                <w:color w:val="auto"/>
              </w:rPr>
            </w:pPr>
            <w:r>
              <w:rPr>
                <w:rFonts w:ascii="Arial" w:cs="Arial" w:eastAsia="Arial" w:hAnsi="Arial"/>
                <w:sz w:val="18"/>
                <w:szCs w:val="18"/>
                <w:color w:val="auto"/>
              </w:rPr>
              <w:t>81</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included in Deferred income taxes, non-current on the consolidated balance sheets are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2,725</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compensation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14,872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State taxes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assets</w:t>
            </w: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(37,051)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tax liability</w:t>
            </w: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liability</w:t>
            </w:r>
          </w:p>
        </w:tc>
        <w:tc>
          <w:tcPr>
            <w:tcW w:w="1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(26,195)</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net deferred tax liability on the accompanying consolidated balance sheet is comprised of the following:</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 non-current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(30,134)</w:t>
            </w:r>
          </w:p>
        </w:tc>
      </w:tr>
      <w:tr>
        <w:trPr>
          <w:trHeight w:val="209"/>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(25,962)</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2022 and 2021 were $15,862 and $14,108, respectively.</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reconciliation of the beginning and ending balance of unrecognized tax benefits at December 31, is 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$ 14,108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$ 11,318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Decreases</w:t>
            </w: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gridSpan w:val="2"/>
          </w:tcPr>
          <w:p>
            <w:pPr>
              <w:ind w:left="900"/>
              <w:spacing w:after="0"/>
              <w:rPr>
                <w:sz w:val="20"/>
                <w:szCs w:val="20"/>
                <w:color w:val="auto"/>
              </w:rPr>
            </w:pPr>
            <w:r>
              <w:rPr>
                <w:rFonts w:ascii="Arial" w:cs="Arial" w:eastAsia="Arial" w:hAnsi="Arial"/>
                <w:sz w:val="18"/>
                <w:szCs w:val="18"/>
                <w:color w:val="auto"/>
              </w:rPr>
              <w:t>Unrecognized tax benefits, end of year</w:t>
            </w:r>
          </w:p>
        </w:tc>
        <w:tc>
          <w:tcPr>
            <w:tcW w:w="7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$ 15,862</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$ 14,108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1070"/>
              <w:spacing w:after="0"/>
              <w:rPr>
                <w:sz w:val="20"/>
                <w:szCs w:val="20"/>
                <w:color w:val="auto"/>
              </w:rPr>
            </w:pPr>
            <w:r>
              <w:rPr>
                <w:rFonts w:ascii="Arial" w:cs="Arial" w:eastAsia="Arial" w:hAnsi="Arial"/>
                <w:sz w:val="18"/>
                <w:szCs w:val="18"/>
                <w:color w:val="auto"/>
              </w:rPr>
              <w:t>82</w:t>
            </w: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7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As of December 31, 2022 and 2021, the unrecognized tax benefit recorded of $15,862 and $14,108, respectively, if reversed, would impact the effective tax rate. At December 31, 2022 and 2021, the Company had accrued $93 and $0, respectively, in interest and $112 and $0, respectively,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22"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color w:val="auto"/>
        </w:rPr>
        <w:t>The Company’s uncertain tax positions were related to tax years that remained subject to examination by tax authorities. As of December 31, 2022, the earliest tax year still subject to examination for federal and state purposes is 2019 and 2018,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Share-Based Compensation Plans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Plans</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December 31, 2022, 1,221 shares were available for grants under the 2017 Plan.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During fiscal years 2022, 2021, and 2020, the Company granted 189, 180, and 164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2022, 2021 and 2020, the Company withheld 52, 56, and 62 shares of common stock in lieu of taxes at a cost of $4,625, $5,994, and $4,969, on the restricted stock vesting dates, respectively. During 2022, 2021 and 2020, following the annual stockholders meeting, the Company granted 4, 4 and 3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Included in the 2021 amount is an initial award of shares that was granted to a newly appointed non-employee director pursuant to the Company’s compensation program. The 2021 newly appointed non-employee director also received an annual grant of restricted shares. The initial award of shares that were granted in 2021 to the newly appointed non-employee director have voting rights and vest on the one year anniversary of the date of grant.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the activity related to restricted stock granted under the Company’s Incentive Plan is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86.05</w:t>
            </w: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c>
          <w:tcPr>
            <w:tcW w:w="24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c>
          <w:tcPr>
            <w:tcW w:w="24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As of December 31, 2022, there was approximately $29,497 of total unrecognized share-based compensation cost related to unvested restricted stock awards. These costs are expected to be recognized over a weighted average period of 2.08 years.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No options were granted in 2022, 2021 and 2020. Prior to 2012, the Company granted time vested options to purchase shares of common stock with an exercise price equal to the fair market value on the date of grant to employees. These time vested options vested ratably over a period of five years and expire ten years from the date of grant. A summary of the activity related to stock options granted under the Company’s Incentive Plan is as follows: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Summary of Stock 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92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464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225"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color w:val="auto"/>
        </w:rPr>
        <w:t>The Company measures and recognizes compensation expense for share-based payment awards made to employees and directors. The fair value of the Company’s restricted stock awards is based on the market price of its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color w:val="auto"/>
        </w:rPr>
        <w:t>common stock on the date of grant. Stock-based compensation expense related to restricted stock grants is expensed over the vesting period using the straight-line method for Company employees and the Company’s board of directors. The Company recognizes forfeitures as they occur. The restricted shares have voting rights.</w:t>
      </w:r>
    </w:p>
    <w:p>
      <w:pPr>
        <w:spacing w:after="0" w:line="165"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2022, 2021 and 2020 related to restricted stock and stock options granted:</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5,364</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r>
      <w:tr>
        <w:trPr>
          <w:trHeight w:val="178"/>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b w:val="1"/>
                <w:bCs w:val="1"/>
                <w:color w:val="auto"/>
                <w:w w:val="89"/>
              </w:rPr>
              <w:t>Share-based compensation expense included in operating</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12,642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10,663</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(2,882)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(2,666)</w:t>
            </w: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The Company plans to make a matching contribution to the Plan of approximately $2,662 for the year ended December 31, 2022. The Company made discretionary matching contributions to the Plan of $2,345 and $2,225 for the years ended December 31, 2021 and 2020, respectively.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184"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As of and for the years ended December 31, 2022, 2021 and 2020, related party transactions consisted of the following: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i w:val="1"/>
          <w:iCs w:val="1"/>
          <w:color w:val="auto"/>
        </w:rPr>
        <w:t xml:space="preserve">GCE Community Fund (“GCECF”) </w:t>
      </w:r>
      <w:r>
        <w:rPr>
          <w:rFonts w:ascii="Arial" w:cs="Arial" w:eastAsia="Arial" w:hAnsi="Arial"/>
          <w:sz w:val="18"/>
          <w:szCs w:val="18"/>
          <w:color w:val="auto"/>
        </w:rPr>
        <w:t>- GCECF was initially formed in 2014. GCECF makes grants for charitable,</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educational, literary, religious or scientific purposes within the meaning of Section 501(c ) (3) of the Internal Revenue Code, including for such purposes as the making of distributions to organizations that qualify as exempt organizations under Section 501 (c ) (3) of the Code. The Company’s CEO and Director serves as the president of GCECF. All of the board seats are taken by Company executives. The Company is not the primary beneficiary of GCECF, and accordingly, the Company does not consolidate GCECF’s statement of activities with its financial results. The Company contributed $1,150 and $1,100 for the years ended December 31, 2022 and 2020, respectively, of which no amounts were owed as of December 31, 2022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6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2022.</w:t>
      </w:r>
    </w:p>
    <w:p>
      <w:pPr>
        <w:spacing w:after="0" w:line="19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1160" w:right="139" w:hanging="327"/>
        <w:spacing w:after="0" w:line="258"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 w:lineRule="exact"/>
        <w:rPr>
          <w:rFonts w:ascii="Arial" w:cs="Arial" w:eastAsia="Arial" w:hAnsi="Arial"/>
          <w:sz w:val="18"/>
          <w:szCs w:val="18"/>
          <w:color w:val="auto"/>
        </w:rPr>
      </w:pPr>
    </w:p>
    <w:p>
      <w:pPr>
        <w:ind w:left="1160" w:right="299" w:hanging="327"/>
        <w:spacing w:after="0" w:line="265" w:lineRule="auto"/>
        <w:tabs>
          <w:tab w:leader="none" w:pos="1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ind w:left="1160" w:right="219" w:hanging="327"/>
        <w:spacing w:after="0" w:line="323"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consolidated financial statements.</w:t>
      </w:r>
    </w:p>
    <w:p>
      <w:pPr>
        <w:spacing w:after="0" w:line="13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2022,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2022. Based on its assessment, management believes that, as of December 31, 2022, the Company’s internal control over financial reporting is effective.</w:t>
      </w:r>
    </w:p>
    <w:p>
      <w:pPr>
        <w:spacing w:after="0" w:line="161"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2022 has been audited by KPMG LLP, an independent registered public accounting firm, as stated in their audit report which is included herein.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Canyon Education,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 xml:space="preserve">We have audited Grand Canyon Education, Inc.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stockholders’ equity, and cash flows for each of the years in the three-year period ended December 31, 2022, and the related notes (collectively, the consolidated financial statements), and our report dated February 16, 2023 expressed an unqualified opinion on those consolidated financial statements.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8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439"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quarter ended December 31, 2022 that materially affected, or are reasonably likely to materially affect, our internal control over financial reporting.</w:t>
      </w:r>
    </w:p>
    <w:p>
      <w:pPr>
        <w:spacing w:after="0" w:line="12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We have a policy governing transactions in our securities by directors, officers, employees and others which permits these individuals to enter into trading plans complying with Rule 10b5-1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7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2023 proxy statement, to be filed within 120 days of our fiscal year end (December 31, 2022) and such information is incorporated herein by reference.</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188"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18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jc w:val="both"/>
        <w:ind w:left="60" w:right="419" w:firstLine="648"/>
        <w:spacing w:after="0" w:line="263" w:lineRule="auto"/>
        <w:rPr>
          <w:sz w:val="20"/>
          <w:szCs w:val="20"/>
          <w:color w:val="auto"/>
        </w:rPr>
      </w:pPr>
      <w:r>
        <w:rPr>
          <w:rFonts w:ascii="Arial" w:cs="Arial" w:eastAsia="Arial" w:hAnsi="Arial"/>
          <w:sz w:val="18"/>
          <w:szCs w:val="18"/>
          <w:color w:val="auto"/>
        </w:rPr>
        <w:t>Information relating to this item appears in the section entitled “Executive Compensation” in our 2023 proxy statement, to be filed within 120 days of our fiscal year end (December 31, 2022) and such information is incorporated herein by reference.</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Information relating to this item appears in the sections entitled “Executive Compensation” and “Beneficial Ownership of Common Stock” in our 2023 proxy statement, to be filed within 120 days of our fiscal year end (December 31, 2022) and such information is incorporated herein by reference.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Information relating to this item appears in the sections entitled “Corporate Governance and Board Matters — Director Independence” and “Certain Relationships and Related Party Transactions” in our 2023 proxy statement, to be filed within 120 days of our fiscal year end (December 31, 2022) and such information is incorporated herein by reference.</w:t>
      </w:r>
    </w:p>
    <w:p>
      <w:pPr>
        <w:spacing w:after="0" w:line="14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Information relating to this item appears in the section entitled “Ratification of Independent Registered Public Accounting Firm — Fees” in our 2023 our proxy statement, to be filed within 120 days of our fiscal year end (December 31, 2022) and such information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Consolidated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p>
      <w:pPr>
        <w:spacing w:after="0" w:line="229" w:lineRule="exact"/>
        <w:rPr>
          <w:sz w:val="20"/>
          <w:szCs w:val="20"/>
          <w:color w:val="auto"/>
        </w:rPr>
      </w:pPr>
    </w:p>
    <w:p>
      <w:pPr>
        <w:ind w:left="1140" w:hanging="41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Financial Statements filed as part of this report</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40" w:type="dxa"/>
            <w:vAlign w:val="bottom"/>
            <w:gridSpan w:val="11"/>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69"/>
        </w:trPr>
        <w:tc>
          <w:tcPr>
            <w:tcW w:w="20" w:type="dxa"/>
            <w:vAlign w:val="bottom"/>
            <w:tcBorders>
              <w:bottom w:val="single" w:sz="8" w:color="0000EE"/>
            </w:tcBorders>
          </w:tcPr>
          <w:p>
            <w:pPr>
              <w:spacing w:after="0"/>
              <w:rPr>
                <w:sz w:val="14"/>
                <w:szCs w:val="14"/>
                <w:color w:val="auto"/>
              </w:rPr>
            </w:pPr>
          </w:p>
        </w:tc>
        <w:tc>
          <w:tcPr>
            <w:tcW w:w="4200" w:type="dxa"/>
            <w:vAlign w:val="bottom"/>
            <w:tcBorders>
              <w:top w:val="single" w:sz="8" w:color="auto"/>
              <w:bottom w:val="single" w:sz="8" w:color="0000EE"/>
            </w:tcBorders>
            <w:gridSpan w:val="3"/>
          </w:tcPr>
          <w:p>
            <w:pPr>
              <w:spacing w:after="0" w:line="169" w:lineRule="exact"/>
              <w:rPr>
                <w:sz w:val="20"/>
                <w:szCs w:val="20"/>
                <w:color w:val="auto"/>
              </w:rPr>
            </w:pPr>
            <w:r>
              <w:rPr>
                <w:rFonts w:ascii="Arial" w:cs="Arial" w:eastAsia="Arial" w:hAnsi="Arial"/>
                <w:sz w:val="18"/>
                <w:szCs w:val="18"/>
                <w:color w:val="0000EE"/>
                <w:w w:val="90"/>
              </w:rPr>
              <w:t>Report of Independent Registered Public Accounting Firm</w:t>
            </w:r>
          </w:p>
        </w:tc>
        <w:tc>
          <w:tcPr>
            <w:tcW w:w="4160" w:type="dxa"/>
            <w:vAlign w:val="bottom"/>
            <w:tcBorders>
              <w:top w:val="single" w:sz="8" w:color="auto"/>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62</w:t>
            </w:r>
          </w:p>
        </w:tc>
      </w:tr>
      <w:tr>
        <w:trPr>
          <w:trHeight w:val="196"/>
        </w:trPr>
        <w:tc>
          <w:tcPr>
            <w:tcW w:w="8540" w:type="dxa"/>
            <w:vAlign w:val="bottom"/>
            <w:gridSpan w:val="11"/>
          </w:tcPr>
          <w:p>
            <w:pPr>
              <w:spacing w:after="0" w:line="196" w:lineRule="exact"/>
              <w:rPr>
                <w:sz w:val="20"/>
                <w:szCs w:val="20"/>
                <w:color w:val="auto"/>
              </w:rPr>
            </w:pPr>
            <w:r>
              <w:rPr>
                <w:rFonts w:ascii="Arial" w:cs="Arial" w:eastAsia="Arial" w:hAnsi="Arial"/>
                <w:sz w:val="18"/>
                <w:szCs w:val="18"/>
                <w:color w:val="0000EE"/>
              </w:rPr>
              <w:t>Consolidated Balance Sheets as of December 31, 2022 and 2021</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540" w:type="dxa"/>
            <w:vAlign w:val="bottom"/>
            <w:gridSpan w:val="11"/>
          </w:tcPr>
          <w:p>
            <w:pPr>
              <w:spacing w:after="0" w:line="196" w:lineRule="exact"/>
              <w:rPr>
                <w:sz w:val="20"/>
                <w:szCs w:val="20"/>
                <w:color w:val="auto"/>
              </w:rPr>
            </w:pPr>
            <w:r>
              <w:rPr>
                <w:rFonts w:ascii="Arial" w:cs="Arial" w:eastAsia="Arial" w:hAnsi="Arial"/>
                <w:sz w:val="18"/>
                <w:szCs w:val="18"/>
                <w:color w:val="0000EE"/>
              </w:rPr>
              <w:t>Consolidated Income Statements for the years ended December 31, 2022, 2021 and 2020</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 for the years ended December 31, 2022, 2021 and 2020</w:t>
            </w:r>
          </w:p>
        </w:tc>
        <w:tc>
          <w:tcPr>
            <w:tcW w:w="7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8540" w:type="dxa"/>
            <w:vAlign w:val="bottom"/>
            <w:gridSpan w:val="11"/>
          </w:tcPr>
          <w:p>
            <w:pPr>
              <w:spacing w:after="0" w:line="196" w:lineRule="exact"/>
              <w:rPr>
                <w:sz w:val="20"/>
                <w:szCs w:val="20"/>
                <w:color w:val="auto"/>
              </w:rPr>
            </w:pPr>
            <w:r>
              <w:rPr>
                <w:rFonts w:ascii="Arial" w:cs="Arial" w:eastAsia="Arial" w:hAnsi="Arial"/>
                <w:sz w:val="18"/>
                <w:szCs w:val="18"/>
                <w:color w:val="0000EE"/>
              </w:rPr>
              <w:t>Consolidated Statements of Stockholders’ Equity for the years ended December 31, 2022, 2021 and 2020</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75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7"/>
              </w:rPr>
              <w:t>Consolidated Statements of Cash Flows for the years ended December 31, 2022, 2021 and 2020</w:t>
            </w:r>
          </w:p>
        </w:tc>
        <w:tc>
          <w:tcPr>
            <w:tcW w:w="9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9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16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94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7600" w:type="dxa"/>
            <w:vAlign w:val="bottom"/>
            <w:gridSpan w:val="9"/>
          </w:tcPr>
          <w:p>
            <w:pPr>
              <w:ind w:left="140"/>
              <w:spacing w:after="0"/>
              <w:rPr>
                <w:sz w:val="20"/>
                <w:szCs w:val="20"/>
                <w:color w:val="auto"/>
              </w:rPr>
            </w:pPr>
            <w:r>
              <w:rPr>
                <w:rFonts w:ascii="Arial" w:cs="Arial" w:eastAsia="Arial" w:hAnsi="Arial"/>
                <w:sz w:val="18"/>
                <w:szCs w:val="18"/>
                <w:color w:val="auto"/>
              </w:rPr>
              <w:t>Consolidated Financial Statement Schedules:</w:t>
            </w:r>
          </w:p>
        </w:tc>
        <w:tc>
          <w:tcPr>
            <w:tcW w:w="360" w:type="dxa"/>
            <w:vAlign w:val="bottom"/>
          </w:tcPr>
          <w:p>
            <w:pPr>
              <w:spacing w:after="0"/>
              <w:rPr>
                <w:sz w:val="24"/>
                <w:szCs w:val="24"/>
                <w:color w:val="auto"/>
              </w:rPr>
            </w:pPr>
          </w:p>
        </w:tc>
      </w:tr>
    </w:tbl>
    <w:p>
      <w:pPr>
        <w:spacing w:after="0" w:line="202"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80" w:type="dxa"/>
            <w:vAlign w:val="bottom"/>
            <w:gridSpan w:val="2"/>
          </w:tcPr>
          <w:p>
            <w:pPr>
              <w:ind w:left="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3900" w:type="dxa"/>
            <w:vAlign w:val="bottom"/>
            <w:gridSpan w:val="11"/>
          </w:tcPr>
          <w:p>
            <w:pPr>
              <w:ind w:left="180"/>
              <w:spacing w:after="0"/>
              <w:rPr>
                <w:sz w:val="20"/>
                <w:szCs w:val="20"/>
                <w:color w:val="auto"/>
              </w:rPr>
            </w:pPr>
            <w:r>
              <w:rPr>
                <w:rFonts w:ascii="Arial" w:cs="Arial" w:eastAsia="Arial" w:hAnsi="Arial"/>
                <w:sz w:val="18"/>
                <w:szCs w:val="18"/>
                <w:color w:val="auto"/>
              </w:rPr>
              <w:t>Exhibits</w:t>
            </w:r>
          </w:p>
        </w:tc>
      </w:tr>
      <w:tr>
        <w:trPr>
          <w:trHeight w:val="3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3920" w:type="dxa"/>
            <w:vAlign w:val="bottom"/>
            <w:gridSpan w:val="12"/>
          </w:tcPr>
          <w:p>
            <w:pPr>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Asset Purchase Agreement, dated July 1, 2018, by</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and between Grand Canyon Education, Inc. and</w:t>
              </w:r>
            </w:hyperlink>
          </w:p>
        </w:tc>
        <w:tc>
          <w:tcPr>
            <w:tcW w:w="160" w:type="dxa"/>
            <w:vAlign w:val="bottom"/>
            <w:tcBorders>
              <w:top w:val="single" w:sz="8" w:color="0000EE"/>
            </w:tcBorders>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2"/>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Grand Canyon University (formerly known as</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Gazelle University)#</w:t>
              </w:r>
            </w:hyperlink>
          </w:p>
        </w:tc>
        <w:tc>
          <w:tcPr>
            <w:tcW w:w="1800" w:type="dxa"/>
            <w:vAlign w:val="bottom"/>
            <w:tcBorders>
              <w:top w:val="single" w:sz="8" w:color="0000EE"/>
            </w:tcBorders>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Agreement and Plan of Merger, dated December 17,</w:t>
              </w:r>
            </w:hyperlink>
          </w:p>
        </w:tc>
        <w:tc>
          <w:tcPr>
            <w:tcW w:w="1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2018, by and among Grand Canyon Education, Inc.,</w:t>
              </w:r>
            </w:hyperlink>
          </w:p>
        </w:tc>
        <w:tc>
          <w:tcPr>
            <w:tcW w:w="16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2"/>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GCE Cosmos Merger Sub, LLC and Orbis Education</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Services, LLC#</w:t>
              </w:r>
            </w:hyperlink>
          </w:p>
        </w:tc>
        <w:tc>
          <w:tcPr>
            <w:tcW w:w="2700" w:type="dxa"/>
            <w:vAlign w:val="bottom"/>
            <w:tcBorders>
              <w:top w:val="single" w:sz="8" w:color="0000EE"/>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Certificate of Incorporation</w:t>
              </w:r>
            </w:hyperlink>
          </w:p>
        </w:tc>
        <w:tc>
          <w:tcPr>
            <w:tcW w:w="22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(as amended)</w:t>
              </w:r>
            </w:hyperlink>
          </w:p>
        </w:tc>
        <w:tc>
          <w:tcPr>
            <w:tcW w:w="294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4771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5"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Incorporated by reference to Exhibit 2.1 to GCE’s Quarterly Report on Form 10-Q filed with the SEC on November 8, 2018.</w:t>
      </w:r>
    </w:p>
    <w:p>
      <w:pPr>
        <w:spacing w:after="0" w:line="400"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2.2 to GCE’s Annual Report on Form 10-K filed with the SEC on February 20, 2019.</w:t>
      </w:r>
    </w:p>
    <w:p>
      <w:pPr>
        <w:spacing w:after="0" w:line="400"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3.1 to GCE’s Annual Report on Form 10-K filed with the SEC on February 20, 2019.</w:t>
      </w:r>
    </w:p>
    <w:p>
      <w:pPr>
        <w:spacing w:after="0" w:line="200" w:lineRule="exact"/>
        <w:rPr>
          <w:sz w:val="20"/>
          <w:szCs w:val="20"/>
          <w:color w:val="auto"/>
        </w:rPr>
      </w:pPr>
    </w:p>
    <w:p>
      <w:pPr>
        <w:sectPr>
          <w:pgSz w:w="11900" w:h="16838" w:orient="portrait"/>
          <w:cols w:equalWidth="0" w:num="2">
            <w:col w:w="4860" w:space="200"/>
            <w:col w:w="3959"/>
          </w:cols>
          <w:pgMar w:left="1440" w:top="517"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3"/>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Pr>
          <w:p>
            <w:pPr>
              <w:ind w:left="1420"/>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auto"/>
            </w:tcBorders>
            <w:gridSpan w:val="3"/>
          </w:tcPr>
          <w:p>
            <w:pPr>
              <w:spacing w:after="0" w:line="169" w:lineRule="exact"/>
              <w:rPr>
                <w:rFonts w:ascii="Arial" w:cs="Arial" w:eastAsia="Arial" w:hAnsi="Arial"/>
                <w:sz w:val="18"/>
                <w:szCs w:val="18"/>
                <w:color w:val="0000EE"/>
              </w:rPr>
            </w:pPr>
            <w:hyperlink r:id="rId115">
              <w:r>
                <w:rPr>
                  <w:rFonts w:ascii="Arial" w:cs="Arial" w:eastAsia="Arial" w:hAnsi="Arial"/>
                  <w:sz w:val="18"/>
                  <w:szCs w:val="18"/>
                  <w:color w:val="0000EE"/>
                </w:rPr>
                <w:t>Third Amended and Restated Bylaws</w:t>
              </w:r>
            </w:hyperlink>
          </w:p>
        </w:tc>
        <w:tc>
          <w:tcPr>
            <w:tcW w:w="200" w:type="dxa"/>
            <w:vAlign w:val="bottom"/>
          </w:tcPr>
          <w:p>
            <w:pPr>
              <w:spacing w:after="0"/>
              <w:rPr>
                <w:sz w:val="14"/>
                <w:szCs w:val="14"/>
                <w:color w:val="auto"/>
              </w:rPr>
            </w:pPr>
          </w:p>
        </w:tc>
        <w:tc>
          <w:tcPr>
            <w:tcW w:w="3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8"/>
              </w:rPr>
              <w:t>Incorporated by reference to Exhibit 3.1 to GCE’s</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7"/>
              </w:rPr>
              <w:t>Current Report on Form 8-K filed with the SEC on</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October 29, 2014.</w:t>
            </w:r>
          </w:p>
        </w:tc>
      </w:tr>
      <w:tr>
        <w:trPr>
          <w:trHeight w:val="391"/>
        </w:trPr>
        <w:tc>
          <w:tcPr>
            <w:tcW w:w="68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3920" w:type="dxa"/>
            <w:vAlign w:val="bottom"/>
            <w:gridSpan w:val="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Specimen of Stock Certificate</w:t>
              </w:r>
            </w:hyperlink>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to Exhibit 4.1 to</w:t>
            </w: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16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4"/>
              </w:rPr>
              <w:t>Amendment No. 2 to GCE’s Registration Statement</w:t>
            </w:r>
          </w:p>
        </w:tc>
      </w:tr>
    </w:tbl>
    <w:p>
      <w:pPr>
        <w:ind w:left="5060"/>
        <w:spacing w:after="0"/>
        <w:rPr>
          <w:sz w:val="20"/>
          <w:szCs w:val="20"/>
          <w:color w:val="auto"/>
        </w:rPr>
      </w:pPr>
      <w:r>
        <w:rPr>
          <w:rFonts w:ascii="Arial" w:cs="Arial" w:eastAsia="Arial" w:hAnsi="Arial"/>
          <w:sz w:val="17"/>
          <w:szCs w:val="17"/>
          <w:color w:val="auto"/>
        </w:rPr>
        <w:t>on Form S-1 filed with the SEC on September 29,</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2008.</w:t>
      </w:r>
    </w:p>
    <w:p>
      <w:pPr>
        <w:sectPr>
          <w:pgSz w:w="11900" w:h="16838" w:orient="portrait"/>
          <w:cols w:equalWidth="0" w:num="1">
            <w:col w:w="9019"/>
          </w:cols>
          <w:pgMar w:left="1440" w:top="517" w:right="1440" w:bottom="1440" w:gutter="0" w:footer="0" w:header="0"/>
        </w:sectPr>
      </w:pP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2220" w:type="dxa"/>
            <w:vAlign w:val="bottom"/>
            <w:tcBorders>
              <w:bottom w:val="single" w:sz="8" w:color="0000EE"/>
            </w:tcBorders>
            <w:gridSpan w:val="4"/>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Description of Common Stock</w:t>
              </w:r>
            </w:hyperlink>
          </w:p>
        </w:tc>
        <w:tc>
          <w:tcPr>
            <w:tcW w:w="1660" w:type="dxa"/>
            <w:vAlign w:val="bottom"/>
            <w:gridSpan w:val="14"/>
          </w:tcPr>
          <w:p>
            <w:pPr>
              <w:spacing w:after="0"/>
              <w:rPr>
                <w:sz w:val="17"/>
                <w:szCs w:val="17"/>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000" w:type="dxa"/>
            <w:vAlign w:val="bottom"/>
            <w:tcBorders>
              <w:bottom w:val="single" w:sz="8" w:color="0000EE"/>
            </w:tcBorders>
            <w:gridSpan w:val="6"/>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2008 Equity Incentive Plan, as amended†</w:t>
              </w:r>
            </w:hyperlink>
          </w:p>
        </w:tc>
        <w:tc>
          <w:tcPr>
            <w:tcW w:w="880" w:type="dxa"/>
            <w:vAlign w:val="bottom"/>
            <w:gridSpan w:val="12"/>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3000" w:type="dxa"/>
            <w:vAlign w:val="bottom"/>
            <w:tcBorders>
              <w:bottom w:val="single" w:sz="8" w:color="0000EE"/>
            </w:tcBorders>
            <w:gridSpan w:val="6"/>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2017 Equity Incentive Plan, as amended†</w:t>
              </w:r>
            </w:hyperlink>
          </w:p>
        </w:tc>
        <w:tc>
          <w:tcPr>
            <w:tcW w:w="880" w:type="dxa"/>
            <w:vAlign w:val="bottom"/>
            <w:gridSpan w:val="12"/>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3820" w:type="dxa"/>
            <w:vAlign w:val="bottom"/>
            <w:tcBorders>
              <w:bottom w:val="single" w:sz="8" w:color="0000EE"/>
            </w:tcBorders>
            <w:gridSpan w:val="16"/>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Form of Restricted Stock Agreement under the 2017</w:t>
              </w:r>
            </w:hyperlink>
          </w:p>
        </w:tc>
        <w:tc>
          <w:tcPr>
            <w:tcW w:w="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Equity Incentive Plan, as amended†</w:t>
              </w:r>
            </w:hyperlink>
          </w:p>
        </w:tc>
        <w:tc>
          <w:tcPr>
            <w:tcW w:w="1280" w:type="dxa"/>
            <w:vAlign w:val="bottom"/>
            <w:gridSpan w:val="13"/>
          </w:tcPr>
          <w:p>
            <w:pPr>
              <w:spacing w:after="0"/>
              <w:rPr>
                <w:sz w:val="17"/>
                <w:szCs w:val="17"/>
                <w:color w:val="auto"/>
              </w:rPr>
            </w:pPr>
          </w:p>
        </w:tc>
      </w:tr>
      <w:tr>
        <w:trPr>
          <w:trHeight w:val="62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Second Amended and Restated Executive</w:t>
              </w:r>
            </w:hyperlink>
          </w:p>
        </w:tc>
        <w:tc>
          <w:tcPr>
            <w:tcW w:w="8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Employment Agreement, dated July 1, 2018, by and</w:t>
              </w:r>
            </w:hyperlink>
          </w:p>
        </w:tc>
        <w:tc>
          <w:tcPr>
            <w:tcW w:w="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between Grand Canyon Education, Inc. and Brian E.</w:t>
              </w:r>
            </w:hyperlink>
          </w:p>
        </w:tc>
        <w:tc>
          <w:tcPr>
            <w:tcW w:w="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gridSpan w:val="1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Mueller†</w:t>
              </w:r>
            </w:hyperlink>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Second Amended and Restated Executive</w:t>
              </w:r>
            </w:hyperlink>
          </w:p>
        </w:tc>
        <w:tc>
          <w:tcPr>
            <w:tcW w:w="8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Employment Agreement, dated July 1, 2018, by and</w:t>
              </w:r>
            </w:hyperlink>
          </w:p>
        </w:tc>
        <w:tc>
          <w:tcPr>
            <w:tcW w:w="1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7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between Grand Canyon Education, Inc. and W. Stan</w:t>
              </w:r>
            </w:hyperlink>
          </w:p>
        </w:tc>
        <w:tc>
          <w:tcPr>
            <w:tcW w:w="12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Meyer†</w:t>
              </w:r>
            </w:hyperlink>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Second Amended and Restated Executive</w:t>
              </w:r>
            </w:hyperlink>
          </w:p>
        </w:tc>
        <w:tc>
          <w:tcPr>
            <w:tcW w:w="8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Employment Agreement, dated July 1, 2018, by and</w:t>
              </w:r>
            </w:hyperlink>
          </w:p>
        </w:tc>
        <w:tc>
          <w:tcPr>
            <w:tcW w:w="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between Grand Canyon Education, Inc. and Daniel E.</w:t>
              </w:r>
            </w:hyperlink>
          </w:p>
        </w:tc>
      </w:tr>
      <w:tr>
        <w:trPr>
          <w:trHeight w:val="196"/>
        </w:trPr>
        <w:tc>
          <w:tcPr>
            <w:tcW w:w="880" w:type="dxa"/>
            <w:vAlign w:val="bottom"/>
          </w:tcPr>
          <w:p>
            <w:pPr>
              <w:spacing w:after="0"/>
              <w:rPr>
                <w:sz w:val="17"/>
                <w:szCs w:val="17"/>
                <w:color w:val="auto"/>
              </w:rPr>
            </w:pPr>
          </w:p>
        </w:tc>
        <w:tc>
          <w:tcPr>
            <w:tcW w:w="3880" w:type="dxa"/>
            <w:vAlign w:val="bottom"/>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Bachus†</w:t>
              </w:r>
            </w:hyperlink>
          </w:p>
        </w:tc>
      </w:tr>
      <w:tr>
        <w:trPr>
          <w:trHeight w:val="20"/>
        </w:trPr>
        <w:tc>
          <w:tcPr>
            <w:tcW w:w="8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3820" w:type="dxa"/>
            <w:vAlign w:val="bottom"/>
            <w:tcBorders>
              <w:bottom w:val="single" w:sz="8" w:color="0000EE"/>
            </w:tcBorders>
            <w:gridSpan w:val="16"/>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First Amended and Restated Executive Employment</w:t>
              </w:r>
            </w:hyperlink>
          </w:p>
        </w:tc>
        <w:tc>
          <w:tcPr>
            <w:tcW w:w="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4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Agreement, dated July 1, 2018, by and between</w:t>
              </w:r>
            </w:hyperlink>
          </w:p>
        </w:tc>
        <w:tc>
          <w:tcPr>
            <w:tcW w:w="44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gridSpan w:val="18"/>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Grand Canyon Education, Inc. and Dilek Marsh†</w:t>
              </w:r>
            </w:hyperlink>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30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Second Amended and Restated Executive</w:t>
              </w:r>
            </w:hyperlink>
          </w:p>
        </w:tc>
        <w:tc>
          <w:tcPr>
            <w:tcW w:w="520" w:type="dxa"/>
            <w:vAlign w:val="bottom"/>
            <w:tcBorders>
              <w:top w:val="single" w:sz="8" w:color="0000EE"/>
            </w:tcBorders>
            <w:gridSpan w:val="3"/>
          </w:tcPr>
          <w:p>
            <w:pPr>
              <w:spacing w:after="0"/>
              <w:rPr>
                <w:sz w:val="24"/>
                <w:szCs w:val="24"/>
                <w:color w:val="auto"/>
              </w:rPr>
            </w:pPr>
          </w:p>
        </w:tc>
        <w:tc>
          <w:tcPr>
            <w:tcW w:w="3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80" w:type="dxa"/>
            <w:vAlign w:val="bottom"/>
            <w:gridSpan w:val="18"/>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Employment Agreement, dated April 29, 2020, by</w:t>
              </w:r>
            </w:hyperlink>
          </w:p>
        </w:tc>
      </w:tr>
      <w:tr>
        <w:trPr>
          <w:trHeight w:val="196"/>
        </w:trPr>
        <w:tc>
          <w:tcPr>
            <w:tcW w:w="8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and between Grand Canyon Education, Inc. and</w:t>
              </w:r>
            </w:hyperlink>
          </w:p>
        </w:tc>
        <w:tc>
          <w:tcPr>
            <w:tcW w:w="160" w:type="dxa"/>
            <w:vAlign w:val="bottom"/>
            <w:tcBorders>
              <w:top w:val="single" w:sz="8" w:color="0000EE"/>
            </w:tcBorders>
            <w:gridSpan w:val="2"/>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Daniel J. Briggs</w:t>
              </w:r>
            </w:hyperlink>
          </w:p>
        </w:tc>
        <w:tc>
          <w:tcPr>
            <w:tcW w:w="2700" w:type="dxa"/>
            <w:vAlign w:val="bottom"/>
            <w:gridSpan w:val="15"/>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3740" w:type="dxa"/>
            <w:vAlign w:val="bottom"/>
            <w:tcBorders>
              <w:bottom w:val="single" w:sz="8" w:color="0000EE"/>
            </w:tcBorders>
            <w:gridSpan w:val="12"/>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Form of Director and Officer Indemnity Agreement</w:t>
              </w:r>
            </w:hyperlink>
          </w:p>
        </w:tc>
        <w:tc>
          <w:tcPr>
            <w:tcW w:w="14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4.2 to GCE’s Annual Report on Form 10-K filed with the SEC on February 20, 2020.</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14, 2011.</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Current Report on Form 8-K filed with the SEC on June 14, 2017.</w:t>
      </w:r>
    </w:p>
    <w:p>
      <w:pPr>
        <w:spacing w:after="0" w:line="184" w:lineRule="exact"/>
        <w:rPr>
          <w:sz w:val="20"/>
          <w:szCs w:val="20"/>
          <w:color w:val="auto"/>
        </w:rPr>
      </w:pPr>
    </w:p>
    <w:p>
      <w:pPr>
        <w:jc w:val="both"/>
        <w:ind w:right="219"/>
        <w:spacing w:after="0" w:line="263" w:lineRule="auto"/>
        <w:rPr>
          <w:sz w:val="20"/>
          <w:szCs w:val="20"/>
          <w:color w:val="auto"/>
        </w:rPr>
      </w:pPr>
      <w:r>
        <w:rPr>
          <w:rFonts w:ascii="Arial" w:cs="Arial" w:eastAsia="Arial" w:hAnsi="Arial"/>
          <w:sz w:val="18"/>
          <w:szCs w:val="18"/>
          <w:color w:val="auto"/>
        </w:rPr>
        <w:t>Incorporated by reference to Exhibit 10.3 to GCE’s Annual Report on Form 10-K filed with the SEC on February 21, 2018.</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10.2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10.3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10.5 to GCE’s Quarterly Report on Form 10-Q filed with the SEC on November 8, 2018.</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August 4, 2020.</w:t>
      </w:r>
    </w:p>
    <w:p>
      <w:pPr>
        <w:spacing w:after="0" w:line="400"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color w:val="auto"/>
        </w:rPr>
        <w:t>Incorporated by reference to Exhibit 10.21 to Amendment No. 2 to GCE’s Registration Statement on Form S-1 filed with the SEC on September 29, 2008.</w:t>
      </w:r>
    </w:p>
    <w:p>
      <w:pPr>
        <w:spacing w:after="0" w:line="200" w:lineRule="exact"/>
        <w:rPr>
          <w:sz w:val="20"/>
          <w:szCs w:val="20"/>
          <w:color w:val="auto"/>
        </w:rPr>
      </w:pPr>
    </w:p>
    <w:p>
      <w:pPr>
        <w:sectPr>
          <w:pgSz w:w="11900" w:h="16838" w:orient="portrait"/>
          <w:cols w:equalWidth="0" w:num="2">
            <w:col w:w="4820" w:space="240"/>
            <w:col w:w="3959"/>
          </w:cols>
          <w:pgMar w:left="1440" w:top="517" w:right="1440"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2520" w:val="left"/>
          <w:tab w:leader="none" w:pos="64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5648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ind w:left="940" w:right="20" w:hanging="890"/>
        <w:spacing w:after="0" w:line="31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9">
        <w:r>
          <w:rPr>
            <w:rFonts w:ascii="Arial" w:cs="Arial" w:eastAsia="Arial" w:hAnsi="Arial"/>
            <w:sz w:val="16"/>
            <w:szCs w:val="16"/>
            <w:u w:val="single" w:color="auto"/>
            <w:color w:val="0000EE"/>
          </w:rPr>
          <w:t>Credit Agreement dated July 1, 2018, by and between</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Grand Canyon Education, Inc. and Grand Canyon</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University (formerly known as Gazelle University).</w:t>
        </w:r>
      </w:hyperlink>
    </w:p>
    <w:p>
      <w:pPr>
        <w:spacing w:after="0" w:line="149" w:lineRule="exact"/>
        <w:rPr>
          <w:rFonts w:ascii="Arial" w:cs="Arial" w:eastAsia="Arial" w:hAnsi="Arial"/>
          <w:sz w:val="16"/>
          <w:szCs w:val="16"/>
          <w:u w:val="single" w:color="auto"/>
          <w:color w:val="0000EE"/>
        </w:rPr>
      </w:pPr>
    </w:p>
    <w:p>
      <w:pPr>
        <w:ind w:left="940" w:right="220" w:hanging="89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0">
        <w:r>
          <w:rPr>
            <w:rFonts w:ascii="Arial" w:cs="Arial" w:eastAsia="Arial" w:hAnsi="Arial"/>
            <w:sz w:val="18"/>
            <w:szCs w:val="18"/>
            <w:u w:val="single" w:color="auto"/>
            <w:color w:val="0000EE"/>
          </w:rPr>
          <w:t>Master Services Agreement, dated July 1, 2018, by</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and between Grand Canyon Education, Inc. and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Grand Canyon University (formerly known as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Gazelle University).##</w:t>
        </w:r>
      </w:hyperlink>
    </w:p>
    <w:p>
      <w:pPr>
        <w:spacing w:after="0" w:line="187" w:lineRule="exact"/>
        <w:rPr>
          <w:rFonts w:ascii="Arial" w:cs="Arial" w:eastAsia="Arial" w:hAnsi="Arial"/>
          <w:sz w:val="18"/>
          <w:szCs w:val="18"/>
          <w:u w:val="single" w:color="auto"/>
          <w:color w:val="0000EE"/>
        </w:rPr>
      </w:pPr>
    </w:p>
    <w:p>
      <w:pPr>
        <w:ind w:left="940" w:hanging="89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1">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parties named therein.</w:t>
        </w:r>
      </w:hyperlink>
    </w:p>
    <w:p>
      <w:pPr>
        <w:spacing w:after="0" w:line="187" w:lineRule="exact"/>
        <w:rPr>
          <w:rFonts w:ascii="Arial" w:cs="Arial" w:eastAsia="Arial" w:hAnsi="Arial"/>
          <w:sz w:val="18"/>
          <w:szCs w:val="18"/>
          <w:u w:val="single" w:color="auto"/>
          <w:color w:val="0000EE"/>
        </w:rPr>
      </w:pPr>
    </w:p>
    <w:p>
      <w:pPr>
        <w:ind w:left="940" w:right="220" w:hanging="890"/>
        <w:spacing w:after="0" w:line="30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32">
        <w:r>
          <w:rPr>
            <w:rFonts w:ascii="Arial" w:cs="Arial" w:eastAsia="Arial" w:hAnsi="Arial"/>
            <w:sz w:val="16"/>
            <w:szCs w:val="16"/>
            <w:u w:val="single" w:color="auto"/>
            <w:color w:val="0000EE"/>
          </w:rPr>
          <w:t>Amended and Restated Security and Pledge</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N.A., and the other parties named therein.</w:t>
        </w:r>
      </w:hyperlink>
    </w:p>
    <w:p>
      <w:pPr>
        <w:spacing w:after="0" w:line="157" w:lineRule="exact"/>
        <w:rPr>
          <w:rFonts w:ascii="Arial" w:cs="Arial" w:eastAsia="Arial" w:hAnsi="Arial"/>
          <w:sz w:val="16"/>
          <w:szCs w:val="16"/>
          <w:u w:val="single" w:color="auto"/>
          <w:color w:val="0000EE"/>
        </w:rPr>
      </w:pPr>
    </w:p>
    <w:p>
      <w:pPr>
        <w:ind w:left="940" w:hanging="890"/>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3">
        <w:r>
          <w:rPr>
            <w:rFonts w:ascii="Arial" w:cs="Arial" w:eastAsia="Arial" w:hAnsi="Arial"/>
            <w:sz w:val="18"/>
            <w:szCs w:val="18"/>
            <w:u w:val="single" w:color="auto"/>
            <w:color w:val="0000EE"/>
          </w:rPr>
          <w:t>First Amendment, dated January 31, 2019 to</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5" w:lineRule="exact"/>
        <w:rPr>
          <w:rFonts w:ascii="Arial" w:cs="Arial" w:eastAsia="Arial" w:hAnsi="Arial"/>
          <w:sz w:val="18"/>
          <w:szCs w:val="18"/>
          <w:u w:val="single" w:color="auto"/>
          <w:color w:val="0000EE"/>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10.7 to GCE’s Quarterly Report on Form 10-Q filed with the SEC on November 8, 2018.</w:t>
      </w:r>
    </w:p>
    <w:p>
      <w:pPr>
        <w:spacing w:after="0" w:line="184" w:lineRule="exact"/>
        <w:rPr>
          <w:rFonts w:ascii="Arial" w:cs="Arial" w:eastAsia="Arial" w:hAnsi="Arial"/>
          <w:sz w:val="18"/>
          <w:szCs w:val="18"/>
          <w:u w:val="single" w:color="auto"/>
          <w:color w:val="0000EE"/>
        </w:rPr>
      </w:pPr>
    </w:p>
    <w:p>
      <w:pPr>
        <w:ind w:right="119"/>
        <w:spacing w:after="0" w:line="263" w:lineRule="auto"/>
        <w:rPr>
          <w:sz w:val="20"/>
          <w:szCs w:val="20"/>
          <w:color w:val="auto"/>
        </w:rPr>
      </w:pPr>
      <w:r>
        <w:rPr>
          <w:rFonts w:ascii="Arial" w:cs="Arial" w:eastAsia="Arial" w:hAnsi="Arial"/>
          <w:sz w:val="18"/>
          <w:szCs w:val="18"/>
          <w:color w:val="auto"/>
        </w:rPr>
        <w:t>Incorporated by reference to Exhibit 10.8 to GCE’s Quarterly Report on Form 10-Q/A filed with the SEC on April 23,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10.14 to GCE’s Annual Report on Form 10-K filed with the SEC on February 20,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10.15 to GCE’s Annual Report on Form 10-K filed with the SEC on February 20,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10.16 to GCE’s Annual Report on Form 10-K filed with the SEC on February 20, 2019.</w:t>
      </w:r>
    </w:p>
    <w:p>
      <w:pPr>
        <w:spacing w:after="0" w:line="615" w:lineRule="exact"/>
        <w:rPr>
          <w:rFonts w:ascii="Arial" w:cs="Arial" w:eastAsia="Arial" w:hAnsi="Arial"/>
          <w:sz w:val="18"/>
          <w:szCs w:val="18"/>
          <w:u w:val="single" w:color="auto"/>
          <w:color w:val="0000EE"/>
        </w:rPr>
      </w:pPr>
    </w:p>
    <w:p>
      <w:pPr>
        <w:sectPr>
          <w:pgSz w:w="11900" w:h="16838" w:orient="portrait"/>
          <w:cols w:equalWidth="0" w:num="2">
            <w:col w:w="4840" w:space="220"/>
            <w:col w:w="3959"/>
          </w:cols>
          <w:pgMar w:left="1440" w:top="517" w:right="1440" w:bottom="1440" w:gutter="0" w:footer="0" w:header="0"/>
          <w:type w:val="continuous"/>
        </w:sectPr>
      </w:pPr>
    </w:p>
    <w:p>
      <w:pPr>
        <w:ind w:left="940" w:hanging="890"/>
        <w:spacing w:after="0" w:line="296"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4">
        <w:r>
          <w:rPr>
            <w:rFonts w:ascii="Arial" w:cs="Arial" w:eastAsia="Arial" w:hAnsi="Arial"/>
            <w:sz w:val="16"/>
            <w:szCs w:val="16"/>
            <w:u w:val="single" w:color="auto"/>
            <w:color w:val="0000EE"/>
          </w:rPr>
          <w:t>First Incremental Facility Amendment, dated</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February 1, 2019 to Amended and Restated Credit</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N.A., and the other parties named therein.</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199"/>
        <w:spacing w:after="0" w:line="263" w:lineRule="auto"/>
        <w:rPr>
          <w:sz w:val="20"/>
          <w:szCs w:val="20"/>
          <w:color w:val="auto"/>
        </w:rPr>
      </w:pPr>
      <w:r>
        <w:rPr>
          <w:rFonts w:ascii="Arial" w:cs="Arial" w:eastAsia="Arial" w:hAnsi="Arial"/>
          <w:sz w:val="18"/>
          <w:szCs w:val="18"/>
          <w:color w:val="auto"/>
        </w:rPr>
        <w:t>Incorporated by reference to Exhibit 10.17 to GCE’s Quarterly Report on Form 10-Q filed with the SEC on February 20, 2019.</w:t>
      </w:r>
    </w:p>
    <w:p>
      <w:pPr>
        <w:spacing w:after="0" w:line="615" w:lineRule="exact"/>
        <w:rPr>
          <w:rFonts w:ascii="Arial" w:cs="Arial" w:eastAsia="Arial" w:hAnsi="Arial"/>
          <w:sz w:val="16"/>
          <w:szCs w:val="16"/>
          <w:u w:val="single" w:color="auto"/>
          <w:color w:val="0000EE"/>
        </w:rPr>
      </w:pPr>
    </w:p>
    <w:p>
      <w:pPr>
        <w:sectPr>
          <w:pgSz w:w="11900" w:h="16838" w:orient="portrait"/>
          <w:cols w:equalWidth="0" w:num="2">
            <w:col w:w="4580" w:space="480"/>
            <w:col w:w="3959"/>
          </w:cols>
          <w:pgMar w:left="1440" w:top="517" w:right="1440" w:bottom="1440" w:gutter="0" w:footer="0" w:header="0"/>
          <w:type w:val="continuous"/>
        </w:sectPr>
      </w:pPr>
    </w:p>
    <w:p>
      <w:pPr>
        <w:ind w:left="940" w:hanging="890"/>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5">
        <w:r>
          <w:rPr>
            <w:rFonts w:ascii="Arial" w:cs="Arial" w:eastAsia="Arial" w:hAnsi="Arial"/>
            <w:sz w:val="18"/>
            <w:szCs w:val="18"/>
            <w:u w:val="single" w:color="auto"/>
            <w:color w:val="0000EE"/>
          </w:rPr>
          <w:t>Second Amendment, dated October 31, 2019 to</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10.18 to GCE’s Annual Report on Form 10-K filed with the SEC on November 6, 2019.</w:t>
      </w:r>
    </w:p>
    <w:p>
      <w:pPr>
        <w:spacing w:after="0" w:line="615" w:lineRule="exact"/>
        <w:rPr>
          <w:rFonts w:ascii="Arial" w:cs="Arial" w:eastAsia="Arial" w:hAnsi="Arial"/>
          <w:sz w:val="18"/>
          <w:szCs w:val="18"/>
          <w:u w:val="single" w:color="auto"/>
          <w:color w:val="0000EE"/>
        </w:rPr>
      </w:pPr>
    </w:p>
    <w:p>
      <w:pPr>
        <w:sectPr>
          <w:pgSz w:w="11900" w:h="16838" w:orient="portrait"/>
          <w:cols w:equalWidth="0" w:num="2">
            <w:col w:w="4800" w:space="260"/>
            <w:col w:w="3959"/>
          </w:cols>
          <w:pgMar w:left="1440" w:top="517" w:right="1440" w:bottom="1440" w:gutter="0" w:footer="0" w:header="0"/>
          <w:type w:val="continuous"/>
        </w:sectPr>
      </w:pPr>
    </w:p>
    <w:p>
      <w:pPr>
        <w:jc w:val="both"/>
        <w:ind w:left="940" w:hanging="890"/>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6">
        <w:r>
          <w:rPr>
            <w:rFonts w:ascii="Arial" w:cs="Arial" w:eastAsia="Arial" w:hAnsi="Arial"/>
            <w:sz w:val="18"/>
            <w:szCs w:val="18"/>
            <w:u w:val="single" w:color="auto"/>
            <w:color w:val="0000EE"/>
          </w:rPr>
          <w:t>Modification of Credit Agreement, Dated October 29,</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2021, by and between Grand Canyon Education, Inc.</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and Grand Canyon University.</w:t>
        </w:r>
      </w:hyperlink>
    </w:p>
    <w:p>
      <w:pPr>
        <w:spacing w:after="0" w:line="184" w:lineRule="exact"/>
        <w:rPr>
          <w:rFonts w:ascii="Arial" w:cs="Arial" w:eastAsia="Arial" w:hAnsi="Arial"/>
          <w:sz w:val="18"/>
          <w:szCs w:val="18"/>
          <w:u w:val="single" w:color="auto"/>
          <w:color w:val="0000EE"/>
        </w:rPr>
      </w:pPr>
    </w:p>
    <w:p>
      <w:pPr>
        <w:ind w:left="60"/>
        <w:spacing w:after="0"/>
        <w:tabs>
          <w:tab w:leader="none" w:pos="9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0000EE"/>
        </w:rPr>
        <w:t>Subsidiaries of Grand Canyon Education, Inc.</w:t>
      </w:r>
    </w:p>
    <w:p>
      <w:pPr>
        <w:spacing w:after="0" w:line="225" w:lineRule="exact"/>
        <w:rPr>
          <w:rFonts w:ascii="Arial" w:cs="Arial" w:eastAsia="Arial" w:hAnsi="Arial"/>
          <w:sz w:val="18"/>
          <w:szCs w:val="18"/>
          <w:u w:val="single" w:color="auto"/>
          <w:color w:val="0000EE"/>
        </w:rPr>
      </w:pPr>
    </w:p>
    <w:p>
      <w:pPr>
        <w:ind w:left="940" w:right="400" w:hanging="890"/>
        <w:spacing w:after="0" w:line="277" w:lineRule="auto"/>
        <w:tabs>
          <w:tab w:leader="none" w:pos="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u w:val="single" w:color="auto"/>
          <w:color w:val="0000EE"/>
        </w:rPr>
        <w:t>Consent of KPMG LLP, Independent Registered Public Accounting Firm</w:t>
      </w:r>
    </w:p>
    <w:p>
      <w:pPr>
        <w:spacing w:after="0" w:line="170" w:lineRule="exact"/>
        <w:rPr>
          <w:rFonts w:ascii="Arial" w:cs="Arial" w:eastAsia="Arial" w:hAnsi="Arial"/>
          <w:sz w:val="18"/>
          <w:szCs w:val="18"/>
          <w:u w:val="single" w:color="auto"/>
          <w:color w:val="0000EE"/>
        </w:rPr>
      </w:pPr>
    </w:p>
    <w:p>
      <w:pPr>
        <w:ind w:left="60"/>
        <w:spacing w:after="0"/>
        <w:tabs>
          <w:tab w:leader="none" w:pos="9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2, 2021.</w:t>
      </w:r>
    </w:p>
    <w:p>
      <w:pPr>
        <w:spacing w:after="0" w:line="18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 (on signature page)</w:t>
      </w:r>
    </w:p>
    <w:p>
      <w:pPr>
        <w:sectPr>
          <w:pgSz w:w="11900" w:h="16838" w:orient="portrait"/>
          <w:cols w:equalWidth="0" w:num="2">
            <w:col w:w="4840" w:space="220"/>
            <w:col w:w="395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10"/>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Pr>
          <w:p>
            <w:pPr>
              <w:jc w:val="right"/>
              <w:ind w:right="1359"/>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800" w:type="dxa"/>
            <w:vAlign w:val="bottom"/>
            <w:tcBorders>
              <w:top w:val="single" w:sz="8" w:color="auto"/>
              <w:bottom w:val="single" w:sz="8" w:color="0000EE"/>
            </w:tcBorders>
            <w:gridSpan w:val="8"/>
          </w:tcPr>
          <w:p>
            <w:pPr>
              <w:spacing w:after="0" w:line="169" w:lineRule="exact"/>
              <w:rPr>
                <w:sz w:val="20"/>
                <w:szCs w:val="20"/>
                <w:color w:val="auto"/>
              </w:rPr>
            </w:pPr>
            <w:r>
              <w:rPr>
                <w:rFonts w:ascii="Arial" w:cs="Arial" w:eastAsia="Arial" w:hAnsi="Arial"/>
                <w:sz w:val="18"/>
                <w:szCs w:val="18"/>
                <w:color w:val="0000EE"/>
                <w:w w:val="92"/>
              </w:rPr>
              <w:t>Certification of Principal Executive Officer Pursuant</w:t>
            </w:r>
          </w:p>
        </w:tc>
        <w:tc>
          <w:tcPr>
            <w:tcW w:w="100" w:type="dxa"/>
            <w:vAlign w:val="bottom"/>
            <w:tcBorders>
              <w:top w:val="single" w:sz="8" w:color="auto"/>
            </w:tcBorders>
            <w:gridSpan w:val="2"/>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Borders>
              <w:top w:val="single" w:sz="8" w:color="auto"/>
            </w:tcBorders>
          </w:tcPr>
          <w:p>
            <w:pPr>
              <w:jc w:val="right"/>
              <w:ind w:right="2739"/>
              <w:spacing w:after="0" w:line="169" w:lineRule="exact"/>
              <w:rPr>
                <w:sz w:val="20"/>
                <w:szCs w:val="20"/>
                <w:color w:val="auto"/>
              </w:rPr>
            </w:pPr>
            <w:r>
              <w:rPr>
                <w:rFonts w:ascii="Arial" w:cs="Arial" w:eastAsia="Arial" w:hAnsi="Arial"/>
                <w:sz w:val="18"/>
                <w:szCs w:val="18"/>
                <w:color w:val="auto"/>
                <w:w w:val="90"/>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to Rule 13a-14(a) and 15d-14(a) as Adopted Pursuant</w:t>
            </w: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to Section 302 of the Sarbanes-Oxley Act of 2002</w:t>
            </w:r>
          </w:p>
        </w:tc>
        <w:tc>
          <w:tcPr>
            <w:tcW w:w="2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Certification of Principal Financial Officer Pursuant</w:t>
            </w:r>
          </w:p>
        </w:tc>
        <w:tc>
          <w:tcPr>
            <w:tcW w:w="140" w:type="dxa"/>
            <w:vAlign w:val="bottom"/>
            <w:gridSpan w:val="4"/>
          </w:tcPr>
          <w:p>
            <w:pPr>
              <w:spacing w:after="0"/>
              <w:rPr>
                <w:sz w:val="24"/>
                <w:szCs w:val="24"/>
                <w:color w:val="auto"/>
              </w:rPr>
            </w:pPr>
          </w:p>
        </w:tc>
        <w:tc>
          <w:tcPr>
            <w:tcW w:w="4100" w:type="dxa"/>
            <w:vAlign w:val="bottom"/>
            <w:gridSpan w:val="2"/>
          </w:tcPr>
          <w:p>
            <w:pPr>
              <w:jc w:val="right"/>
              <w:ind w:right="2739"/>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to Rule 13a-14(a) and 15d-14(a) as Adopted Pursuant</w:t>
            </w: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to Section 302 of the Sarbanes-Oxley Act of 2002</w:t>
            </w:r>
          </w:p>
        </w:tc>
        <w:tc>
          <w:tcPr>
            <w:tcW w:w="2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0000EE"/>
                <w:w w:val="95"/>
              </w:rPr>
              <w:t>Certification of Principal Executive Officer Pursuant</w:t>
            </w:r>
          </w:p>
        </w:tc>
        <w:tc>
          <w:tcPr>
            <w:tcW w:w="4100" w:type="dxa"/>
            <w:vAlign w:val="bottom"/>
            <w:gridSpan w:val="2"/>
          </w:tcPr>
          <w:p>
            <w:pPr>
              <w:jc w:val="right"/>
              <w:ind w:right="2739"/>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to 18 U.S.C. Section 1350, as Adopted Pursuant to</w:t>
            </w:r>
          </w:p>
        </w:tc>
        <w:tc>
          <w:tcPr>
            <w:tcW w:w="14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Section 906 of the Sarbanes-Oxley Act of 2002††</w:t>
            </w:r>
          </w:p>
        </w:tc>
        <w:tc>
          <w:tcPr>
            <w:tcW w:w="30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7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Certification of Principal Financial Officer Pursuant</w:t>
            </w:r>
          </w:p>
        </w:tc>
        <w:tc>
          <w:tcPr>
            <w:tcW w:w="160" w:type="dxa"/>
            <w:vAlign w:val="bottom"/>
            <w:gridSpan w:val="5"/>
          </w:tcPr>
          <w:p>
            <w:pPr>
              <w:spacing w:after="0"/>
              <w:rPr>
                <w:sz w:val="24"/>
                <w:szCs w:val="24"/>
                <w:color w:val="auto"/>
              </w:rPr>
            </w:pPr>
          </w:p>
        </w:tc>
        <w:tc>
          <w:tcPr>
            <w:tcW w:w="4100" w:type="dxa"/>
            <w:vAlign w:val="bottom"/>
            <w:gridSpan w:val="2"/>
          </w:tcPr>
          <w:p>
            <w:pPr>
              <w:jc w:val="right"/>
              <w:ind w:right="2739"/>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to 18 U.S.C. Section 1350, as Adopted Pursuant to</w:t>
            </w:r>
          </w:p>
        </w:tc>
        <w:tc>
          <w:tcPr>
            <w:tcW w:w="26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32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38"/>
        </w:trPr>
        <w:tc>
          <w:tcPr>
            <w:tcW w:w="68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The following financial statements from GCE’s</w:t>
            </w:r>
          </w:p>
        </w:tc>
        <w:tc>
          <w:tcPr>
            <w:tcW w:w="4100" w:type="dxa"/>
            <w:vAlign w:val="bottom"/>
            <w:gridSpan w:val="2"/>
          </w:tcPr>
          <w:p>
            <w:pPr>
              <w:jc w:val="right"/>
              <w:ind w:right="2739"/>
              <w:spacing w:after="0"/>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Annual Report on Form 10-K for the year ended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December 31, 2022, formatted in Inline XBRL: (i)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6"/>
              </w:rPr>
              <w:t>Consolidated Income Statements, (ii)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Statements of Comprehensive Income, (iii)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Consolidated Balance Sheets, (iv)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2"/>
              </w:rPr>
              <w:t>Statements of Stockholders’ Equity, (v)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9"/>
              </w:rPr>
              <w:t>Statements of Cash Flows, and (vi)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8"/>
              </w:rPr>
              <w:t>Financial Statements tagged as blocks of text and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including detailed tags.</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3"/>
              </w:rPr>
              <w:t>The cover page from GCE’s Annual Report on Form</w:t>
            </w:r>
          </w:p>
        </w:tc>
        <w:tc>
          <w:tcPr>
            <w:tcW w:w="4100" w:type="dxa"/>
            <w:vAlign w:val="bottom"/>
            <w:gridSpan w:val="2"/>
          </w:tcPr>
          <w:p>
            <w:pPr>
              <w:jc w:val="right"/>
              <w:ind w:right="2739"/>
              <w:spacing w:after="0"/>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10-K for the year ended December 31, 2022,</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6"/>
              </w:rPr>
              <w:t>formatted in Inline XBRL (included as Exhibit 101).</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60" w:hanging="310"/>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25" w:lineRule="exact"/>
        <w:rPr>
          <w:sz w:val="20"/>
          <w:szCs w:val="20"/>
          <w:color w:val="auto"/>
        </w:rPr>
      </w:pPr>
    </w:p>
    <w:p>
      <w:pPr>
        <w:ind w:left="380" w:right="159" w:hanging="330"/>
        <w:spacing w:after="0" w:line="263" w:lineRule="auto"/>
        <w:tabs>
          <w:tab w:leader="none" w:pos="3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Certain portions of this document have been redacted pursuant to Regulation S-K, Item 601(b)(10)(iv).</w:t>
      </w:r>
    </w:p>
    <w:p>
      <w:pPr>
        <w:spacing w:after="0" w:line="225" w:lineRule="exact"/>
        <w:rPr>
          <w:sz w:val="20"/>
          <w:szCs w:val="20"/>
          <w:color w:val="auto"/>
        </w:rPr>
      </w:pPr>
    </w:p>
    <w:p>
      <w:pPr>
        <w:ind w:left="380" w:right="159" w:hanging="330"/>
        <w:spacing w:after="0" w:line="311" w:lineRule="auto"/>
        <w:tabs>
          <w:tab w:leader="none" w:pos="3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E. Mueller</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-130175</wp:posOffset>
            </wp:positionV>
            <wp:extent cx="2648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Dated: February 16, 2023</w:t>
      </w:r>
    </w:p>
    <w:p>
      <w:pPr>
        <w:spacing w:after="0" w:line="211"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Sarah S. Collins,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substitute or substitutes, may lawfully do or cause to be done by virtue hereof.</w:t>
      </w:r>
    </w:p>
    <w:p>
      <w:pPr>
        <w:spacing w:after="0" w:line="18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4"/>
                <w:szCs w:val="14"/>
                <w:color w:val="auto"/>
              </w:rPr>
            </w:pPr>
          </w:p>
        </w:tc>
        <w:tc>
          <w:tcPr>
            <w:tcW w:w="2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w:t>
            </w:r>
          </w:p>
        </w:tc>
      </w:tr>
      <w:tr>
        <w:trPr>
          <w:trHeight w:val="425"/>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Brian E. Mueller</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Daniel E. Bachus</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Browning</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SVP, Controller –Chief Accounting Officer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Lori Browning</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 R. Dial</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Sara R. Dial</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Jack A. Henry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Graham Keegan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Lisa Graham Keegan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Chevy Humphrey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Chevy Humphrey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Adame</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2023</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David M. Adame</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tbl>
      <w:tblPr>
        <w:tblLayout w:type="fixed"/>
        <w:tblInd w:w="4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tcPr>
          <w:p>
            <w:pPr>
              <w:ind w:left="1660"/>
              <w:spacing w:after="0"/>
              <w:rPr>
                <w:sz w:val="20"/>
                <w:szCs w:val="20"/>
                <w:color w:val="auto"/>
              </w:rPr>
            </w:pPr>
            <w:r>
              <w:rPr>
                <w:rFonts w:ascii="Arial" w:cs="Arial" w:eastAsia="Arial" w:hAnsi="Arial"/>
                <w:sz w:val="20"/>
                <w:szCs w:val="20"/>
                <w:b w:val="1"/>
                <w:bCs w:val="1"/>
                <w:color w:val="auto"/>
                <w:w w:val="89"/>
              </w:rPr>
              <w:t>Exhibit 21.0</w:t>
            </w:r>
          </w:p>
        </w:tc>
      </w:tr>
      <w:tr>
        <w:trPr>
          <w:trHeight w:val="441"/>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Subsidiaries of Registrant</w:t>
            </w: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22"/>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Orbis Education Services,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Orbis Education Management Company, LLC</w:t>
            </w:r>
          </w:p>
        </w:tc>
        <w:tc>
          <w:tcPr>
            <w:tcW w:w="2680" w:type="dxa"/>
            <w:vAlign w:val="bottom"/>
          </w:tcPr>
          <w:p>
            <w:pPr>
              <w:jc w:val="center"/>
              <w:spacing w:after="0"/>
              <w:rPr>
                <w:sz w:val="20"/>
                <w:szCs w:val="20"/>
                <w:color w:val="auto"/>
              </w:rPr>
            </w:pPr>
            <w:r>
              <w:rPr>
                <w:rFonts w:ascii="Arial" w:cs="Arial" w:eastAsia="Arial" w:hAnsi="Arial"/>
                <w:sz w:val="20"/>
                <w:szCs w:val="20"/>
                <w:color w:val="auto"/>
              </w:rPr>
              <w:t>IN</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Orbis Education II,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GC Education, Inc.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Tierra Vista Inversiones,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Nueva Ventura,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Casa de Amistad,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Amigos de Torrejon,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Piedras Bonitas Inversiones,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La Sonrisa de Siena,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Nuevo Comienzo,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El Vecino de Amigos,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La Fuente de la Comunidad,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Rentwise Properties,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Mid-State Rental Properties,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50"/>
        </w:trPr>
        <w:tc>
          <w:tcPr>
            <w:tcW w:w="20" w:type="dxa"/>
            <w:vAlign w:val="bottom"/>
          </w:tcPr>
          <w:p>
            <w:pPr>
              <w:spacing w:after="0"/>
              <w:rPr>
                <w:sz w:val="21"/>
                <w:szCs w:val="21"/>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REG 5160,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772"/>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Grand Canyon Education, Inc.:</w:t>
      </w:r>
    </w:p>
    <w:p>
      <w:pPr>
        <w:spacing w:after="0" w:line="170" w:lineRule="exact"/>
        <w:rPr>
          <w:sz w:val="20"/>
          <w:szCs w:val="20"/>
          <w:color w:val="auto"/>
        </w:rPr>
      </w:pPr>
    </w:p>
    <w:p>
      <w:pPr>
        <w:ind w:left="80" w:right="140"/>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(Nos. 333-155973, 333-165019, 333-179611, and 333-218740) on Form S-8 of our reports dated February 16, 2023, with respect to the consolidated financial statements of Grand Canyon Education, Inc. and subsidiaries and the effectiveness of internal control over financial reporting.</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348615</wp:posOffset>
            </wp:positionV>
            <wp:extent cx="57518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97" w:name="page98"/>
    <w:bookmarkEnd w:id="9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0" w:right="599" w:firstLine="431"/>
        <w:spacing w:after="0" w:line="277" w:lineRule="auto"/>
        <w:tabs>
          <w:tab w:leader="none" w:pos="6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Grand Canyon Education, Inc.;</w:t>
      </w:r>
    </w:p>
    <w:p>
      <w:pPr>
        <w:spacing w:after="0" w:line="170"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119" w:firstLine="431"/>
        <w:spacing w:after="0" w:line="263" w:lineRule="auto"/>
        <w:tabs>
          <w:tab w:leader="none" w:pos="6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59" w:firstLine="431"/>
        <w:spacing w:after="0" w:line="286" w:lineRule="auto"/>
        <w:tabs>
          <w:tab w:leader="none" w:pos="68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0" w:right="79" w:firstLine="872"/>
        <w:spacing w:after="0" w:line="259" w:lineRule="auto"/>
        <w:tabs>
          <w:tab w:leader="none" w:pos="11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0" w:right="599" w:firstLine="872"/>
        <w:spacing w:after="0" w:line="259" w:lineRule="auto"/>
        <w:tabs>
          <w:tab w:leader="none" w:pos="11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0" w:right="99" w:firstLine="872"/>
        <w:spacing w:after="0" w:line="263" w:lineRule="auto"/>
        <w:tabs>
          <w:tab w:leader="none" w:pos="11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 w:right="139" w:firstLine="872"/>
        <w:spacing w:after="0" w:line="259" w:lineRule="auto"/>
        <w:tabs>
          <w:tab w:leader="none" w:pos="11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 w:right="119" w:firstLine="872"/>
        <w:spacing w:after="0" w:line="263" w:lineRule="auto"/>
        <w:tabs>
          <w:tab w:leader="none" w:pos="11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 w:right="319" w:firstLine="872"/>
        <w:spacing w:after="0" w:line="277" w:lineRule="auto"/>
        <w:tabs>
          <w:tab w:leader="none" w:pos="11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Date: February 16, 2023</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8" w:name="page99"/>
    <w:bookmarkEnd w:id="9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0" w:right="599" w:firstLine="431"/>
        <w:spacing w:after="0" w:line="277"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Grand Canyon Education, Inc.;</w:t>
      </w:r>
    </w:p>
    <w:p>
      <w:pPr>
        <w:spacing w:after="0" w:line="170"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119" w:firstLine="431"/>
        <w:spacing w:after="0" w:line="263"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59" w:firstLine="431"/>
        <w:spacing w:after="0" w:line="286" w:lineRule="auto"/>
        <w:tabs>
          <w:tab w:leader="none" w:pos="68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0" w:right="79" w:firstLine="872"/>
        <w:spacing w:after="0" w:line="259" w:lineRule="auto"/>
        <w:tabs>
          <w:tab w:leader="none" w:pos="112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0" w:right="599" w:firstLine="872"/>
        <w:spacing w:after="0" w:line="259" w:lineRule="auto"/>
        <w:tabs>
          <w:tab w:leader="none" w:pos="11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0" w:right="99" w:firstLine="872"/>
        <w:spacing w:after="0" w:line="263" w:lineRule="auto"/>
        <w:tabs>
          <w:tab w:leader="none" w:pos="112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 w:right="139" w:firstLine="872"/>
        <w:spacing w:after="0" w:line="259" w:lineRule="auto"/>
        <w:tabs>
          <w:tab w:leader="none" w:pos="11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 w:right="119" w:firstLine="872"/>
        <w:spacing w:after="0" w:line="263" w:lineRule="auto"/>
        <w:tabs>
          <w:tab w:leader="none" w:pos="112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 w:right="319" w:firstLine="872"/>
        <w:spacing w:after="0" w:line="277" w:lineRule="auto"/>
        <w:tabs>
          <w:tab w:leader="none" w:pos="11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February 16,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9" w:name="page100"/>
    <w:bookmarkEnd w:id="9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2022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88" w:lineRule="exact"/>
        <w:rPr>
          <w:sz w:val="20"/>
          <w:szCs w:val="20"/>
          <w:color w:val="auto"/>
        </w:rPr>
      </w:pPr>
    </w:p>
    <w:p>
      <w:pPr>
        <w:ind w:left="480" w:right="319" w:hanging="430"/>
        <w:spacing w:after="0" w:line="277" w:lineRule="auto"/>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80" w:right="119" w:hanging="430"/>
        <w:spacing w:after="0" w:line="277" w:lineRule="auto"/>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16, 2023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28289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2022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88" w:lineRule="exact"/>
        <w:rPr>
          <w:sz w:val="20"/>
          <w:szCs w:val="20"/>
          <w:color w:val="auto"/>
        </w:rPr>
      </w:pPr>
    </w:p>
    <w:p>
      <w:pPr>
        <w:ind w:left="480" w:right="319" w:hanging="430"/>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80" w:right="119" w:hanging="430"/>
        <w:spacing w:after="0" w:line="277"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16, 2023</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Daniel E. Bachus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28289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o"/>
      <w:numFmt w:val="bullet"/>
      <w:start w:val="1"/>
    </w:lvl>
  </w:abstractNum>
  <w:abstractNum w:abstractNumId="21">
    <w:nsid w:val="3804823E"/>
    <w:multiLevelType w:val="hybridMultilevel"/>
    <w:lvl w:ilvl="0">
      <w:lvlJc w:val="left"/>
      <w:lvlText w:val="●"/>
      <w:numFmt w:val="bullet"/>
      <w:start w:val="1"/>
    </w:lvl>
    <w:lvl w:ilvl="1">
      <w:lvlJc w:val="left"/>
      <w:lvlText w:val="o"/>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o"/>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67" Type="http://schemas.openxmlformats.org/officeDocument/2006/relationships/hyperlink" Target="https://www.sec.gov/ix?doc=/Archives/edgar/data/1434588/000155837020001013/lope-20191231x10ka0a80b.htm" TargetMode="External"/><Relationship Id="rId110" Type="http://schemas.openxmlformats.org/officeDocument/2006/relationships/hyperlink" Target="http://www.sec.gov/Archives/edgar/data/1434588/000119312518322557/d617676dex21.htm" TargetMode="External"/><Relationship Id="rId111" Type="http://schemas.openxmlformats.org/officeDocument/2006/relationships/hyperlink" Target="http://www.sec.gov/Archives/edgar/data/1434588/000155837019000782/lope-20181231ex22ef9e938.htm" TargetMode="External"/><Relationship Id="rId112" Type="http://schemas.openxmlformats.org/officeDocument/2006/relationships/hyperlink" Target="http://www.sec.gov/Archives/edgar/data/1434588/000155837019000782/lope-20181231ex31395dfc9.htm" TargetMode="External"/><Relationship Id="rId115" Type="http://schemas.openxmlformats.org/officeDocument/2006/relationships/hyperlink" Target="http://www.sec.gov/Archives/edgar/data/1434588/000119312514387149/d812440dex31.htm" TargetMode="External"/><Relationship Id="rId116" Type="http://schemas.openxmlformats.org/officeDocument/2006/relationships/hyperlink" Target="http://www.sec.gov/Archives/edgar/data/1434588/000095015308001671/p75463a2exv4w1.htm" TargetMode="External"/><Relationship Id="rId117" Type="http://schemas.openxmlformats.org/officeDocument/2006/relationships/hyperlink" Target="https://www.sec.gov/Archives/edgar/data/1434588/000155837020001013/ex-4d2.htm" TargetMode="External"/><Relationship Id="rId118" Type="http://schemas.openxmlformats.org/officeDocument/2006/relationships/hyperlink" Target="http://www.sec.gov/Archives/edgar/data/1434588/000095012311098382/c21597exv10w1.htm" TargetMode="External"/><Relationship Id="rId119" Type="http://schemas.openxmlformats.org/officeDocument/2006/relationships/hyperlink" Target="http://www.sec.gov/Archives/edgar/data/1434588/000119312517203503/d405521dex101.htm" TargetMode="External"/><Relationship Id="rId120" Type="http://schemas.openxmlformats.org/officeDocument/2006/relationships/hyperlink" Target="http://www.sec.gov/Archives/edgar/data/1434588/000119312518051923/d508256dex103.htm" TargetMode="External"/><Relationship Id="rId121" Type="http://schemas.openxmlformats.org/officeDocument/2006/relationships/hyperlink" Target="http://www.sec.gov/Archives/edgar/data/1434588/000119312518322557/d617676dex101.htm" TargetMode="External"/><Relationship Id="rId122" Type="http://schemas.openxmlformats.org/officeDocument/2006/relationships/hyperlink" Target="http://www.sec.gov/Archives/edgar/data/1434588/000119312518322557/d617676dex102.htm" TargetMode="External"/><Relationship Id="rId123" Type="http://schemas.openxmlformats.org/officeDocument/2006/relationships/hyperlink" Target="http://www.sec.gov/Archives/edgar/data/1434588/000119312518322557/d617676dex103.htm" TargetMode="External"/><Relationship Id="rId124" Type="http://schemas.openxmlformats.org/officeDocument/2006/relationships/hyperlink" Target="http://www.sec.gov/Archives/edgar/data/1434588/000119312518322557/d617676dex105.htm" TargetMode="External"/><Relationship Id="rId125" Type="http://schemas.openxmlformats.org/officeDocument/2006/relationships/hyperlink" Target="https://www.sec.gov/Archives/edgar/data/1434588/000155837020009170/lope-20200630xex10d1.htm" TargetMode="External"/><Relationship Id="rId126" Type="http://schemas.openxmlformats.org/officeDocument/2006/relationships/hyperlink" Target="http://www.sec.gov/Archives/edgar/data/1434588/000095015308001671/p75463a2exv10w21.htm" TargetMode="External"/><Relationship Id="rId129" Type="http://schemas.openxmlformats.org/officeDocument/2006/relationships/hyperlink" Target="http://www.sec.gov/Archives/edgar/data/1434588/000119312518322557/d617676dex107.htm" TargetMode="External"/><Relationship Id="rId130" Type="http://schemas.openxmlformats.org/officeDocument/2006/relationships/hyperlink" Target="http://www.sec.gov/Archives/edgar/data/1434588/000110465919023090/a19-8606_1ex10d8.htm" TargetMode="External"/><Relationship Id="rId131" Type="http://schemas.openxmlformats.org/officeDocument/2006/relationships/hyperlink" Target="http://www.sec.gov/Archives/edgar/data/1434588/000155837019000782/lope-20181231ex10149afd4.htm" TargetMode="External"/><Relationship Id="rId132" Type="http://schemas.openxmlformats.org/officeDocument/2006/relationships/hyperlink" Target="http://www.sec.gov/Archives/edgar/data/1434588/000155837019000782/lope-20181231ex1015066a4.htm" TargetMode="External"/><Relationship Id="rId133" Type="http://schemas.openxmlformats.org/officeDocument/2006/relationships/hyperlink" Target="http://www.sec.gov/Archives/edgar/data/1434588/000155837019000782/lope-20181231ex1016fa2d5.htm" TargetMode="External"/><Relationship Id="rId134" Type="http://schemas.openxmlformats.org/officeDocument/2006/relationships/hyperlink" Target="http://www.sec.gov/Archives/edgar/data/1434588/000155837019000782/lope-20181231ex101704b54.htm" TargetMode="External"/><Relationship Id="rId135" Type="http://schemas.openxmlformats.org/officeDocument/2006/relationships/hyperlink" Target="http://www.sec.gov/Archives/edgar/data/1434588/000155837019010167/ex-10d18.htm" TargetMode="External"/><Relationship Id="rId136" Type="http://schemas.openxmlformats.org/officeDocument/2006/relationships/hyperlink" Target="https://www.sec.gov/Archives/edgar/data/1434588/000155837021014215/lope-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2023-02-16T15:25:45Z</dcterms:created>
  <dcterms:modified xsi:type="dcterms:W3CDTF">2023-02-16T15:25:45Z</dcterms:modified>
</cp:coreProperties>
</file>