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175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17588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Humphrey Chevy</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(Last)</w:t>
            </w:r>
          </w:p>
        </w:tc>
        <w:tc>
          <w:tcPr>
            <w:tcW w:w="1360" w:type="dxa"/>
            <w:vAlign w:val="bottom"/>
          </w:tcPr>
          <w:p>
            <w:pPr>
              <w:ind w:left="240"/>
              <w:spacing w:after="0"/>
              <w:rPr>
                <w:sz w:val="20"/>
                <w:szCs w:val="20"/>
                <w:color w:val="auto"/>
              </w:rPr>
            </w:pPr>
            <w:r>
              <w:rPr>
                <w:rFonts w:ascii="Arial" w:cs="Arial" w:eastAsia="Arial" w:hAnsi="Arial"/>
                <w:sz w:val="14"/>
                <w:szCs w:val="14"/>
                <w:color w:val="auto"/>
              </w:rPr>
              <w:t>(First)</w:t>
            </w:r>
          </w:p>
        </w:tc>
        <w:tc>
          <w:tcPr>
            <w:tcW w:w="1280" w:type="dxa"/>
            <w:vAlign w:val="bottom"/>
          </w:tcPr>
          <w:p>
            <w:pPr>
              <w:ind w:left="10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360" w:type="dxa"/>
            <w:vAlign w:val="bottom"/>
            <w:gridSpan w:val="2"/>
          </w:tcPr>
          <w:p>
            <w:pPr>
              <w:spacing w:after="0"/>
              <w:rPr>
                <w:sz w:val="20"/>
                <w:szCs w:val="20"/>
                <w:color w:val="auto"/>
              </w:rPr>
            </w:pPr>
            <w:r>
              <w:rPr>
                <w:rFonts w:ascii="Arial" w:cs="Arial" w:eastAsia="Arial" w:hAnsi="Arial"/>
                <w:sz w:val="18"/>
                <w:szCs w:val="18"/>
                <w:color w:val="0000FF"/>
                <w:w w:val="97"/>
              </w:rPr>
              <w:t>2600 W. CAMELBACK ROAD</w:t>
            </w:r>
          </w:p>
        </w:tc>
        <w:tc>
          <w:tcPr>
            <w:tcW w:w="1280" w:type="dxa"/>
            <w:vAlign w:val="bottom"/>
          </w:tcPr>
          <w:p>
            <w:pPr>
              <w:spacing w:after="0"/>
              <w:rPr>
                <w:sz w:val="24"/>
                <w:szCs w:val="24"/>
                <w:color w:val="auto"/>
              </w:rPr>
            </w:pPr>
          </w:p>
        </w:tc>
      </w:tr>
      <w:tr>
        <w:trPr>
          <w:trHeight w:val="212"/>
        </w:trPr>
        <w:tc>
          <w:tcPr>
            <w:tcW w:w="40" w:type="dxa"/>
            <w:vAlign w:val="bottom"/>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1360" w:type="dxa"/>
            <w:vAlign w:val="bottom"/>
            <w:tcBorders>
              <w:bottom w:val="single" w:sz="8" w:color="9A9A9A"/>
            </w:tcBorders>
          </w:tcPr>
          <w:p>
            <w:pPr>
              <w:spacing w:after="0"/>
              <w:rPr>
                <w:sz w:val="18"/>
                <w:szCs w:val="18"/>
                <w:color w:val="auto"/>
              </w:rPr>
            </w:pPr>
          </w:p>
        </w:tc>
        <w:tc>
          <w:tcPr>
            <w:tcW w:w="1280" w:type="dxa"/>
            <w:vAlign w:val="bottom"/>
            <w:tcBorders>
              <w:bottom w:val="single" w:sz="8" w:color="9A9A9A"/>
            </w:tcBorders>
          </w:tcPr>
          <w:p>
            <w:pPr>
              <w:spacing w:after="0"/>
              <w:rPr>
                <w:sz w:val="18"/>
                <w:szCs w:val="18"/>
                <w:color w:val="auto"/>
              </w:rPr>
            </w:pPr>
          </w:p>
        </w:tc>
      </w:tr>
      <w:tr>
        <w:trPr>
          <w:trHeight w:val="270"/>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6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18"/>
                <w:szCs w:val="18"/>
                <w:color w:val="0000FF"/>
              </w:rPr>
              <w:t>PHOENIX</w:t>
            </w:r>
          </w:p>
        </w:tc>
        <w:tc>
          <w:tcPr>
            <w:tcW w:w="1360" w:type="dxa"/>
            <w:vAlign w:val="bottom"/>
          </w:tcPr>
          <w:p>
            <w:pPr>
              <w:ind w:left="240"/>
              <w:spacing w:after="0"/>
              <w:rPr>
                <w:sz w:val="20"/>
                <w:szCs w:val="20"/>
                <w:color w:val="auto"/>
              </w:rPr>
            </w:pPr>
            <w:r>
              <w:rPr>
                <w:rFonts w:ascii="Arial" w:cs="Arial" w:eastAsia="Arial" w:hAnsi="Arial"/>
                <w:sz w:val="18"/>
                <w:szCs w:val="18"/>
                <w:color w:val="0000FF"/>
              </w:rPr>
              <w:t>AZ</w:t>
            </w:r>
          </w:p>
        </w:tc>
        <w:tc>
          <w:tcPr>
            <w:tcW w:w="1280" w:type="dxa"/>
            <w:vAlign w:val="bottom"/>
          </w:tcPr>
          <w:p>
            <w:pPr>
              <w:ind w:left="100"/>
              <w:spacing w:after="0"/>
              <w:rPr>
                <w:sz w:val="20"/>
                <w:szCs w:val="20"/>
                <w:color w:val="auto"/>
              </w:rPr>
            </w:pPr>
            <w:r>
              <w:rPr>
                <w:rFonts w:ascii="Arial" w:cs="Arial" w:eastAsia="Arial" w:hAnsi="Arial"/>
                <w:sz w:val="18"/>
                <w:szCs w:val="18"/>
                <w:color w:val="0000FF"/>
              </w:rPr>
              <w:t>85017</w:t>
            </w: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360" w:type="dxa"/>
            <w:vAlign w:val="bottom"/>
          </w:tcPr>
          <w:p>
            <w:pPr>
              <w:ind w:left="240"/>
              <w:spacing w:after="0"/>
              <w:rPr>
                <w:sz w:val="20"/>
                <w:szCs w:val="20"/>
                <w:color w:val="auto"/>
              </w:rPr>
            </w:pPr>
            <w:r>
              <w:rPr>
                <w:rFonts w:ascii="Arial" w:cs="Arial" w:eastAsia="Arial" w:hAnsi="Arial"/>
                <w:sz w:val="14"/>
                <w:szCs w:val="14"/>
                <w:color w:val="auto"/>
              </w:rPr>
              <w:t>(State)</w:t>
            </w:r>
          </w:p>
        </w:tc>
        <w:tc>
          <w:tcPr>
            <w:tcW w:w="1280" w:type="dxa"/>
            <w:vAlign w:val="bottom"/>
          </w:tcPr>
          <w:p>
            <w:pPr>
              <w:ind w:left="10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4"/>
                <w:szCs w:val="14"/>
                <w:color w:val="auto"/>
              </w:rPr>
              <w:t>5.</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Grand Canyon Education,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LOPE</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5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520" w:type="dxa"/>
            <w:vAlign w:val="bottom"/>
            <w:tcBorders>
              <w:bottom w:val="single" w:sz="8" w:color="0000EE"/>
            </w:tcBorders>
          </w:tcPr>
          <w:p>
            <w:pPr>
              <w:spacing w:after="0"/>
              <w:rPr>
                <w:sz w:val="3"/>
                <w:szCs w:val="3"/>
                <w:color w:val="auto"/>
              </w:rPr>
            </w:pPr>
          </w:p>
        </w:tc>
        <w:tc>
          <w:tcPr>
            <w:tcW w:w="1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60"/>
              <w:spacing w:after="0" w:line="170"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36"/>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520" w:type="dxa"/>
            <w:vAlign w:val="bottom"/>
            <w:tcBorders>
              <w:bottom w:val="single" w:sz="8" w:color="2C2C2C"/>
            </w:tcBorders>
          </w:tcPr>
          <w:p>
            <w:pPr>
              <w:spacing w:after="0"/>
              <w:rPr>
                <w:sz w:val="11"/>
                <w:szCs w:val="11"/>
                <w:color w:val="auto"/>
              </w:rPr>
            </w:pPr>
          </w:p>
        </w:tc>
        <w:tc>
          <w:tcPr>
            <w:tcW w:w="112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Officer (give title</w:t>
            </w:r>
          </w:p>
        </w:tc>
        <w:tc>
          <w:tcPr>
            <w:tcW w:w="1420" w:type="dxa"/>
            <w:vAlign w:val="bottom"/>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23"/>
        </w:trPr>
        <w:tc>
          <w:tcPr>
            <w:tcW w:w="2720" w:type="dxa"/>
            <w:vAlign w:val="bottom"/>
            <w:gridSpan w:val="3"/>
          </w:tcPr>
          <w:p>
            <w:pPr>
              <w:ind w:left="80"/>
              <w:spacing w:after="0"/>
              <w:rPr>
                <w:sz w:val="20"/>
                <w:szCs w:val="20"/>
                <w:color w:val="auto"/>
              </w:rPr>
            </w:pPr>
            <w:r>
              <w:rPr>
                <w:rFonts w:ascii="Arial" w:cs="Arial" w:eastAsia="Arial" w:hAnsi="Arial"/>
                <w:sz w:val="18"/>
                <w:szCs w:val="18"/>
                <w:color w:val="0000FF"/>
              </w:rPr>
              <w:t>06/20/2023</w:t>
            </w: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09"/>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5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4"/>
                <w:szCs w:val="14"/>
                <w:color w:val="auto"/>
              </w:rPr>
              <w:t>6.</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w w:val="99"/>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60" w:type="dxa"/>
            <w:vAlign w:val="bottom"/>
            <w:gridSpan w:val="2"/>
          </w:tcPr>
          <w:p>
            <w:pPr>
              <w:ind w:left="500"/>
              <w:spacing w:after="0" w:line="136"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720" w:type="dxa"/>
            <w:vAlign w:val="bottom"/>
            <w:tcBorders>
              <w:bottom w:val="single" w:sz="8" w:color="808080"/>
            </w:tcBorders>
          </w:tcPr>
          <w:p>
            <w:pPr>
              <w:spacing w:after="0"/>
              <w:rPr>
                <w:sz w:val="14"/>
                <w:szCs w:val="14"/>
                <w:color w:val="auto"/>
              </w:rPr>
            </w:pPr>
          </w:p>
        </w:tc>
        <w:tc>
          <w:tcPr>
            <w:tcW w:w="68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720" w:type="dxa"/>
            <w:vAlign w:val="bottom"/>
            <w:tcBorders>
              <w:top w:val="single" w:sz="8" w:color="2C2C2C"/>
            </w:tcBorders>
          </w:tcPr>
          <w:p>
            <w:pPr>
              <w:spacing w:after="0"/>
              <w:rPr>
                <w:sz w:val="7"/>
                <w:szCs w:val="7"/>
                <w:color w:val="auto"/>
              </w:rPr>
            </w:pPr>
          </w:p>
        </w:tc>
        <w:tc>
          <w:tcPr>
            <w:tcW w:w="680" w:type="dxa"/>
            <w:vAlign w:val="bottom"/>
            <w:tcBorders>
              <w:top w:val="single" w:sz="8" w:color="2C2C2C"/>
            </w:tcBorders>
            <w:vMerge w:val="restart"/>
          </w:tcPr>
          <w:p>
            <w:pPr>
              <w:ind w:left="200"/>
              <w:spacing w:after="0"/>
              <w:rPr>
                <w:sz w:val="20"/>
                <w:szCs w:val="20"/>
                <w:color w:val="auto"/>
              </w:rPr>
            </w:pPr>
            <w:r>
              <w:rPr>
                <w:rFonts w:ascii="Arial" w:cs="Arial" w:eastAsia="Arial" w:hAnsi="Arial"/>
                <w:sz w:val="12"/>
                <w:szCs w:val="12"/>
                <w:b w:val="1"/>
                <w:bCs w:val="1"/>
                <w:color w:val="auto"/>
              </w:rPr>
              <w:t>(A) or</w:t>
            </w:r>
          </w:p>
        </w:tc>
        <w:tc>
          <w:tcPr>
            <w:tcW w:w="300" w:type="dxa"/>
            <w:vAlign w:val="bottom"/>
            <w:tcBorders>
              <w:top w:val="single" w:sz="8" w:color="2C2C2C"/>
            </w:tcBorders>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220" w:type="dxa"/>
            <w:vAlign w:val="bottom"/>
            <w:tcBorders>
              <w:top w:val="single" w:sz="8" w:color="2C2C2C"/>
            </w:tcBorders>
          </w:tcPr>
          <w:p>
            <w:pPr>
              <w:spacing w:after="0"/>
              <w:rPr>
                <w:sz w:val="7"/>
                <w:szCs w:val="7"/>
                <w:color w:val="auto"/>
              </w:rPr>
            </w:pPr>
          </w:p>
        </w:tc>
        <w:tc>
          <w:tcPr>
            <w:tcW w:w="1180" w:type="dxa"/>
            <w:vAlign w:val="bottom"/>
            <w:gridSpan w:val="2"/>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vMerge w:val="continue"/>
          </w:tcPr>
          <w:p>
            <w:pPr>
              <w:spacing w:after="0"/>
              <w:rPr>
                <w:sz w:val="14"/>
                <w:szCs w:val="14"/>
                <w:color w:val="auto"/>
              </w:rPr>
            </w:pPr>
          </w:p>
        </w:tc>
        <w:tc>
          <w:tcPr>
            <w:tcW w:w="360" w:type="dxa"/>
            <w:vAlign w:val="bottom"/>
            <w:gridSpan w:val="2"/>
          </w:tcPr>
          <w:p>
            <w:pPr>
              <w:ind w:left="2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680" w:type="dxa"/>
            <w:vAlign w:val="bottom"/>
            <w:tcBorders>
              <w:bottom w:val="single" w:sz="8" w:color="2C2C2C"/>
            </w:tcBorders>
          </w:tcPr>
          <w:p>
            <w:pPr>
              <w:ind w:left="200"/>
              <w:spacing w:after="0"/>
              <w:rPr>
                <w:sz w:val="20"/>
                <w:szCs w:val="20"/>
                <w:color w:val="auto"/>
              </w:rPr>
            </w:pPr>
            <w:r>
              <w:rPr>
                <w:rFonts w:ascii="Arial" w:cs="Arial" w:eastAsia="Arial" w:hAnsi="Arial"/>
                <w:sz w:val="12"/>
                <w:szCs w:val="12"/>
                <w:b w:val="1"/>
                <w:bCs w:val="1"/>
                <w:color w:val="auto"/>
              </w:rPr>
              <w:t>(D)</w:t>
            </w:r>
          </w:p>
        </w:tc>
        <w:tc>
          <w:tcPr>
            <w:tcW w:w="30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w:t>
            </w:r>
          </w:p>
        </w:tc>
        <w:tc>
          <w:tcPr>
            <w:tcW w:w="11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0"/>
              <w:spacing w:after="0"/>
              <w:rPr>
                <w:sz w:val="20"/>
                <w:szCs w:val="20"/>
                <w:color w:val="auto"/>
              </w:rPr>
            </w:pPr>
            <w:r>
              <w:rPr>
                <w:rFonts w:ascii="Arial" w:cs="Arial" w:eastAsia="Arial" w:hAnsi="Arial"/>
                <w:sz w:val="18"/>
                <w:szCs w:val="18"/>
                <w:color w:val="0000FF"/>
              </w:rPr>
              <w:t>06/20/2023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20"/>
              <w:spacing w:after="0"/>
              <w:rPr>
                <w:sz w:val="20"/>
                <w:szCs w:val="20"/>
                <w:color w:val="auto"/>
              </w:rPr>
            </w:pPr>
            <w:r>
              <w:rPr>
                <w:rFonts w:ascii="Arial" w:cs="Arial" w:eastAsia="Arial" w:hAnsi="Arial"/>
                <w:sz w:val="14"/>
                <w:szCs w:val="14"/>
                <w:color w:val="0000FF"/>
              </w:rPr>
              <w:t>A</w:t>
            </w:r>
          </w:p>
        </w:tc>
        <w:tc>
          <w:tcPr>
            <w:tcW w:w="72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739</w:t>
            </w:r>
          </w:p>
        </w:tc>
        <w:tc>
          <w:tcPr>
            <w:tcW w:w="68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A</w:t>
            </w:r>
          </w:p>
        </w:tc>
        <w:tc>
          <w:tcPr>
            <w:tcW w:w="58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w w:val="97"/>
              </w:rPr>
              <w:t>$</w:t>
            </w:r>
            <w:r>
              <w:rPr>
                <w:rFonts w:ascii="Arial" w:cs="Arial" w:eastAsia="Arial" w:hAnsi="Arial"/>
                <w:sz w:val="18"/>
                <w:szCs w:val="18"/>
                <w:color w:val="0000FF"/>
                <w:w w:val="97"/>
              </w:rPr>
              <w:t>0.00</w:t>
            </w:r>
          </w:p>
        </w:tc>
        <w:tc>
          <w:tcPr>
            <w:tcW w:w="118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3,345</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60" w:type="dxa"/>
            <w:vAlign w:val="bottom"/>
            <w:gridSpan w:val="10"/>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Number</w:t>
            </w:r>
          </w:p>
        </w:tc>
        <w:tc>
          <w:tcPr>
            <w:tcW w:w="150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40" w:type="dxa"/>
            <w:vAlign w:val="bottom"/>
            <w:gridSpan w:val="3"/>
          </w:tcPr>
          <w:p>
            <w:pPr>
              <w:ind w:left="4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440"/>
              <w:spacing w:after="0" w:line="136"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3"/>
          </w:tcPr>
          <w:p>
            <w:pPr>
              <w:ind w:left="440"/>
              <w:spacing w:after="0" w:line="136"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40"/>
              <w:spacing w:after="0" w:line="136"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04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1. Represents a grant of restricted stock that vests on the earlier of June 19, 2024 or immediately prior to the 2024 annual stockholders' meeting.</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9" w:lineRule="exact"/>
        <w:rPr>
          <w:sz w:val="24"/>
          <w:szCs w:val="24"/>
          <w:color w:val="auto"/>
        </w:rPr>
      </w:pPr>
    </w:p>
    <w:tbl>
      <w:tblPr>
        <w:tblLayout w:type="fixed"/>
        <w:tblInd w:w="40" w:type="dxa"/>
        <w:tblCellMar>
          <w:top w:w="0" w:type="dxa"/>
          <w:left w:w="0" w:type="dxa"/>
          <w:bottom w:w="0" w:type="dxa"/>
          <w:right w:w="0" w:type="dxa"/>
        </w:tblCellMar>
      </w:tblPr>
      <w:tr>
        <w:trPr>
          <w:trHeight w:val="207"/>
        </w:trPr>
        <w:tc>
          <w:tcPr>
            <w:tcW w:w="6540" w:type="dxa"/>
            <w:vAlign w:val="bottom"/>
          </w:tcPr>
          <w:p>
            <w:pPr>
              <w:spacing w:after="0"/>
              <w:rPr>
                <w:sz w:val="18"/>
                <w:szCs w:val="18"/>
                <w:color w:val="auto"/>
              </w:rPr>
            </w:pPr>
          </w:p>
        </w:tc>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/s/Chevy Humphrey, by Lyn</w:t>
            </w:r>
          </w:p>
        </w:tc>
        <w:tc>
          <w:tcPr>
            <w:tcW w:w="1000" w:type="dxa"/>
            <w:vAlign w:val="bottom"/>
            <w:gridSpan w:val="2"/>
            <w:vMerge w:val="restart"/>
          </w:tcPr>
          <w:p>
            <w:pPr>
              <w:jc w:val="right"/>
              <w:spacing w:after="0"/>
              <w:rPr>
                <w:sz w:val="20"/>
                <w:szCs w:val="20"/>
                <w:color w:val="auto"/>
              </w:rPr>
            </w:pPr>
            <w:r>
              <w:rPr>
                <w:rFonts w:ascii="Arial" w:cs="Arial" w:eastAsia="Arial" w:hAnsi="Arial"/>
                <w:sz w:val="18"/>
                <w:szCs w:val="18"/>
                <w:color w:val="0000FF"/>
              </w:rPr>
              <w:t>06/22/2023</w:t>
            </w:r>
          </w:p>
        </w:tc>
        <w:tc>
          <w:tcPr>
            <w:tcW w:w="0" w:type="dxa"/>
            <w:vAlign w:val="bottom"/>
          </w:tcPr>
          <w:p>
            <w:pPr>
              <w:spacing w:after="0"/>
              <w:rPr>
                <w:sz w:val="1"/>
                <w:szCs w:val="1"/>
                <w:color w:val="auto"/>
              </w:rPr>
            </w:pPr>
          </w:p>
        </w:tc>
      </w:tr>
      <w:tr>
        <w:trPr>
          <w:trHeight w:val="88"/>
        </w:trPr>
        <w:tc>
          <w:tcPr>
            <w:tcW w:w="6540" w:type="dxa"/>
            <w:vAlign w:val="bottom"/>
          </w:tcPr>
          <w:p>
            <w:pPr>
              <w:spacing w:after="0"/>
              <w:rPr>
                <w:sz w:val="7"/>
                <w:szCs w:val="7"/>
                <w:color w:val="auto"/>
              </w:rPr>
            </w:pPr>
          </w:p>
        </w:tc>
        <w:tc>
          <w:tcPr>
            <w:tcW w:w="1880" w:type="dxa"/>
            <w:vAlign w:val="bottom"/>
            <w:vMerge w:val="restart"/>
          </w:tcPr>
          <w:p>
            <w:pPr>
              <w:spacing w:after="0" w:line="196" w:lineRule="exact"/>
              <w:rPr>
                <w:sz w:val="20"/>
                <w:szCs w:val="20"/>
                <w:color w:val="auto"/>
              </w:rPr>
            </w:pPr>
            <w:r>
              <w:rPr>
                <w:rFonts w:ascii="Arial" w:cs="Arial" w:eastAsia="Arial" w:hAnsi="Arial"/>
                <w:sz w:val="18"/>
                <w:szCs w:val="18"/>
                <w:color w:val="0000FF"/>
                <w:w w:val="91"/>
              </w:rPr>
              <w:t>Bickle, as Attorney-in-fact</w:t>
            </w:r>
          </w:p>
        </w:tc>
        <w:tc>
          <w:tcPr>
            <w:tcW w:w="120" w:type="dxa"/>
            <w:vAlign w:val="bottom"/>
            <w:vMerge w:val="restart"/>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540" w:type="dxa"/>
            <w:vAlign w:val="bottom"/>
          </w:tcPr>
          <w:p>
            <w:pPr>
              <w:spacing w:after="0"/>
              <w:rPr>
                <w:sz w:val="7"/>
                <w:szCs w:val="7"/>
                <w:color w:val="auto"/>
              </w:rPr>
            </w:pPr>
          </w:p>
        </w:tc>
        <w:tc>
          <w:tcPr>
            <w:tcW w:w="1880" w:type="dxa"/>
            <w:vAlign w:val="bottom"/>
            <w:tcBorders>
              <w:bottom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6540" w:type="dxa"/>
            <w:vAlign w:val="bottom"/>
          </w:tcPr>
          <w:p>
            <w:pPr>
              <w:spacing w:after="0"/>
              <w:rPr>
                <w:sz w:val="20"/>
                <w:szCs w:val="20"/>
                <w:color w:val="auto"/>
              </w:rPr>
            </w:pPr>
          </w:p>
        </w:tc>
        <w:tc>
          <w:tcPr>
            <w:tcW w:w="3000" w:type="dxa"/>
            <w:vAlign w:val="bottom"/>
            <w:gridSpan w:val="4"/>
          </w:tcPr>
          <w:p>
            <w:pPr>
              <w:spacing w:after="0"/>
              <w:rPr>
                <w:sz w:val="20"/>
                <w:szCs w:val="20"/>
                <w:color w:val="auto"/>
              </w:rPr>
            </w:pPr>
            <w:r>
              <w:rPr>
                <w:rFonts w:ascii="Arial" w:cs="Arial" w:eastAsia="Arial" w:hAnsi="Arial"/>
                <w:sz w:val="14"/>
                <w:szCs w:val="14"/>
                <w:color w:val="auto"/>
              </w:rPr>
              <w:t>** Signature of Reporting Person   Date</w:t>
            </w:r>
          </w:p>
        </w:tc>
        <w:tc>
          <w:tcPr>
            <w:tcW w:w="0" w:type="dxa"/>
            <w:vAlign w:val="bottom"/>
          </w:tcPr>
          <w:p>
            <w:pPr>
              <w:spacing w:after="0"/>
              <w:rPr>
                <w:sz w:val="1"/>
                <w:szCs w:val="1"/>
                <w:color w:val="auto"/>
              </w:rPr>
            </w:pPr>
          </w:p>
        </w:tc>
      </w:tr>
      <w:tr>
        <w:trPr>
          <w:trHeight w:val="203"/>
        </w:trPr>
        <w:tc>
          <w:tcPr>
            <w:tcW w:w="8540" w:type="dxa"/>
            <w:vAlign w:val="bottom"/>
            <w:gridSpan w:val="3"/>
          </w:tcPr>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40" w:type="dxa"/>
            <w:vAlign w:val="bottom"/>
            <w:gridSpan w:val="3"/>
          </w:tcPr>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jc w:val="both"/>
        <w:ind w:left="40" w:right="3220" w:firstLine="9"/>
        <w:spacing w:after="0" w:line="350" w:lineRule="auto"/>
        <w:tabs>
          <w:tab w:leader="none" w:pos="183"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6"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LIMITED POWER OF ATTORNEY</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SECTION 16(a) REPORTING</w:t>
      </w:r>
    </w:p>
    <w:p>
      <w:pPr>
        <w:spacing w:after="0" w:line="186" w:lineRule="exact"/>
        <w:rPr>
          <w:sz w:val="20"/>
          <w:szCs w:val="20"/>
          <w:color w:val="auto"/>
        </w:rPr>
      </w:pPr>
    </w:p>
    <w:p>
      <w:pPr>
        <w:ind w:right="1639" w:firstLine="847"/>
        <w:spacing w:after="0" w:line="247" w:lineRule="auto"/>
        <w:rPr>
          <w:sz w:val="20"/>
          <w:szCs w:val="20"/>
          <w:color w:val="auto"/>
        </w:rPr>
      </w:pPr>
      <w:r>
        <w:rPr>
          <w:rFonts w:ascii="Courier New" w:cs="Courier New" w:eastAsia="Courier New" w:hAnsi="Courier New"/>
          <w:sz w:val="18"/>
          <w:szCs w:val="18"/>
          <w:color w:val="auto"/>
        </w:rPr>
        <w:t>KNOW ALL PERSONS BY THESE PRESENTS, that the undersigned hereby makes, constitutes and appoints Daniel E. Bachus, Sarah S. Collins and Lyn Bickle, and each of them, as the undersigned's true and lawful attorney-in-fact (the "Attorney-in Fact"), with full power of substitution and resubstitution, each with the power to act alone for the undersigned and in the undersigned's name, place and stead, in any and all capacities to:</w:t>
      </w:r>
    </w:p>
    <w:p>
      <w:pPr>
        <w:spacing w:after="0" w:line="160" w:lineRule="exact"/>
        <w:rPr>
          <w:sz w:val="20"/>
          <w:szCs w:val="20"/>
          <w:color w:val="auto"/>
        </w:rPr>
      </w:pPr>
    </w:p>
    <w:p>
      <w:pPr>
        <w:ind w:right="459" w:firstLine="855"/>
        <w:spacing w:after="0" w:line="248" w:lineRule="auto"/>
        <w:tabs>
          <w:tab w:leader="none" w:pos="1693"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and file with the Securities and Exchange Commission, any national securities exchange or securities quotation system and Grand Canyon</w:t>
      </w:r>
    </w:p>
    <w:p>
      <w:pPr>
        <w:ind w:right="1519"/>
        <w:spacing w:after="0" w:line="24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Education, Inc. (the "Company") any and all reports (including any amendment thereto) of the undersigned required or considered advisable under Section 16(a) of the Securities Exchange Act of 1934, as amended (the "Exchange Act"), and the rules and regulations thereunder, with respect to the equity securities of the Company, including Forms 3, 4 and 5; and</w:t>
      </w:r>
    </w:p>
    <w:p>
      <w:pPr>
        <w:spacing w:after="0" w:line="159" w:lineRule="exact"/>
        <w:rPr>
          <w:rFonts w:ascii="Courier New" w:cs="Courier New" w:eastAsia="Courier New" w:hAnsi="Courier New"/>
          <w:sz w:val="18"/>
          <w:szCs w:val="18"/>
          <w:color w:val="auto"/>
        </w:rPr>
      </w:pPr>
    </w:p>
    <w:p>
      <w:pPr>
        <w:ind w:right="259" w:firstLine="855"/>
        <w:spacing w:after="0" w:line="248" w:lineRule="auto"/>
        <w:tabs>
          <w:tab w:leader="none" w:pos="1693"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obtain, as the undersigned's representative and on the undersigned's behalf, information regarding transactions in the Company's equity securities from any</w:t>
      </w:r>
    </w:p>
    <w:p>
      <w:pPr>
        <w:ind w:right="1519"/>
        <w:spacing w:after="0" w:line="252"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third party, including the Company and any brokers, dealers, employee benefit plan administrators and trustees, and the undersigned hereby authorizes any such third party to release any such information to the Attorney-in-Fact.</w:t>
      </w:r>
    </w:p>
    <w:p>
      <w:pPr>
        <w:spacing w:after="0" w:line="15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The undersigned acknowledges that:</w:t>
      </w:r>
    </w:p>
    <w:p>
      <w:pPr>
        <w:spacing w:after="0" w:line="202" w:lineRule="exact"/>
        <w:rPr>
          <w:sz w:val="20"/>
          <w:szCs w:val="20"/>
          <w:color w:val="auto"/>
        </w:rPr>
      </w:pPr>
    </w:p>
    <w:p>
      <w:pPr>
        <w:ind w:right="1099" w:firstLine="855"/>
        <w:spacing w:after="0" w:line="261" w:lineRule="auto"/>
        <w:tabs>
          <w:tab w:leader="none" w:pos="169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authorizes, but does not require, the Attorney-in-Fact to act at his or her discretion on information provided to such Attorney-in-Fact without independent verification of such information;</w:t>
      </w:r>
    </w:p>
    <w:p>
      <w:pPr>
        <w:spacing w:after="0" w:line="145" w:lineRule="exact"/>
        <w:rPr>
          <w:rFonts w:ascii="Courier New" w:cs="Courier New" w:eastAsia="Courier New" w:hAnsi="Courier New"/>
          <w:sz w:val="18"/>
          <w:szCs w:val="18"/>
          <w:color w:val="auto"/>
        </w:rPr>
      </w:pPr>
    </w:p>
    <w:p>
      <w:pPr>
        <w:ind w:right="359" w:firstLine="855"/>
        <w:spacing w:after="0" w:line="248" w:lineRule="auto"/>
        <w:tabs>
          <w:tab w:leader="none" w:pos="169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documents prepared or executed by the Attorney-in-Fact on behalf of the undersigned pursuant to this Limited Power of Attorney will be in such form and</w:t>
      </w:r>
    </w:p>
    <w:p>
      <w:pPr>
        <w:ind w:right="1519"/>
        <w:spacing w:after="0" w:line="26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will contain such information as the Attorney-in-Fact, in his or her discretion, deems necessary or desirable;</w:t>
      </w:r>
    </w:p>
    <w:p>
      <w:pPr>
        <w:spacing w:after="0" w:line="142" w:lineRule="exact"/>
        <w:rPr>
          <w:rFonts w:ascii="Courier New" w:cs="Courier New" w:eastAsia="Courier New" w:hAnsi="Courier New"/>
          <w:sz w:val="18"/>
          <w:szCs w:val="18"/>
          <w:color w:val="auto"/>
        </w:rPr>
      </w:pPr>
    </w:p>
    <w:p>
      <w:pPr>
        <w:ind w:right="459" w:firstLine="855"/>
        <w:spacing w:after="0" w:line="248" w:lineRule="auto"/>
        <w:tabs>
          <w:tab w:leader="none" w:pos="169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Company nor the Attorney-in-Fact assumes any liability for the undersigned's responsibility to comply with the requirements of Section 16 of</w:t>
      </w:r>
    </w:p>
    <w:p>
      <w:pPr>
        <w:ind w:right="1639"/>
        <w:spacing w:after="0" w:line="252"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Exchange Act, any liability of the undersigned for any failure to comply with such requirements, or any liability of the undersigned for disgorgement of profits under Section 16(b) of the Exchange Act; and</w:t>
      </w:r>
    </w:p>
    <w:p>
      <w:pPr>
        <w:spacing w:after="0" w:line="152" w:lineRule="exact"/>
        <w:rPr>
          <w:rFonts w:ascii="Courier New" w:cs="Courier New" w:eastAsia="Courier New" w:hAnsi="Courier New"/>
          <w:sz w:val="18"/>
          <w:szCs w:val="18"/>
          <w:color w:val="auto"/>
        </w:rPr>
      </w:pPr>
    </w:p>
    <w:p>
      <w:pPr>
        <w:ind w:right="1099" w:firstLine="855"/>
        <w:spacing w:after="0" w:line="279" w:lineRule="auto"/>
        <w:tabs>
          <w:tab w:leader="none" w:pos="1693"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Limited Power of Attorney does not relieve the undersigned from responsibility for compliance with the undersigned's obligations under Section</w:t>
      </w:r>
    </w:p>
    <w:p>
      <w:pPr>
        <w:ind w:right="2699"/>
        <w:spacing w:after="0" w:line="26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16 of the Exchange Act, including, without, limitation, the reporting requirements under Section 16(a) of the Exchange Act.</w:t>
      </w:r>
    </w:p>
    <w:p>
      <w:pPr>
        <w:spacing w:after="0" w:line="142" w:lineRule="exact"/>
        <w:rPr>
          <w:sz w:val="20"/>
          <w:szCs w:val="20"/>
          <w:color w:val="auto"/>
        </w:rPr>
      </w:pPr>
    </w:p>
    <w:p>
      <w:pPr>
        <w:ind w:right="899" w:firstLine="847"/>
        <w:spacing w:after="0" w:line="248" w:lineRule="auto"/>
        <w:rPr>
          <w:sz w:val="20"/>
          <w:szCs w:val="20"/>
          <w:color w:val="auto"/>
        </w:rPr>
      </w:pPr>
      <w:r>
        <w:rPr>
          <w:rFonts w:ascii="Courier New" w:cs="Courier New" w:eastAsia="Courier New" w:hAnsi="Courier New"/>
          <w:sz w:val="18"/>
          <w:szCs w:val="18"/>
          <w:color w:val="auto"/>
        </w:rPr>
        <w:t>The undersigned hereby grants to the Attorney-in-Fact full power and authority to do and perform each and every act and thing requisite, necessary or</w:t>
      </w:r>
    </w:p>
    <w:p>
      <w:pPr>
        <w:ind w:right="1519"/>
        <w:spacing w:after="0" w:line="245" w:lineRule="auto"/>
        <w:rPr>
          <w:sz w:val="20"/>
          <w:szCs w:val="20"/>
          <w:color w:val="auto"/>
        </w:rPr>
      </w:pPr>
      <w:r>
        <w:rPr>
          <w:rFonts w:ascii="Courier New" w:cs="Courier New" w:eastAsia="Courier New" w:hAnsi="Courier New"/>
          <w:sz w:val="18"/>
          <w:szCs w:val="18"/>
          <w:color w:val="auto"/>
        </w:rPr>
        <w:t>convenient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Limited Power of Attorney.</w:t>
      </w:r>
    </w:p>
    <w:p>
      <w:pPr>
        <w:spacing w:after="0" w:line="160" w:lineRule="exact"/>
        <w:rPr>
          <w:sz w:val="20"/>
          <w:szCs w:val="20"/>
          <w:color w:val="auto"/>
        </w:rPr>
      </w:pPr>
    </w:p>
    <w:p>
      <w:pPr>
        <w:ind w:right="899" w:firstLine="847"/>
        <w:spacing w:after="0" w:line="250" w:lineRule="auto"/>
        <w:rPr>
          <w:sz w:val="20"/>
          <w:szCs w:val="20"/>
          <w:color w:val="auto"/>
        </w:rPr>
      </w:pPr>
      <w:r>
        <w:rPr>
          <w:rFonts w:ascii="Courier New" w:cs="Courier New" w:eastAsia="Courier New" w:hAnsi="Courier New"/>
          <w:sz w:val="18"/>
          <w:szCs w:val="18"/>
          <w:color w:val="auto"/>
        </w:rPr>
        <w:t>This Limited Power of Attorney shall remain in full force and effect until the undersigned is no longer required to file Forms 4 or 5 with respect to the undersigned's transactions in equity securities of the Company, unless earlier revoked by the undersigned in a signed writing delivered to the Attorney-in-Fact.</w:t>
      </w:r>
    </w:p>
    <w:p>
      <w:pPr>
        <w:spacing w:after="0" w:line="367" w:lineRule="exact"/>
        <w:rPr>
          <w:sz w:val="20"/>
          <w:szCs w:val="20"/>
          <w:color w:val="auto"/>
        </w:rPr>
      </w:pPr>
    </w:p>
    <w:p>
      <w:pPr>
        <w:ind w:right="1099" w:firstLine="847"/>
        <w:spacing w:after="0" w:line="350" w:lineRule="auto"/>
        <w:rPr>
          <w:sz w:val="20"/>
          <w:szCs w:val="20"/>
          <w:color w:val="auto"/>
        </w:rPr>
      </w:pPr>
      <w:r>
        <w:rPr>
          <w:rFonts w:ascii="Courier New" w:cs="Courier New" w:eastAsia="Courier New" w:hAnsi="Courier New"/>
          <w:sz w:val="16"/>
          <w:szCs w:val="16"/>
          <w:color w:val="auto"/>
        </w:rPr>
        <w:t>This Limited Power of Attorney shall be governed and construed in accordance the laws of the State of Arizona without regard to conflict-of-law principles.</w:t>
      </w:r>
    </w:p>
    <w:p>
      <w:pPr>
        <w:spacing w:after="0" w:line="80" w:lineRule="exact"/>
        <w:rPr>
          <w:sz w:val="20"/>
          <w:szCs w:val="20"/>
          <w:color w:val="auto"/>
        </w:rPr>
      </w:pPr>
    </w:p>
    <w:p>
      <w:pPr>
        <w:ind w:right="779" w:firstLine="847"/>
        <w:spacing w:after="0" w:line="284" w:lineRule="auto"/>
        <w:rPr>
          <w:sz w:val="20"/>
          <w:szCs w:val="20"/>
          <w:color w:val="auto"/>
        </w:rPr>
      </w:pPr>
      <w:r>
        <w:rPr>
          <w:rFonts w:ascii="Courier New" w:cs="Courier New" w:eastAsia="Courier New" w:hAnsi="Courier New"/>
          <w:sz w:val="18"/>
          <w:szCs w:val="18"/>
          <w:color w:val="auto"/>
        </w:rPr>
        <w:t>IN WITNESS WHEREOF, the undersigned has executed this Limited Power of Attorney as of January 25, 2023.</w:t>
      </w:r>
    </w:p>
    <w:p>
      <w:pPr>
        <w:spacing w:after="0" w:line="12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Signature: /s/ Chevy Humphrey</w:t>
      </w:r>
    </w:p>
    <w:p>
      <w:pPr>
        <w:spacing w:after="0" w:line="1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Print Name: Chevy Humphrey</w:t>
      </w:r>
    </w:p>
    <w:sectPr>
      <w:pgSz w:w="11900" w:h="16838" w:orient="portrait"/>
      <w:cols w:equalWidth="0" w:num="1">
        <w:col w:w="9999"/>
      </w:cols>
      <w:pgMar w:left="460" w:top="29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86357" TargetMode="External"/><Relationship Id="rId13" Type="http://schemas.openxmlformats.org/officeDocument/2006/relationships/hyperlink" Target="http://www.sec.gov/cgi-bin/browse-edgar?action=getcompany&amp;CIK=00014345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2023-06-22T08:03:56Z</dcterms:created>
  <dcterms:modified xsi:type="dcterms:W3CDTF">2023-06-22T08:03:56Z</dcterms:modified>
</cp:coreProperties>
</file>