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3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Grand Canyon Education,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line="277" w:lineRule="auto"/>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w:t>
      </w:r>
    </w:p>
    <w:p>
      <w:pPr>
        <w:spacing w:after="0" w:line="333" w:lineRule="exact"/>
        <w:rPr>
          <w:rFonts w:ascii="MS PGothic" w:cs="MS PGothic" w:eastAsia="MS PGothic" w:hAnsi="MS PGothic"/>
          <w:sz w:val="18"/>
          <w:szCs w:val="18"/>
          <w:color w:val="auto"/>
        </w:rPr>
      </w:pPr>
    </w:p>
    <w:p>
      <w:pPr>
        <w:ind w:left="580" w:right="300" w:hanging="572"/>
        <w:spacing w:after="0" w:line="308" w:lineRule="auto"/>
        <w:tabs>
          <w:tab w:leader="none" w:pos="5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-3535045</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-3088640</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-2505710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-2059940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-1614170</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-139065</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306705</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400"/>
          </w:cols>
          <w:pgMar w:left="240" w:top="230" w:right="259" w:bottom="100" w:gutter="0" w:footer="0" w:header="0"/>
        </w:sectPr>
      </w:pPr>
    </w:p>
    <w:bookmarkStart w:id="1" w:name="page2"/>
    <w:bookmarkEnd w:id="1"/>
    <w:p>
      <w:pPr>
        <w:ind w:left="571" w:hanging="571"/>
        <w:spacing w:after="0"/>
        <w:tabs>
          <w:tab w:leader="none" w:pos="571" w:val="left"/>
        </w:tabs>
        <w:numPr>
          <w:ilvl w:val="0"/>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20" w:lineRule="exact"/>
        <w:rPr>
          <w:rFonts w:ascii="Arial" w:cs="Arial" w:eastAsia="Arial" w:hAnsi="Arial"/>
          <w:sz w:val="17"/>
          <w:szCs w:val="17"/>
          <w:color w:val="auto"/>
        </w:rPr>
      </w:pPr>
    </w:p>
    <w:p>
      <w:pPr>
        <w:ind w:left="571" w:hanging="571"/>
        <w:spacing w:after="0"/>
        <w:tabs>
          <w:tab w:leader="none" w:pos="571"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-147320</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306705</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486410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529590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30"/>
          </w:cols>
          <w:pgMar w:left="829"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4759325" cy="892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59325" cy="89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3300 W. Camelback Road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 85017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(602) 639-7500</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29,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ind w:right="540" w:firstLine="456"/>
        <w:spacing w:after="0" w:line="264" w:lineRule="auto"/>
        <w:rPr>
          <w:sz w:val="20"/>
          <w:szCs w:val="20"/>
          <w:color w:val="auto"/>
        </w:rPr>
      </w:pPr>
      <w:r>
        <w:rPr>
          <w:rFonts w:ascii="Arial" w:cs="Arial" w:eastAsia="Arial" w:hAnsi="Arial"/>
          <w:sz w:val="18"/>
          <w:szCs w:val="18"/>
          <w:color w:val="auto"/>
        </w:rPr>
        <w:t>You are cordially invited to attend the 2016 Annual Meeting of Stockholders (the “Annual Meeting”) of Grand Canyon Education, Inc. (the “Company”) to be held at Grand Canyon University Arena on the campus of Grand Canyon University at 3300 W. Camelback Road, Phoenix, Arizona 85017, commencing at 10:00 a.m., local time, on Thursday, June 16, 2016.</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notice of annual meeting and the proxy statement that follow describe the matters to come before the Annual Meeting. Each holder of record of shares of the Company’s common stock (Nasdaq GM: LOPE) at the close of business on April 22, 2016 is entitled to receive notice of and to vote at the Annual Meeting, and any adjournment or postponement of the Annual Meeting. Shares of our common stock can be voted at the Annual Meeting only if the holder is present in person or by valid proxy.</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Our Annual Meeting materials are available over the Internet. We believe that this delivery process expedites stockholders’ receipt of proxy materials as well as lowers the costs and reduces the environmental impact of our Annual Meeting. All stockholders as of the record date were mailed a Notice of Internet Availability (the “Notice”) with instructions on how to access our Annual Meeting materials online and how to request a paper copy of the materials by mail. The Notice also includes instructions on how to vote online or by telephone. Internet voting must be completed before midnight, Mountain Standard Time, prior to the meeting.</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hope that you will be able to attend the Annual Meeting in person and we look forward to seeing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proxy statement is dated April 29, 2016, and is first being sent or made available to stockholders on or about May 4, 2016.</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VOTING METHODS</w:t>
      </w:r>
    </w:p>
    <w:p>
      <w:pPr>
        <w:spacing w:after="0" w:line="229"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accompanying proxy statement describes important issues affecting Grand Canyon Education, Inc. If you are a stockholder of record as of the record date, you have the right to submit your proxy through the Internet, by telephone or by mail. You also may revoke your proxy at any time before the Annual Meeting. Please help us save time and administrative costs by submitting your proxy through the Internet or by telephone. Each method is generally available 24 hours a day and will ensure that your voting instructions are confirmed and posted immediately. To submit your proxy:</w:t>
      </w:r>
    </w:p>
    <w:p>
      <w:pPr>
        <w:spacing w:after="0" w:line="56"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BY TELEPHONE</w:t>
      </w:r>
    </w:p>
    <w:p>
      <w:pPr>
        <w:spacing w:after="0" w:line="134" w:lineRule="exact"/>
        <w:rPr>
          <w:rFonts w:ascii="Arial" w:cs="Arial" w:eastAsia="Arial" w:hAnsi="Arial"/>
          <w:sz w:val="18"/>
          <w:szCs w:val="18"/>
          <w:color w:val="auto"/>
        </w:rPr>
      </w:pPr>
    </w:p>
    <w:p>
      <w:pPr>
        <w:ind w:left="1480" w:right="460" w:hanging="567"/>
        <w:spacing w:after="0" w:line="277"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On a touch-tone telephone, call toll-free 1-800-652-VOTE (8683), 24 hours a day, seven days a week, through 11:00 p.m. (PT) on June 15, 2016.</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Please have available your notice card.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Follow the simple instructions provided.</w:t>
      </w:r>
    </w:p>
    <w:p>
      <w:pPr>
        <w:spacing w:after="0" w:line="126"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BY INTERNET</w:t>
      </w:r>
    </w:p>
    <w:p>
      <w:pPr>
        <w:spacing w:after="0" w:line="134" w:lineRule="exact"/>
        <w:rPr>
          <w:rFonts w:ascii="Arial" w:cs="Arial" w:eastAsia="Arial" w:hAnsi="Arial"/>
          <w:sz w:val="18"/>
          <w:szCs w:val="18"/>
          <w:color w:val="auto"/>
        </w:rPr>
      </w:pPr>
    </w:p>
    <w:p>
      <w:pPr>
        <w:ind w:left="1480" w:hanging="567"/>
        <w:spacing w:after="0"/>
        <w:tabs>
          <w:tab w:leader="none" w:pos="1480" w:val="left"/>
        </w:tabs>
        <w:numPr>
          <w:ilvl w:val="1"/>
          <w:numId w:val="6"/>
        </w:numPr>
        <w:rPr>
          <w:rFonts w:ascii="Arial" w:cs="Arial" w:eastAsia="Arial" w:hAnsi="Arial"/>
          <w:sz w:val="16"/>
          <w:szCs w:val="16"/>
          <w:color w:val="auto"/>
        </w:rPr>
      </w:pPr>
      <w:r>
        <w:rPr>
          <w:rFonts w:ascii="Arial" w:cs="Arial" w:eastAsia="Arial" w:hAnsi="Arial"/>
          <w:sz w:val="16"/>
          <w:szCs w:val="16"/>
          <w:color w:val="auto"/>
        </w:rPr>
        <w:t>Go to the web site at www.investorvote.com/LOPE, 24 hours a day, seven days a week, through 11:00 p.m. (PT) on June 15, 2016.</w:t>
      </w:r>
    </w:p>
    <w:p>
      <w:pPr>
        <w:spacing w:after="0" w:line="153" w:lineRule="exact"/>
        <w:rPr>
          <w:rFonts w:ascii="Arial" w:cs="Arial" w:eastAsia="Arial" w:hAnsi="Arial"/>
          <w:sz w:val="16"/>
          <w:szCs w:val="16"/>
          <w:color w:val="auto"/>
        </w:rPr>
      </w:pPr>
    </w:p>
    <w:p>
      <w:pPr>
        <w:ind w:left="1480" w:hanging="567"/>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Please have available your notice card.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Follow the simple instructions provided.</w:t>
      </w:r>
    </w:p>
    <w:p>
      <w:pPr>
        <w:spacing w:after="0" w:line="126"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BY MAIL (if you submit your proxy by telephone or Internet, please do not mail your proxy card)</w:t>
      </w:r>
    </w:p>
    <w:p>
      <w:pPr>
        <w:spacing w:after="0" w:line="134" w:lineRule="exact"/>
        <w:rPr>
          <w:rFonts w:ascii="Arial" w:cs="Arial" w:eastAsia="Arial" w:hAnsi="Arial"/>
          <w:sz w:val="18"/>
          <w:szCs w:val="18"/>
          <w:color w:val="auto"/>
        </w:rPr>
      </w:pPr>
    </w:p>
    <w:p>
      <w:pPr>
        <w:ind w:left="1480" w:hanging="567"/>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Mark, sign and date your proxy card.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Return it in the enclosed postage-paid envelope.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If your shares are held in an account at a brokerage firm, bank or similar organization, you will receive instructions from the registered holder that you must follow in order to have your shares voted.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vote is important. Thank you for submitting your proxy.</w:t>
      </w:r>
    </w:p>
    <w:p>
      <w:pPr>
        <w:sectPr>
          <w:pgSz w:w="11900" w:h="16838" w:orient="portrait"/>
          <w:cols w:equalWidth="0" w:num="1">
            <w:col w:w="11300"/>
          </w:cols>
          <w:pgMar w:left="240" w:top="459"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PRELIMINARY PROXY STATEMENT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246380</wp:posOffset>
            </wp:positionV>
            <wp:extent cx="30441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June 16,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83185</wp:posOffset>
            </wp:positionV>
            <wp:extent cx="30441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2016 Annual Meeting of Stockholders (the “Annual Meeting”) of Grand Canyon Education, Inc. (the “Company”), will be held at Grand Canyon University Arena on the campus of Grand Canyon University at 3300 W. Camelback Road, Phoenix, Arizona 85017, commencing at 10:00 a.m., local time, on Thursday, June 16, 2016, for the following purposes:</w:t>
      </w:r>
    </w:p>
    <w:p>
      <w:pPr>
        <w:spacing w:after="0" w:line="87" w:lineRule="exact"/>
        <w:rPr>
          <w:sz w:val="20"/>
          <w:szCs w:val="20"/>
          <w:color w:val="auto"/>
        </w:rPr>
      </w:pPr>
    </w:p>
    <w:p>
      <w:pPr>
        <w:ind w:left="90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a Board of Directors of seven directors, each to serve until the 2017 annual meeting of stockholders or until his or her successor has been duly elected and qualified or until his or her earlier resignation or removal;</w:t>
      </w:r>
    </w:p>
    <w:p>
      <w:pPr>
        <w:spacing w:after="0" w:line="75"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provisions of our Annual Cash Incentive Plan setting forth the material terms of the performance goals in accordance with Internal Revenue Code Section 162(m);</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provisions of our 2008 Equity Incentive Plan setting forth the material terms of the performance goals in accordance with Internal Revenue Code Section 162(m);</w:t>
      </w:r>
    </w:p>
    <w:p>
      <w:pPr>
        <w:spacing w:after="0" w:line="75"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an amendment to our Amended and Restated Certificate of Incorporation to remove a provision that has been determined to be invalid;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our named executive officers as disclosed in the enclosed Proxy Statement;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ratify the appointment of KPMG LLP as our independent registered public accounting firm for the fiscal year ending December 31, 2016;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be brought before the meeting or any adjournment or postponement thereof.</w:t>
      </w:r>
    </w:p>
    <w:p>
      <w:pPr>
        <w:spacing w:after="0" w:line="225"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Our Board of Directors has fixed April 22, 2016 as the record date for the determination of stockholders entitled to notice of and to vote at the Annual Meeting or any adjournment or postponement thereof. For 10 days prior to the Annual Meeting, a list of stockholders entitled to vote at the Annual Meeting will be available for inspection in the offices of Grand Canyon Education, Inc., Office of the Chief Executive Officer, 3300 W. Camelback Road, Phoenix, Arizona 85017 between the hours of 8:30 a.m. and 5:00 p.m., local time, each weekday. Such list will also be available at the Annual Meeting.</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Your proxy is important to ensure a quorum at the meeting. Even if you own only a few shares, and whether or not you expect to be present,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you are urgently requested to submit the enclosed proxy by telephone or through the Internet in accordance with the instructions provided to you. </w:t>
      </w:r>
      <w:r>
        <w:rPr>
          <w:rFonts w:ascii="Arial" w:cs="Arial" w:eastAsia="Arial" w:hAnsi="Arial"/>
          <w:sz w:val="16"/>
          <w:szCs w:val="16"/>
          <w:b w:val="1"/>
          <w:bCs w:val="1"/>
          <w:u w:val="single" w:color="auto"/>
          <w:color w:val="auto"/>
        </w:rPr>
        <w:t>If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you received a paper copy of the proxy card by mail, you may also date, sign and mail the proxy card in the postage-paid envelope that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provided.</w:t>
      </w:r>
      <w:r>
        <w:rPr>
          <w:rFonts w:ascii="Arial" w:cs="Arial" w:eastAsia="Arial" w:hAnsi="Arial"/>
          <w:sz w:val="16"/>
          <w:szCs w:val="16"/>
          <w:b w:val="1"/>
          <w:bCs w:val="1"/>
          <w:color w:val="auto"/>
        </w:rPr>
        <w:t xml:space="preserve"> The proxy may be revoked by you at any time prior to being exercised, and submitting your proxy by telephone or through the Internet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returning your proxy by mail will not affect your right to vote in person if you attend the Annual Meeting and revoke the proxy.</w:t>
      </w:r>
    </w:p>
    <w:p>
      <w:pPr>
        <w:spacing w:after="0" w:line="207"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Stockholder Meeting to Be Held on June 16, 2016. </w:t>
      </w:r>
      <w:r>
        <w:rPr>
          <w:rFonts w:ascii="Arial" w:cs="Arial" w:eastAsia="Arial" w:hAnsi="Arial"/>
          <w:sz w:val="18"/>
          <w:szCs w:val="18"/>
          <w:color w:val="auto"/>
        </w:rPr>
        <w:t>Our Proxy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is attached. Financial and other information concerning Grand Canyon Education, Inc. is contained in our Annual Report to Stockholders for the fiscal year ended December 31, 2015. A complete set of proxy materials relating to our Annual Meeting is available on the Internet. These materials, consisting of the Notice of Annual Meeting, Proxy Statement, Proxy Card and Annual Report to Stockholders</w:t>
      </w:r>
      <w:r>
        <w:rPr>
          <w:rFonts w:ascii="Arial" w:cs="Arial" w:eastAsia="Arial" w:hAnsi="Arial"/>
          <w:sz w:val="18"/>
          <w:szCs w:val="18"/>
          <w:b w:val="1"/>
          <w:bCs w:val="1"/>
          <w:color w:val="auto"/>
        </w:rPr>
        <w:t>, are available and may be viewed at</w:t>
      </w:r>
      <w:r>
        <w:rPr>
          <w:rFonts w:ascii="Arial" w:cs="Arial" w:eastAsia="Arial" w:hAnsi="Arial"/>
          <w:sz w:val="18"/>
          <w:szCs w:val="18"/>
          <w:color w:val="auto"/>
        </w:rPr>
        <w:t xml:space="preserve"> </w:t>
      </w:r>
      <w:r>
        <w:rPr>
          <w:rFonts w:ascii="Arial" w:cs="Arial" w:eastAsia="Arial" w:hAnsi="Arial"/>
          <w:sz w:val="18"/>
          <w:szCs w:val="18"/>
          <w:b w:val="1"/>
          <w:bCs w:val="1"/>
          <w:color w:val="auto"/>
        </w:rPr>
        <w:t>www.edocumentview.com/LOPE.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29, 2016</w:t>
      </w:r>
    </w:p>
    <w:p>
      <w:pPr>
        <w:sectPr>
          <w:pgSz w:w="11900" w:h="16838" w:orient="portrait"/>
          <w:cols w:equalWidth="0" w:num="1">
            <w:col w:w="11380"/>
          </w:cols>
          <w:pgMar w:left="240" w:top="459" w:right="2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5"/>
          </w:tcPr>
          <w:p>
            <w:pPr>
              <w:spacing w:after="0"/>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Table of Contents</w:t>
              </w:r>
            </w:hyperlink>
          </w:p>
        </w:tc>
        <w:tc>
          <w:tcPr>
            <w:tcW w:w="9420" w:type="dxa"/>
            <w:vAlign w:val="bottom"/>
            <w:gridSpan w:val="37"/>
          </w:tcPr>
          <w:p>
            <w:pPr>
              <w:spacing w:after="0"/>
              <w:rPr>
                <w:sz w:val="17"/>
                <w:szCs w:val="17"/>
                <w:color w:val="auto"/>
              </w:rPr>
            </w:pPr>
          </w:p>
        </w:tc>
        <w:tc>
          <w:tcPr>
            <w:tcW w:w="540" w:type="dxa"/>
            <w:vAlign w:val="bottom"/>
          </w:tcPr>
          <w:p>
            <w:pPr>
              <w:spacing w:after="0"/>
              <w:rPr>
                <w:sz w:val="17"/>
                <w:szCs w:val="17"/>
                <w:color w:val="auto"/>
              </w:rPr>
            </w:pPr>
          </w:p>
        </w:tc>
      </w:tr>
      <w:tr>
        <w:trPr>
          <w:trHeight w:val="493"/>
        </w:trPr>
        <w:tc>
          <w:tcPr>
            <w:tcW w:w="2140" w:type="dxa"/>
            <w:vAlign w:val="bottom"/>
            <w:tcBorders>
              <w:bottom w:val="single" w:sz="8" w:color="0000EE"/>
            </w:tcBorders>
            <w:gridSpan w:val="10"/>
          </w:tcPr>
          <w:p>
            <w:pPr>
              <w:spacing w:after="0"/>
              <w:rPr>
                <w:rFonts w:ascii="Arial" w:cs="Arial" w:eastAsia="Arial" w:hAnsi="Arial"/>
                <w:sz w:val="18"/>
                <w:szCs w:val="18"/>
                <w:color w:val="0000EE"/>
                <w:w w:val="97"/>
              </w:rPr>
            </w:pPr>
            <w:hyperlink w:anchor="page8">
              <w:r>
                <w:rPr>
                  <w:rFonts w:ascii="Arial" w:cs="Arial" w:eastAsia="Arial" w:hAnsi="Arial"/>
                  <w:sz w:val="18"/>
                  <w:szCs w:val="18"/>
                  <w:color w:val="0000EE"/>
                  <w:w w:val="97"/>
                </w:rPr>
                <w:t>GENERAL INFORMATION</w:t>
              </w:r>
            </w:hyperlink>
          </w:p>
        </w:tc>
        <w:tc>
          <w:tcPr>
            <w:tcW w:w="8640" w:type="dxa"/>
            <w:vAlign w:val="bottom"/>
            <w:gridSpan w:val="32"/>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Borders>
              <w:bottom w:val="single" w:sz="8" w:color="0000EE"/>
            </w:tcBorders>
            <w:gridSpan w:val="14"/>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Notice of Internet Availability</w:t>
              </w:r>
            </w:hyperlink>
          </w:p>
        </w:tc>
        <w:tc>
          <w:tcPr>
            <w:tcW w:w="8240" w:type="dxa"/>
            <w:vAlign w:val="bottom"/>
            <w:gridSpan w:val="26"/>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20" w:type="dxa"/>
            <w:vAlign w:val="bottom"/>
            <w:gridSpan w:val="4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Record Date and Quorum</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20" w:type="dxa"/>
            <w:vAlign w:val="bottom"/>
            <w:gridSpan w:val="4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Submission of Proxies; Revocation</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20" w:type="dxa"/>
            <w:vAlign w:val="bottom"/>
            <w:gridSpan w:val="40"/>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Deadlines for Stockholder Proposals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Quorum</w:t>
              </w:r>
            </w:hyperlink>
          </w:p>
        </w:tc>
        <w:tc>
          <w:tcPr>
            <w:tcW w:w="7780" w:type="dxa"/>
            <w:vAlign w:val="bottom"/>
            <w:gridSpan w:val="21"/>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Vote Required</w:t>
              </w:r>
            </w:hyperlink>
          </w:p>
        </w:tc>
        <w:tc>
          <w:tcPr>
            <w:tcW w:w="9380" w:type="dxa"/>
            <w:vAlign w:val="bottom"/>
            <w:gridSpan w:val="3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20" w:type="dxa"/>
            <w:vAlign w:val="bottom"/>
            <w:gridSpan w:val="40"/>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Adjournment or Postponement of Meeting</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w:anchor="page10">
              <w:r>
                <w:rPr>
                  <w:rFonts w:ascii="Arial" w:cs="Arial" w:eastAsia="Arial" w:hAnsi="Arial"/>
                  <w:sz w:val="18"/>
                  <w:szCs w:val="18"/>
                  <w:color w:val="0000EE"/>
                  <w:w w:val="91"/>
                </w:rPr>
                <w:t>Expenses of Soliciting Proxies</w:t>
              </w:r>
            </w:hyperlink>
          </w:p>
        </w:tc>
        <w:tc>
          <w:tcPr>
            <w:tcW w:w="840" w:type="dxa"/>
            <w:vAlign w:val="bottom"/>
            <w:tcBorders>
              <w:top w:val="single" w:sz="8" w:color="0000EE"/>
            </w:tcBorders>
            <w:gridSpan w:val="11"/>
          </w:tcPr>
          <w:p>
            <w:pPr>
              <w:spacing w:after="0"/>
              <w:rPr>
                <w:sz w:val="17"/>
                <w:szCs w:val="17"/>
                <w:color w:val="auto"/>
              </w:rPr>
            </w:pPr>
          </w:p>
        </w:tc>
        <w:tc>
          <w:tcPr>
            <w:tcW w:w="7360" w:type="dxa"/>
            <w:vAlign w:val="bottom"/>
            <w:gridSpan w:val="1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304"/>
        </w:trPr>
        <w:tc>
          <w:tcPr>
            <w:tcW w:w="4320" w:type="dxa"/>
            <w:vAlign w:val="bottom"/>
            <w:tcBorders>
              <w:bottom w:val="single" w:sz="8" w:color="0000EE"/>
            </w:tcBorders>
            <w:gridSpan w:val="33"/>
          </w:tcPr>
          <w:p>
            <w:pPr>
              <w:spacing w:after="0"/>
              <w:rPr>
                <w:rFonts w:ascii="Arial" w:cs="Arial" w:eastAsia="Arial" w:hAnsi="Arial"/>
                <w:sz w:val="18"/>
                <w:szCs w:val="18"/>
                <w:color w:val="0000EE"/>
                <w:w w:val="95"/>
              </w:rPr>
            </w:pPr>
            <w:hyperlink w:anchor="page11">
              <w:r>
                <w:rPr>
                  <w:rFonts w:ascii="Arial" w:cs="Arial" w:eastAsia="Arial" w:hAnsi="Arial"/>
                  <w:sz w:val="18"/>
                  <w:szCs w:val="18"/>
                  <w:color w:val="0000EE"/>
                  <w:w w:val="95"/>
                </w:rPr>
                <w:t>CORPORATE GOVERNANCE AND BOARD MATTERS</w:t>
              </w:r>
            </w:hyperlink>
          </w:p>
        </w:tc>
        <w:tc>
          <w:tcPr>
            <w:tcW w:w="6460" w:type="dxa"/>
            <w:vAlign w:val="bottom"/>
            <w:gridSpan w:val="9"/>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Corporate Governance Philosophy</w:t>
              </w:r>
            </w:hyperlink>
          </w:p>
        </w:tc>
        <w:tc>
          <w:tcPr>
            <w:tcW w:w="7880" w:type="dxa"/>
            <w:vAlign w:val="bottom"/>
            <w:gridSpan w:val="23"/>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20" w:type="dxa"/>
            <w:vAlign w:val="bottom"/>
            <w:gridSpan w:val="40"/>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Board of Directors Meetings and Attendance</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Director Independence</w:t>
              </w:r>
            </w:hyperlink>
          </w:p>
        </w:tc>
        <w:tc>
          <w:tcPr>
            <w:tcW w:w="1580" w:type="dxa"/>
            <w:vAlign w:val="bottom"/>
            <w:tcBorders>
              <w:top w:val="single" w:sz="8" w:color="0000EE"/>
            </w:tcBorders>
            <w:gridSpan w:val="21"/>
          </w:tcPr>
          <w:p>
            <w:pPr>
              <w:spacing w:after="0"/>
              <w:rPr>
                <w:sz w:val="17"/>
                <w:szCs w:val="17"/>
                <w:color w:val="auto"/>
              </w:rPr>
            </w:pPr>
          </w:p>
        </w:tc>
        <w:tc>
          <w:tcPr>
            <w:tcW w:w="7180" w:type="dxa"/>
            <w:vAlign w:val="bottom"/>
            <w:gridSpan w:val="1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Board Leadership Structure</w:t>
              </w:r>
            </w:hyperlink>
          </w:p>
        </w:tc>
        <w:tc>
          <w:tcPr>
            <w:tcW w:w="8420" w:type="dxa"/>
            <w:vAlign w:val="bottom"/>
            <w:gridSpan w:val="29"/>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11">
              <w:r>
                <w:rPr>
                  <w:rFonts w:ascii="Arial" w:cs="Arial" w:eastAsia="Arial" w:hAnsi="Arial"/>
                  <w:sz w:val="18"/>
                  <w:szCs w:val="18"/>
                  <w:color w:val="0000EE"/>
                  <w:w w:val="92"/>
                </w:rPr>
                <w:t>Committees of Our Board of Directors</w:t>
              </w:r>
            </w:hyperlink>
          </w:p>
        </w:tc>
        <w:tc>
          <w:tcPr>
            <w:tcW w:w="7620" w:type="dxa"/>
            <w:vAlign w:val="bottom"/>
            <w:gridSpan w:val="1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Code of Conduct</w:t>
              </w:r>
            </w:hyperlink>
          </w:p>
        </w:tc>
        <w:tc>
          <w:tcPr>
            <w:tcW w:w="9180" w:type="dxa"/>
            <w:vAlign w:val="bottom"/>
            <w:gridSpan w:val="3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13">
              <w:r>
                <w:rPr>
                  <w:rFonts w:ascii="Arial" w:cs="Arial" w:eastAsia="Arial" w:hAnsi="Arial"/>
                  <w:sz w:val="18"/>
                  <w:szCs w:val="18"/>
                  <w:color w:val="0000EE"/>
                  <w:w w:val="92"/>
                </w:rPr>
                <w:t>Risk Oversight</w:t>
              </w:r>
            </w:hyperlink>
          </w:p>
        </w:tc>
        <w:tc>
          <w:tcPr>
            <w:tcW w:w="9320" w:type="dxa"/>
            <w:vAlign w:val="bottom"/>
            <w:gridSpan w:val="3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Director Nomination Process</w:t>
              </w:r>
            </w:hyperlink>
          </w:p>
        </w:tc>
        <w:tc>
          <w:tcPr>
            <w:tcW w:w="8300" w:type="dxa"/>
            <w:vAlign w:val="bottom"/>
            <w:gridSpan w:val="2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w:anchor="page15">
              <w:r>
                <w:rPr>
                  <w:rFonts w:ascii="Arial" w:cs="Arial" w:eastAsia="Arial" w:hAnsi="Arial"/>
                  <w:sz w:val="18"/>
                  <w:szCs w:val="18"/>
                  <w:color w:val="0000EE"/>
                  <w:w w:val="93"/>
                </w:rPr>
                <w:t>Annual Elections and Majority Voting</w:t>
              </w:r>
            </w:hyperlink>
          </w:p>
        </w:tc>
        <w:tc>
          <w:tcPr>
            <w:tcW w:w="7660" w:type="dxa"/>
            <w:vAlign w:val="bottom"/>
            <w:gridSpan w:val="18"/>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8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Compensation Committee Interlocks and Insider Participation</w:t>
              </w:r>
            </w:hyperlink>
          </w:p>
        </w:tc>
        <w:tc>
          <w:tcPr>
            <w:tcW w:w="5940" w:type="dxa"/>
            <w:vAlign w:val="bottom"/>
            <w:gridSpan w:val="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80" w:type="dxa"/>
            <w:vAlign w:val="bottom"/>
            <w:tcBorders>
              <w:bottom w:val="single" w:sz="8" w:color="0000EE"/>
            </w:tcBorders>
            <w:gridSpan w:val="32"/>
          </w:tcPr>
          <w:p>
            <w:pPr>
              <w:spacing w:after="0" w:line="196" w:lineRule="exact"/>
              <w:rPr>
                <w:rFonts w:ascii="Arial" w:cs="Arial" w:eastAsia="Arial" w:hAnsi="Arial"/>
                <w:sz w:val="18"/>
                <w:szCs w:val="18"/>
                <w:color w:val="0000EE"/>
                <w:w w:val="92"/>
              </w:rPr>
            </w:pPr>
            <w:hyperlink w:anchor="page16">
              <w:r>
                <w:rPr>
                  <w:rFonts w:ascii="Arial" w:cs="Arial" w:eastAsia="Arial" w:hAnsi="Arial"/>
                  <w:sz w:val="18"/>
                  <w:szCs w:val="18"/>
                  <w:color w:val="0000EE"/>
                  <w:w w:val="92"/>
                </w:rPr>
                <w:t>Stockholder Communications with the Board of Directors</w:t>
              </w:r>
            </w:hyperlink>
          </w:p>
        </w:tc>
        <w:tc>
          <w:tcPr>
            <w:tcW w:w="6240" w:type="dxa"/>
            <w:vAlign w:val="bottom"/>
            <w:gridSpan w:val="8"/>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20" w:type="dxa"/>
            <w:vAlign w:val="bottom"/>
            <w:gridSpan w:val="4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Director Stock Ownership Guidelines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Anti-Hedging/Anti-Pledging Policy</w:t>
              </w:r>
            </w:hyperlink>
          </w:p>
        </w:tc>
        <w:tc>
          <w:tcPr>
            <w:tcW w:w="7700" w:type="dxa"/>
            <w:vAlign w:val="bottom"/>
            <w:gridSpan w:val="19"/>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Compensation of Directors</w:t>
              </w:r>
            </w:hyperlink>
          </w:p>
        </w:tc>
        <w:tc>
          <w:tcPr>
            <w:tcW w:w="620" w:type="dxa"/>
            <w:vAlign w:val="bottom"/>
            <w:tcBorders>
              <w:top w:val="single" w:sz="8" w:color="0000EE"/>
            </w:tcBorders>
            <w:gridSpan w:val="8"/>
          </w:tcPr>
          <w:p>
            <w:pPr>
              <w:spacing w:after="0"/>
              <w:rPr>
                <w:sz w:val="17"/>
                <w:szCs w:val="17"/>
                <w:color w:val="auto"/>
              </w:rPr>
            </w:pPr>
          </w:p>
        </w:tc>
        <w:tc>
          <w:tcPr>
            <w:tcW w:w="7840" w:type="dxa"/>
            <w:vAlign w:val="bottom"/>
            <w:gridSpan w:val="2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2015 Director Compensation</w:t>
              </w:r>
            </w:hyperlink>
          </w:p>
        </w:tc>
        <w:tc>
          <w:tcPr>
            <w:tcW w:w="8320" w:type="dxa"/>
            <w:vAlign w:val="bottom"/>
            <w:gridSpan w:val="28"/>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304"/>
        </w:trPr>
        <w:tc>
          <w:tcPr>
            <w:tcW w:w="3660" w:type="dxa"/>
            <w:vAlign w:val="bottom"/>
            <w:tcBorders>
              <w:bottom w:val="single" w:sz="8" w:color="0000EE"/>
            </w:tcBorders>
            <w:gridSpan w:val="31"/>
          </w:tcPr>
          <w:p>
            <w:pPr>
              <w:spacing w:after="0"/>
              <w:rPr>
                <w:rFonts w:ascii="Arial" w:cs="Arial" w:eastAsia="Arial" w:hAnsi="Arial"/>
                <w:sz w:val="18"/>
                <w:szCs w:val="18"/>
                <w:color w:val="0000EE"/>
                <w:w w:val="94"/>
              </w:rPr>
            </w:pPr>
            <w:hyperlink w:anchor="page18">
              <w:r>
                <w:rPr>
                  <w:rFonts w:ascii="Arial" w:cs="Arial" w:eastAsia="Arial" w:hAnsi="Arial"/>
                  <w:sz w:val="18"/>
                  <w:szCs w:val="18"/>
                  <w:color w:val="0000EE"/>
                  <w:w w:val="94"/>
                </w:rPr>
                <w:t>PROPOSAL NO. 1 ELECTION OF DIRECTORS</w:t>
              </w:r>
            </w:hyperlink>
          </w:p>
        </w:tc>
        <w:tc>
          <w:tcPr>
            <w:tcW w:w="7120" w:type="dxa"/>
            <w:vAlign w:val="bottom"/>
            <w:gridSpan w:val="11"/>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4"/>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tcBorders>
              <w:bottom w:val="single" w:sz="8" w:color="0000EE"/>
            </w:tcBorders>
            <w:gridSpan w:val="24"/>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Composition of our Board of Directors</w:t>
              </w:r>
            </w:hyperlink>
          </w:p>
        </w:tc>
        <w:tc>
          <w:tcPr>
            <w:tcW w:w="7600" w:type="dxa"/>
            <w:vAlign w:val="bottom"/>
            <w:gridSpan w:val="16"/>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20" w:type="dxa"/>
            <w:vAlign w:val="bottom"/>
            <w:gridSpan w:val="4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Directors and Director Nominees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60" w:type="dxa"/>
            <w:vAlign w:val="bottom"/>
            <w:gridSpan w:val="15"/>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10200" w:type="dxa"/>
            <w:vAlign w:val="bottom"/>
            <w:tcBorders>
              <w:bottom w:val="single" w:sz="8" w:color="0000EE"/>
            </w:tcBorders>
            <w:gridSpan w:val="41"/>
          </w:tcPr>
          <w:p>
            <w:pPr>
              <w:spacing w:after="0"/>
              <w:rPr>
                <w:rFonts w:ascii="Arial" w:cs="Arial" w:eastAsia="Arial" w:hAnsi="Arial"/>
                <w:sz w:val="18"/>
                <w:szCs w:val="18"/>
                <w:color w:val="0000EE"/>
                <w:w w:val="96"/>
              </w:rPr>
            </w:pPr>
            <w:hyperlink w:anchor="page21">
              <w:r>
                <w:rPr>
                  <w:rFonts w:ascii="Arial" w:cs="Arial" w:eastAsia="Arial" w:hAnsi="Arial"/>
                  <w:sz w:val="18"/>
                  <w:szCs w:val="18"/>
                  <w:color w:val="0000EE"/>
                  <w:w w:val="96"/>
                </w:rPr>
                <w:t>PROPOSAL NO. 2 APPROVAL OF CERTAIN PROVISIONS OF OUR ANNUAL CASH INCENTIVE PLAN IN ACCORDANCE WITH</w:t>
              </w:r>
            </w:hyperlink>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4400" w:type="dxa"/>
            <w:vAlign w:val="bottom"/>
            <w:tcBorders>
              <w:bottom w:val="single" w:sz="8" w:color="0000EE"/>
            </w:tcBorders>
            <w:gridSpan w:val="34"/>
          </w:tcPr>
          <w:p>
            <w:pPr>
              <w:spacing w:after="0" w:line="196" w:lineRule="exact"/>
              <w:rPr>
                <w:rFonts w:ascii="Arial" w:cs="Arial" w:eastAsia="Arial" w:hAnsi="Arial"/>
                <w:sz w:val="18"/>
                <w:szCs w:val="18"/>
                <w:color w:val="0000EE"/>
                <w:w w:val="96"/>
              </w:rPr>
            </w:pPr>
            <w:hyperlink w:anchor="page21">
              <w:r>
                <w:rPr>
                  <w:rFonts w:ascii="Arial" w:cs="Arial" w:eastAsia="Arial" w:hAnsi="Arial"/>
                  <w:sz w:val="18"/>
                  <w:szCs w:val="18"/>
                  <w:color w:val="0000EE"/>
                  <w:w w:val="96"/>
                </w:rPr>
                <w:t>SECTION 162(M) OF THE INTERNAL REVENUE CODE</w:t>
              </w:r>
            </w:hyperlink>
          </w:p>
        </w:tc>
        <w:tc>
          <w:tcPr>
            <w:tcW w:w="6200" w:type="dxa"/>
            <w:vAlign w:val="bottom"/>
            <w:gridSpan w:val="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304"/>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Summary of the Cash Incentive Plan</w:t>
              </w:r>
            </w:hyperlink>
          </w:p>
        </w:tc>
        <w:tc>
          <w:tcPr>
            <w:tcW w:w="7760" w:type="dxa"/>
            <w:vAlign w:val="bottom"/>
            <w:gridSpan w:val="20"/>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10780" w:type="dxa"/>
            <w:vAlign w:val="bottom"/>
            <w:tcBorders>
              <w:bottom w:val="single" w:sz="8" w:color="0000EE"/>
            </w:tcBorders>
            <w:gridSpan w:val="42"/>
          </w:tcPr>
          <w:p>
            <w:pPr>
              <w:spacing w:after="0"/>
              <w:rPr>
                <w:rFonts w:ascii="Arial" w:cs="Arial" w:eastAsia="Arial" w:hAnsi="Arial"/>
                <w:sz w:val="18"/>
                <w:szCs w:val="18"/>
                <w:color w:val="0000EE"/>
                <w:w w:val="95"/>
              </w:rPr>
            </w:pPr>
            <w:hyperlink w:anchor="page24">
              <w:r>
                <w:rPr>
                  <w:rFonts w:ascii="Arial" w:cs="Arial" w:eastAsia="Arial" w:hAnsi="Arial"/>
                  <w:sz w:val="18"/>
                  <w:szCs w:val="18"/>
                  <w:color w:val="0000EE"/>
                  <w:w w:val="95"/>
                </w:rPr>
                <w:t>PROPOSAL NO. 3 APPROVAL OF CERTAIN PROVISIONS OF OUR 2008 EQUITY INCENTIVE PLAN IN ACCORDANCE WITH SECTION</w:t>
              </w:r>
            </w:hyperlink>
          </w:p>
        </w:tc>
        <w:tc>
          <w:tcPr>
            <w:tcW w:w="540" w:type="dxa"/>
            <w:vAlign w:val="bottom"/>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3600" w:type="dxa"/>
            <w:vAlign w:val="bottom"/>
            <w:tcBorders>
              <w:bottom w:val="single" w:sz="8" w:color="0000EE"/>
            </w:tcBorders>
            <w:gridSpan w:val="31"/>
          </w:tcPr>
          <w:p>
            <w:pPr>
              <w:spacing w:after="0" w:line="196" w:lineRule="exact"/>
              <w:rPr>
                <w:rFonts w:ascii="Arial" w:cs="Arial" w:eastAsia="Arial" w:hAnsi="Arial"/>
                <w:sz w:val="18"/>
                <w:szCs w:val="18"/>
                <w:color w:val="0000EE"/>
                <w:w w:val="96"/>
              </w:rPr>
            </w:pPr>
            <w:hyperlink w:anchor="page24">
              <w:r>
                <w:rPr>
                  <w:rFonts w:ascii="Arial" w:cs="Arial" w:eastAsia="Arial" w:hAnsi="Arial"/>
                  <w:sz w:val="18"/>
                  <w:szCs w:val="18"/>
                  <w:color w:val="0000EE"/>
                  <w:w w:val="96"/>
                </w:rPr>
                <w:t>162(M) OF THE INTERNAL REVENUE CODE</w:t>
              </w:r>
            </w:hyperlink>
          </w:p>
        </w:tc>
        <w:tc>
          <w:tcPr>
            <w:tcW w:w="7000" w:type="dxa"/>
            <w:vAlign w:val="bottom"/>
            <w:gridSpan w:val="10"/>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304"/>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80" w:type="dxa"/>
            <w:vAlign w:val="bottom"/>
            <w:tcBorders>
              <w:bottom w:val="single" w:sz="8" w:color="0000EE"/>
            </w:tcBorders>
            <w:gridSpan w:val="27"/>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Summary of the 2008 Equity Incentive Plan</w:t>
              </w:r>
            </w:hyperlink>
          </w:p>
        </w:tc>
        <w:tc>
          <w:tcPr>
            <w:tcW w:w="7240" w:type="dxa"/>
            <w:vAlign w:val="bottom"/>
            <w:gridSpan w:val="13"/>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20" w:type="dxa"/>
            <w:vAlign w:val="bottom"/>
            <w:gridSpan w:val="4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U.S. Federal Income Tax Consequences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36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540" w:type="dxa"/>
            <w:vAlign w:val="bottom"/>
            <w:gridSpan w:val="24"/>
            <w:shd w:val="clear" w:color="auto" w:fill="0000EE"/>
          </w:tcPr>
          <w:p>
            <w:pPr>
              <w:spacing w:after="0" w:line="20" w:lineRule="exact"/>
              <w:rPr>
                <w:sz w:val="1"/>
                <w:szCs w:val="1"/>
                <w:color w:val="auto"/>
              </w:rPr>
            </w:pPr>
          </w:p>
        </w:tc>
        <w:tc>
          <w:tcPr>
            <w:tcW w:w="2880" w:type="dxa"/>
            <w:vAlign w:val="bottom"/>
            <w:gridSpan w:val="1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10140" w:type="dxa"/>
            <w:vAlign w:val="bottom"/>
            <w:tcBorders>
              <w:bottom w:val="single" w:sz="8" w:color="0000EE"/>
            </w:tcBorders>
            <w:gridSpan w:val="40"/>
          </w:tcPr>
          <w:p>
            <w:pPr>
              <w:spacing w:after="0"/>
              <w:rPr>
                <w:rFonts w:ascii="Arial" w:cs="Arial" w:eastAsia="Arial" w:hAnsi="Arial"/>
                <w:sz w:val="18"/>
                <w:szCs w:val="18"/>
                <w:color w:val="0000EE"/>
                <w:w w:val="95"/>
              </w:rPr>
            </w:pPr>
            <w:hyperlink w:anchor="page31">
              <w:r>
                <w:rPr>
                  <w:rFonts w:ascii="Arial" w:cs="Arial" w:eastAsia="Arial" w:hAnsi="Arial"/>
                  <w:sz w:val="18"/>
                  <w:szCs w:val="18"/>
                  <w:color w:val="0000EE"/>
                  <w:w w:val="95"/>
                </w:rPr>
                <w:t>PROPOSAL NO. 4 APPROVAL OF AN AMENDMENT TO OUR AMENDED AND RESTATED CERTIFICATE OF INCORPORATION</w:t>
              </w:r>
            </w:hyperlink>
          </w:p>
        </w:tc>
        <w:tc>
          <w:tcPr>
            <w:tcW w:w="640" w:type="dxa"/>
            <w:vAlign w:val="bottom"/>
            <w:gridSpan w:val="2"/>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8040" w:type="dxa"/>
            <w:vAlign w:val="bottom"/>
            <w:tcBorders>
              <w:bottom w:val="single" w:sz="8" w:color="0000EE"/>
            </w:tcBorders>
            <w:gridSpan w:val="39"/>
          </w:tcPr>
          <w:p>
            <w:pPr>
              <w:spacing w:after="0"/>
              <w:rPr>
                <w:rFonts w:ascii="Arial" w:cs="Arial" w:eastAsia="Arial" w:hAnsi="Arial"/>
                <w:sz w:val="18"/>
                <w:szCs w:val="18"/>
                <w:color w:val="0000EE"/>
                <w:w w:val="95"/>
              </w:rPr>
            </w:pPr>
            <w:hyperlink w:anchor="page32">
              <w:r>
                <w:rPr>
                  <w:rFonts w:ascii="Arial" w:cs="Arial" w:eastAsia="Arial" w:hAnsi="Arial"/>
                  <w:sz w:val="18"/>
                  <w:szCs w:val="18"/>
                  <w:color w:val="0000EE"/>
                  <w:w w:val="95"/>
                </w:rPr>
                <w:t>PROPOSAL NO. 5 ADVISORY VOTE TO APPROVE NAMED EXECUTIVE OFFICER COMPENSATION</w:t>
              </w:r>
            </w:hyperlink>
          </w:p>
        </w:tc>
        <w:tc>
          <w:tcPr>
            <w:tcW w:w="2740" w:type="dxa"/>
            <w:vAlign w:val="bottom"/>
            <w:gridSpan w:val="3"/>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7800" w:type="dxa"/>
            <w:vAlign w:val="bottom"/>
            <w:tcBorders>
              <w:bottom w:val="single" w:sz="8" w:color="0000EE"/>
            </w:tcBorders>
            <w:gridSpan w:val="38"/>
          </w:tcPr>
          <w:p>
            <w:pPr>
              <w:spacing w:after="0"/>
              <w:rPr>
                <w:rFonts w:ascii="Arial" w:cs="Arial" w:eastAsia="Arial" w:hAnsi="Arial"/>
                <w:sz w:val="18"/>
                <w:szCs w:val="18"/>
                <w:color w:val="0000EE"/>
                <w:w w:val="95"/>
              </w:rPr>
            </w:pPr>
            <w:hyperlink w:anchor="page33">
              <w:r>
                <w:rPr>
                  <w:rFonts w:ascii="Arial" w:cs="Arial" w:eastAsia="Arial" w:hAnsi="Arial"/>
                  <w:sz w:val="18"/>
                  <w:szCs w:val="18"/>
                  <w:color w:val="0000EE"/>
                  <w:w w:val="95"/>
                </w:rPr>
                <w:t>PROPOSAL NO. 6 RATIFICATION OF INDEPENDENT REGISTERED PUBLIC ACCOUNTING FIRM</w:t>
              </w:r>
            </w:hyperlink>
          </w:p>
        </w:tc>
        <w:tc>
          <w:tcPr>
            <w:tcW w:w="2980" w:type="dxa"/>
            <w:vAlign w:val="bottom"/>
            <w:gridSpan w:val="4"/>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Borders>
              <w:bottom w:val="single" w:sz="8" w:color="0000EE"/>
            </w:tcBorders>
          </w:tcPr>
          <w:p>
            <w:pPr>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Fees</w:t>
              </w:r>
            </w:hyperlink>
          </w:p>
        </w:tc>
        <w:tc>
          <w:tcPr>
            <w:tcW w:w="10080" w:type="dxa"/>
            <w:vAlign w:val="bottom"/>
            <w:gridSpan w:val="39"/>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760" w:type="dxa"/>
            <w:vAlign w:val="bottom"/>
            <w:tcBorders>
              <w:bottom w:val="single" w:sz="8" w:color="0000EE"/>
            </w:tcBorders>
            <w:gridSpan w:val="35"/>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Approval of Independent Registered Public Accounting Firm Services and Fees</w:t>
              </w:r>
            </w:hyperlink>
          </w:p>
        </w:tc>
        <w:tc>
          <w:tcPr>
            <w:tcW w:w="4660" w:type="dxa"/>
            <w:vAlign w:val="bottom"/>
            <w:gridSpan w:val="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bl>
    <w:p>
      <w:pPr>
        <w:jc w:val="right"/>
        <w:spacing w:after="0" w:line="196" w:lineRule="exact"/>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Table of Contents</w:t>
              </w:r>
            </w:hyperlink>
          </w:p>
        </w:tc>
        <w:tc>
          <w:tcPr>
            <w:tcW w:w="9340" w:type="dxa"/>
            <w:vAlign w:val="bottom"/>
            <w:gridSpan w:val="17"/>
          </w:tcPr>
          <w:p>
            <w:pPr>
              <w:spacing w:after="0"/>
              <w:rPr>
                <w:sz w:val="17"/>
                <w:szCs w:val="17"/>
                <w:color w:val="auto"/>
              </w:rPr>
            </w:pPr>
          </w:p>
        </w:tc>
        <w:tc>
          <w:tcPr>
            <w:tcW w:w="620" w:type="dxa"/>
            <w:vAlign w:val="bottom"/>
          </w:tcPr>
          <w:p>
            <w:pPr>
              <w:spacing w:after="0"/>
              <w:rPr>
                <w:sz w:val="17"/>
                <w:szCs w:val="17"/>
                <w:color w:val="auto"/>
              </w:rPr>
            </w:pPr>
          </w:p>
        </w:tc>
      </w:tr>
      <w:tr>
        <w:trPr>
          <w:trHeight w:val="493"/>
        </w:trPr>
        <w:tc>
          <w:tcPr>
            <w:tcW w:w="1070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AUDIT COMMITTEE REPORT</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2400" w:type="dxa"/>
            <w:vAlign w:val="bottom"/>
            <w:tcBorders>
              <w:top w:val="single" w:sz="8" w:color="0000EE"/>
            </w:tcBorders>
            <w:gridSpan w:val="5"/>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EXECUTIVE OFFICERS</w:t>
              </w:r>
            </w:hyperlink>
          </w:p>
        </w:tc>
        <w:tc>
          <w:tcPr>
            <w:tcW w:w="8300" w:type="dxa"/>
            <w:vAlign w:val="bottom"/>
            <w:gridSpan w:val="15"/>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4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04"/>
        </w:trPr>
        <w:tc>
          <w:tcPr>
            <w:tcW w:w="246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36">
              <w:r>
                <w:rPr>
                  <w:rFonts w:ascii="Arial" w:cs="Arial" w:eastAsia="Arial" w:hAnsi="Arial"/>
                  <w:sz w:val="18"/>
                  <w:szCs w:val="18"/>
                  <w:color w:val="0000EE"/>
                  <w:w w:val="96"/>
                </w:rPr>
                <w:t>EXECUTIVE COMPENSATION</w:t>
              </w:r>
            </w:hyperlink>
          </w:p>
        </w:tc>
        <w:tc>
          <w:tcPr>
            <w:tcW w:w="8240" w:type="dxa"/>
            <w:vAlign w:val="bottom"/>
            <w:gridSpan w:val="13"/>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340" w:type="dxa"/>
            <w:vAlign w:val="bottom"/>
            <w:gridSpan w:val="1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Compensation Discussion and Analysis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40" w:type="dxa"/>
            <w:vAlign w:val="bottom"/>
            <w:gridSpan w:val="18"/>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Compensation of Named Executive Officers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50">
              <w:r>
                <w:rPr>
                  <w:rFonts w:ascii="Arial" w:cs="Arial" w:eastAsia="Arial" w:hAnsi="Arial"/>
                  <w:sz w:val="18"/>
                  <w:szCs w:val="18"/>
                  <w:color w:val="0000EE"/>
                  <w:w w:val="91"/>
                </w:rPr>
                <w:t>Executive Employment Agreements</w:t>
              </w:r>
            </w:hyperlink>
          </w:p>
        </w:tc>
        <w:tc>
          <w:tcPr>
            <w:tcW w:w="580" w:type="dxa"/>
            <w:vAlign w:val="bottom"/>
            <w:tcBorders>
              <w:top w:val="single" w:sz="8" w:color="0000EE"/>
            </w:tcBorders>
            <w:gridSpan w:val="3"/>
          </w:tcPr>
          <w:p>
            <w:pPr>
              <w:spacing w:after="0"/>
              <w:rPr>
                <w:sz w:val="17"/>
                <w:szCs w:val="17"/>
                <w:color w:val="auto"/>
              </w:rPr>
            </w:pPr>
          </w:p>
        </w:tc>
        <w:tc>
          <w:tcPr>
            <w:tcW w:w="7140" w:type="dxa"/>
            <w:vAlign w:val="bottom"/>
            <w:gridSpan w:val="7"/>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Potential Payments upon Termination or Change in Control</w:t>
              </w:r>
            </w:hyperlink>
          </w:p>
        </w:tc>
        <w:tc>
          <w:tcPr>
            <w:tcW w:w="6040" w:type="dxa"/>
            <w:vAlign w:val="bottom"/>
            <w:gridSpan w:val="4"/>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340" w:type="dxa"/>
            <w:vAlign w:val="bottom"/>
            <w:gridSpan w:val="18"/>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Compensation Committee Report</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04"/>
        </w:trPr>
        <w:tc>
          <w:tcPr>
            <w:tcW w:w="394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54">
              <w:r>
                <w:rPr>
                  <w:rFonts w:ascii="Arial" w:cs="Arial" w:eastAsia="Arial" w:hAnsi="Arial"/>
                  <w:sz w:val="18"/>
                  <w:szCs w:val="18"/>
                  <w:color w:val="0000EE"/>
                  <w:w w:val="96"/>
                </w:rPr>
                <w:t>BENEFICIAL OWNERSHIP OF COMMON STOCK</w:t>
              </w:r>
            </w:hyperlink>
          </w:p>
        </w:tc>
        <w:tc>
          <w:tcPr>
            <w:tcW w:w="6760" w:type="dxa"/>
            <w:vAlign w:val="bottom"/>
            <w:gridSpan w:val="6"/>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4880" w:type="dxa"/>
            <w:vAlign w:val="bottom"/>
            <w:tcBorders>
              <w:bottom w:val="single" w:sz="8" w:color="0000EE"/>
            </w:tcBorders>
            <w:gridSpan w:val="17"/>
          </w:tcPr>
          <w:p>
            <w:pPr>
              <w:spacing w:after="0"/>
              <w:rPr>
                <w:rFonts w:ascii="Arial" w:cs="Arial" w:eastAsia="Arial" w:hAnsi="Arial"/>
                <w:sz w:val="18"/>
                <w:szCs w:val="18"/>
                <w:color w:val="0000EE"/>
                <w:w w:val="96"/>
              </w:rPr>
            </w:pPr>
            <w:hyperlink w:anchor="page55">
              <w:r>
                <w:rPr>
                  <w:rFonts w:ascii="Arial" w:cs="Arial" w:eastAsia="Arial" w:hAnsi="Arial"/>
                  <w:sz w:val="18"/>
                  <w:szCs w:val="18"/>
                  <w:color w:val="0000EE"/>
                  <w:w w:val="96"/>
                </w:rPr>
                <w:t>CERTAIN RELATIONSHIPS AND RELATED TRANSACTIONS</w:t>
              </w:r>
            </w:hyperlink>
          </w:p>
        </w:tc>
        <w:tc>
          <w:tcPr>
            <w:tcW w:w="5820" w:type="dxa"/>
            <w:vAlign w:val="bottom"/>
            <w:gridSpan w:val="3"/>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04"/>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340" w:type="dxa"/>
            <w:vAlign w:val="bottom"/>
            <w:gridSpan w:val="18"/>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Policies and Procedures for Related Party Transactions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Certain Transactions</w:t>
              </w:r>
            </w:hyperlink>
          </w:p>
        </w:tc>
        <w:tc>
          <w:tcPr>
            <w:tcW w:w="2420" w:type="dxa"/>
            <w:vAlign w:val="bottom"/>
            <w:tcBorders>
              <w:top w:val="single" w:sz="8" w:color="0000EE"/>
            </w:tcBorders>
            <w:gridSpan w:val="11"/>
          </w:tcPr>
          <w:p>
            <w:pPr>
              <w:spacing w:after="0"/>
              <w:rPr>
                <w:sz w:val="17"/>
                <w:szCs w:val="17"/>
                <w:color w:val="auto"/>
              </w:rPr>
            </w:pPr>
          </w:p>
        </w:tc>
        <w:tc>
          <w:tcPr>
            <w:tcW w:w="6380" w:type="dxa"/>
            <w:vAlign w:val="bottom"/>
            <w:gridSpan w:val="5"/>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304"/>
        </w:trPr>
        <w:tc>
          <w:tcPr>
            <w:tcW w:w="10700" w:type="dxa"/>
            <w:vAlign w:val="bottom"/>
            <w:gridSpan w:val="20"/>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SECTION 16(a) BENEFICIAL OWNERSHIP REPORTING COMPLIANCE</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04"/>
        </w:trPr>
        <w:tc>
          <w:tcPr>
            <w:tcW w:w="34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6"/>
              </w:rPr>
            </w:pPr>
            <w:hyperlink w:anchor="page56">
              <w:r>
                <w:rPr>
                  <w:rFonts w:ascii="Arial" w:cs="Arial" w:eastAsia="Arial" w:hAnsi="Arial"/>
                  <w:sz w:val="18"/>
                  <w:szCs w:val="18"/>
                  <w:color w:val="0000EE"/>
                  <w:w w:val="96"/>
                </w:rPr>
                <w:t>HOUSEHOLDING OF PROXY MATERIALS</w:t>
              </w:r>
            </w:hyperlink>
          </w:p>
        </w:tc>
        <w:tc>
          <w:tcPr>
            <w:tcW w:w="2220" w:type="dxa"/>
            <w:vAlign w:val="bottom"/>
            <w:tcBorders>
              <w:top w:val="single" w:sz="8" w:color="0000EE"/>
            </w:tcBorders>
            <w:gridSpan w:val="6"/>
          </w:tcPr>
          <w:p>
            <w:pPr>
              <w:spacing w:after="0"/>
              <w:rPr>
                <w:sz w:val="24"/>
                <w:szCs w:val="24"/>
                <w:color w:val="auto"/>
              </w:rPr>
            </w:pPr>
          </w:p>
        </w:tc>
        <w:tc>
          <w:tcPr>
            <w:tcW w:w="5060" w:type="dxa"/>
            <w:vAlign w:val="bottom"/>
            <w:gridSpan w:val="2"/>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04"/>
        </w:trPr>
        <w:tc>
          <w:tcPr>
            <w:tcW w:w="2420" w:type="dxa"/>
            <w:vAlign w:val="bottom"/>
            <w:tcBorders>
              <w:bottom w:val="single" w:sz="8" w:color="0000EE"/>
            </w:tcBorders>
            <w:gridSpan w:val="6"/>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ADDITIONAL INFORMATION</w:t>
              </w:r>
            </w:hyperlink>
          </w:p>
        </w:tc>
        <w:tc>
          <w:tcPr>
            <w:tcW w:w="8280" w:type="dxa"/>
            <w:vAlign w:val="bottom"/>
            <w:gridSpan w:val="14"/>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04"/>
        </w:trPr>
        <w:tc>
          <w:tcPr>
            <w:tcW w:w="10700" w:type="dxa"/>
            <w:vAlign w:val="bottom"/>
            <w:gridSpan w:val="20"/>
          </w:tcPr>
          <w:p>
            <w:pPr>
              <w:spacing w:after="0"/>
              <w:rPr>
                <w:rFonts w:ascii="Arial" w:cs="Arial" w:eastAsia="Arial" w:hAnsi="Arial"/>
                <w:sz w:val="18"/>
                <w:szCs w:val="18"/>
                <w:color w:val="0000EE"/>
                <w:w w:val="99"/>
              </w:rPr>
            </w:pPr>
            <w:hyperlink w:anchor="page57">
              <w:r>
                <w:rPr>
                  <w:rFonts w:ascii="Arial" w:cs="Arial" w:eastAsia="Arial" w:hAnsi="Arial"/>
                  <w:sz w:val="18"/>
                  <w:szCs w:val="18"/>
                  <w:color w:val="0000EE"/>
                  <w:w w:val="99"/>
                </w:rPr>
                <w:t>APPENDIX A – CERTIFICATE OF AMENDMENT OF AMENDED AND RESTATED CERTIFICATE OF INCORPORATION OF GRAND</w:t>
              </w:r>
            </w:hyperlink>
          </w:p>
        </w:tc>
        <w:tc>
          <w:tcPr>
            <w:tcW w:w="620" w:type="dxa"/>
            <w:vAlign w:val="bottom"/>
          </w:tcPr>
          <w:p>
            <w:pPr>
              <w:spacing w:after="0"/>
              <w:rPr>
                <w:sz w:val="24"/>
                <w:szCs w:val="24"/>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23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7"/>
              </w:rPr>
            </w:pPr>
            <w:hyperlink w:anchor="page57">
              <w:r>
                <w:rPr>
                  <w:rFonts w:ascii="Arial" w:cs="Arial" w:eastAsia="Arial" w:hAnsi="Arial"/>
                  <w:sz w:val="18"/>
                  <w:szCs w:val="18"/>
                  <w:color w:val="0000EE"/>
                  <w:w w:val="97"/>
                </w:rPr>
                <w:t>CANYON EDUCATION, INC.</w:t>
              </w:r>
            </w:hyperlink>
          </w:p>
        </w:tc>
        <w:tc>
          <w:tcPr>
            <w:tcW w:w="7860" w:type="dxa"/>
            <w:vAlign w:val="bottom"/>
            <w:tcBorders>
              <w:top w:val="single" w:sz="8" w:color="0000EE"/>
            </w:tcBorders>
            <w:gridSpan w:val="11"/>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r>
    </w:tbl>
    <w:p>
      <w:pPr>
        <w:jc w:val="right"/>
        <w:spacing w:after="0" w:line="196" w:lineRule="exact"/>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3300 West Camelback Road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Phoenix, Arizona 85017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enclosed proxy is being solicited by our Board of Directors for use in connection with the Annual Meeting to be held on Thursday, June 16, 2016, at Grand Canyon University Arena on the campus of Grand Canyon University at 3300 W. Camelback Road, Phoenix, Arizona 85017, commencing at 10:00 a.m., local time, and at any adjournment or postponement thereof.</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Internet Availability</w:t>
      </w:r>
    </w:p>
    <w:p>
      <w:pPr>
        <w:spacing w:after="0" w:line="12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 xml:space="preserve">In accordance with the electronic delivery rules adopted by the Securities and Exchange Commission (“SEC”), the Company is permitted to furnish proxy materials to its stockholders on the Internet, in lieu of mailing a printed copy of proxy materials to each stockholder of record. You will not receive a printed copy of proxy materials unless you request a printed copy. The Notice, which was made available to our stockholders on or about May 4, 2016, instructs you as to how you may access and review on the Internet all of the important information contained in the proxy materials. The Notice also instructs you as to how you may vote your proxy. If you received a Notice by mail and would like to receive a printed copy of the Company’s proxy materials and annual report, you must follow the instructions for requesting such materials included in the Notice. Alternatively, you may download or print these materials, or any portion thereof, from any computer with Internet access and a printer. The Company believes this process provides its stockholders the information they need in a more timely manner, while reducing the environmental impact and lowering the costs of printing and delivering the proxy materials. To access the Company’s proxy statement and annual report electronically, please visit </w:t>
      </w:r>
      <w:r>
        <w:rPr>
          <w:rFonts w:ascii="Arial" w:cs="Arial" w:eastAsia="Arial" w:hAnsi="Arial"/>
          <w:sz w:val="17"/>
          <w:szCs w:val="17"/>
          <w:b w:val="1"/>
          <w:bCs w:val="1"/>
          <w:color w:val="auto"/>
        </w:rPr>
        <w:t>www.edocumentview.com/LOPE</w:t>
      </w:r>
      <w:r>
        <w:rPr>
          <w:rFonts w:ascii="Arial" w:cs="Arial" w:eastAsia="Arial" w:hAnsi="Arial"/>
          <w:sz w:val="17"/>
          <w:szCs w:val="17"/>
          <w:color w:val="auto"/>
        </w:rPr>
        <w:t xml:space="preserve"> or the Company’s Investor Relations website at </w:t>
      </w:r>
      <w:r>
        <w:rPr>
          <w:rFonts w:ascii="Arial" w:cs="Arial" w:eastAsia="Arial" w:hAnsi="Arial"/>
          <w:sz w:val="17"/>
          <w:szCs w:val="17"/>
          <w:u w:val="single" w:color="auto"/>
          <w:color w:val="auto"/>
        </w:rPr>
        <w:t>www.gcu.edu</w:t>
      </w:r>
      <w:r>
        <w:rPr>
          <w:rFonts w:ascii="Arial" w:cs="Arial" w:eastAsia="Arial" w:hAnsi="Arial"/>
          <w:sz w:val="17"/>
          <w:szCs w:val="17"/>
          <w:color w:val="auto"/>
        </w:rPr>
        <w: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and Quorum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Only stockholders of record at the close of business on April 22, 2016, will be entitled to notice of and to vote at the Annual Meeting and any</w:t>
      </w:r>
    </w:p>
    <w:p>
      <w:pPr>
        <w:spacing w:after="0" w:line="35"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adjournment or postponement thereof. At the close of business on the record date, we had approximately shares of our common stock outstanding and entitled to vote, with each such outstanding share entitled to one vote per share on each matter to be voted upon by stockholders. A majority of the shares outstanding on the record date, present in person or represented by proxy, will constitute a quorum for the transaction of business at the meeting.</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Submission of Proxies; Revocation</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All valid proxies received prior to the Annual Meeting will be exercised. All shares represented by a proxy will be voted, and where a proxy specifies a stockholder’s choice with respect to any matter to be acted upon, the shares will be voted in accordance with that specification. If no choice is indicated on the proxy, the shares will be voted in favor of the proposal. You may revoke your proxy at any time before it is exercised by submitting to our Secretary a written notice of revocation, submitting a properly executed proxy bearing a later date, voting by telephone or via the Internet at a later time (if initially able to vote in that manner) so long as such vote or voting direction is received by the applicable date and time set forth above for stockholders of record, or by attending the Annual Meeting and voting in person. If you hold your shares through a bank, broker, trustee or nominee and you have instructed the bank, broker, trustee or nominee to vote your shares, you must follow the directions received from your bank, broker, trustee or nominee to change those instructions.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Deadlines for Stockholder Proposals</w:t>
      </w:r>
    </w:p>
    <w:p>
      <w:pPr>
        <w:spacing w:after="0" w:line="121"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Stockholder proposals may be included in our proxy materials for an annual meeting so long as they are provided to us on a timely basis and satisfy certain other conditions established by the Securities and Exchange Commission (the “SEC”), including specifically under Rule 14a-8 of the Securities Exchange Act of 1934, as amended (the “Exchange Act”). To be timely, a proposal to be included in our proxy statement must be received at our principal executive offices, addressed to our Secretary, not less than 120 calendar days before the first anniversary of the date that our proxy statement was released to stockholders in connection with the previous year’s annual meeting. Accordingly, for a stockholder proposal to be included in our proxy materials for our 2017 Annual Meeting of Stockholders, the proposal must be received at our principal executive offices, addressed to our Secretary, not later than the close of business on January 4, 2017. Subject to certain exceptions, stockholder business that is not intended for inclusion in our proxy materials may be brought before an annual meeting so long as we receive notice of the proposal as specified by, and subject to the conditions set forth in, our bylaws, addressed to our Secretary at our principal executive offices, not earlier than the close of business on the 120th day, nor later than the close of business on the 90th day, prior to the first anniversary of the date of the preceding year’s annual meeting. For our 2017 Annual Meeting of Stockholders, proper notice of business that is not intended for inclusion in our proxy statement must be received not earlier than the close of business on February 16, 2017, nor later than the close of business on March 18, 2017.</w:t>
      </w:r>
    </w:p>
    <w:p>
      <w:pPr>
        <w:spacing w:after="0" w:line="18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A stockholder’s notice to our Secretary must set forth as to each matter the stockholder proposes to bring before the meeting (i) a brief description of the business desired to be brought before the meeting and the text of the proposal or business, including the text of any resolutions proposed for consideration and, in the event that such business includes a proposal to amend the Company’s bylaws, the language of the proposed amendment, (ii) the name and address, as they appear on the Company’s books, of the stockholder proposing such business and the names and addresses of the beneficial owners, if any, on whose behalf the business is being brought, (iii) a representation that the stockholder is a holder of record of stock of the Company entitled to vote at the meeting on the date of such notice and intends to appear in person or by proxy at the meeting to propose the business specified in the notice, (iv) any material interest of the stockholder and any such other beneficial owner in such business, and (v) the following information regarding the ownership interests of the stockholder or any such other beneficial owner, which shall be supplemented in writing by the stockholder not later than ten (10) days after the record date for voting at the meeting to disclose such interests as of such record date: (A) the class and number of shares of the Company that are owned beneficially and of record by the stockholder and any such other beneficial owner</w:t>
      </w:r>
      <w:r>
        <w:rPr>
          <w:rFonts w:ascii="Arial" w:cs="Arial" w:eastAsia="Arial" w:hAnsi="Arial"/>
          <w:sz w:val="16"/>
          <w:szCs w:val="16"/>
          <w:b w:val="1"/>
          <w:bCs w:val="1"/>
          <w:color w:val="auto"/>
        </w:rPr>
        <w:t>;</w:t>
      </w:r>
      <w:r>
        <w:rPr>
          <w:rFonts w:ascii="Arial" w:cs="Arial" w:eastAsia="Arial" w:hAnsi="Arial"/>
          <w:sz w:val="16"/>
          <w:szCs w:val="16"/>
          <w:color w:val="auto"/>
        </w:rPr>
        <w:t xml:space="preserve"> (B) any “derivative instrument” (which is defined as any option, warrant, convertible security, stock appreciation right, or similar right with an exercise or conversion privilege or a settlement payment or mechanism at a price related to any class or series of shares of the Company or with a value derived in whole or in part from the value of any class or series of shares of the Company, whether or not such instrument or right shall be subject to settlement in the underlying class or series of capital stock of the Company or otherwise directly or indirectly owned beneficially by such stockholder and any other direct or indirect opportunity to profit or share in any profit derived from any increase or decrease in the value of shares of the Company); (C) any proxy, contract, arrangement, understanding, or relationship pursuant to which such stockholder has a right to vote any shares of any security of the Company; (D) any short interest in any security of the Company (meaning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(E) any rights to dividends on the shares of the Company owned beneficially by such stockholder that are separated or separable from the underlying shares of the Company; (F) any proportionate interest in shares of the Company or derivative instruments held, directly or indirectly, by a general or limited partnership in which such stockholder is a general partner or, directly or indirectly, beneficially owns an interest in a general partner; and (G) any performance-related fees (other than an asset-based fee) to which such stockholder is entitled based on any increase or decrease in the value of shares of the Company or derivative instruments, if any, as of the date of such notice, including, without limitation, any such interests held by members of such stockholder’s immediate family sharing the same household.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The presence at the Annual Meeting, in person or by proxy, of the holders of a majority of the shares of common stock outstanding on the record date will constitute a quorum for the transaction of business at the meeting. Abstentions and broker non-votes are included in determining whether a quorum is present. Abstentions include shares present in person but not voting and shares represented by proxy but with respect to which the holder has</w:t>
      </w:r>
    </w:p>
    <w:p>
      <w:pPr>
        <w:ind w:right="60"/>
        <w:spacing w:after="0" w:line="261" w:lineRule="auto"/>
        <w:rPr>
          <w:sz w:val="20"/>
          <w:szCs w:val="20"/>
          <w:color w:val="auto"/>
        </w:rPr>
      </w:pPr>
      <w:r>
        <w:rPr>
          <w:rFonts w:ascii="Arial" w:cs="Arial" w:eastAsia="Arial" w:hAnsi="Arial"/>
          <w:sz w:val="18"/>
          <w:szCs w:val="18"/>
          <w:color w:val="auto"/>
        </w:rPr>
        <w:t>abstained. Broker non-votes occur when a nominee holding shares for a beneficial owner does not vote on a particular proposal because the nominee does not have discretionary voting power on that item and has not received instructions from the beneficial owner.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 xml:space="preserve">If you hold your shares in “street name,” and you do not give your bank, broker or other holder of record specific voting instructions for your shares, your record holder can vote your shares on routine matters, which include the approval of the amendment to the Amended and Restated Certificate of Incorporation and the ratification of our independent public accountants. However, your record holder cannot vote your shares without your specific instructions on the election of directors or on matters related to executive compensation, including the advisory vote described below on the compensation of our named executive officers. If you hold your shares in “street name,” please refer to the information forwarded by your bank, broker or other holder of record for procedures on revoking or changing your proxy. In the absence of instructions, shares subject to such broker non-votes will not be counted as voted or as present or represented on any of the proposals offered at the Annual Meeting other than ratification of our auditors and so will have no effect on the vote. </w:t>
      </w:r>
      <w:r>
        <w:rPr>
          <w:rFonts w:ascii="Arial" w:cs="Arial" w:eastAsia="Arial" w:hAnsi="Arial"/>
          <w:sz w:val="17"/>
          <w:szCs w:val="17"/>
          <w:b w:val="1"/>
          <w:bCs w:val="1"/>
          <w:color w:val="auto"/>
        </w:rPr>
        <w:t>We encourage you to provide instructions to your broker regarding the voting of your shares.</w:t>
      </w:r>
      <w:r>
        <w:rPr>
          <w:rFonts w:ascii="Arial" w:cs="Arial" w:eastAsia="Arial" w:hAnsi="Arial"/>
          <w:sz w:val="17"/>
          <w:szCs w:val="17"/>
          <w:color w:val="auto"/>
        </w:rPr>
        <w:t xml:space="preserve"> Our stockholders have no dissenter’s or appraisal rights in connection with any of the proposals described herein.</w:t>
      </w:r>
    </w:p>
    <w:p>
      <w:pPr>
        <w:spacing w:after="0" w:line="182"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i w:val="1"/>
          <w:iCs w:val="1"/>
          <w:color w:val="auto"/>
        </w:rPr>
        <w:t>Election of Directors</w:t>
      </w:r>
      <w:r>
        <w:rPr>
          <w:rFonts w:ascii="Arial" w:cs="Arial" w:eastAsia="Arial" w:hAnsi="Arial"/>
          <w:sz w:val="16"/>
          <w:szCs w:val="16"/>
          <w:color w:val="auto"/>
        </w:rPr>
        <w:t>. The affirmative vote of a majority of the votes cast with respect to a nominee is required for the election to the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of each of the nominees for director. For this purpose, “a majority of the votes cast” means that the number of shares voted “for” a nominee exceeds the number of votes cast “against” that nominee. Stockholders do not have the right to cumulate their votes in the election of directors. Abstentions and broker non-votes will have no effect on the outcome of the election because abstentions and broker non-votes are not considered to be votes cast.</w:t>
      </w:r>
    </w:p>
    <w:p>
      <w:pPr>
        <w:spacing w:after="0" w:line="154"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i w:val="1"/>
          <w:iCs w:val="1"/>
          <w:color w:val="auto"/>
        </w:rPr>
        <w:t xml:space="preserve">Approve the provisions of our Annual Cash Incentive Plan setting forth the material terms of the performance goals in accordance with Internal Revenue Code Section 162(m). </w:t>
      </w:r>
      <w:r>
        <w:rPr>
          <w:rFonts w:ascii="Arial" w:cs="Arial" w:eastAsia="Arial" w:hAnsi="Arial"/>
          <w:sz w:val="18"/>
          <w:szCs w:val="18"/>
          <w:color w:val="auto"/>
        </w:rPr>
        <w:t>Approval of the award limitations within our Annual Cash Incentive Plan requires the affirmative vote of the majority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present in person or represented by proxy at the Annual Meeting and entitled to vote. Broker non-votes will have no effect on the outcome of this proposal, while abstentions will have the effect of a vote against this proposal.</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Approve the provisions of our 2008 Equity Incentive Plan setting forth the material terms of the performance goals in accordance with Internal Revenue Code Section 162(m). </w:t>
      </w:r>
      <w:r>
        <w:rPr>
          <w:rFonts w:ascii="Arial" w:cs="Arial" w:eastAsia="Arial" w:hAnsi="Arial"/>
          <w:sz w:val="18"/>
          <w:szCs w:val="18"/>
          <w:color w:val="auto"/>
        </w:rPr>
        <w:t>Approval of the grant limitations within our 2008 Equity Incentive Plan requires the affirmative vote of the majority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in person or represented by proxy at the Annual Meeting and entitled to vote. Broker non-votes will have no effect on the outcome of this proposal, while abstentions will have the effect of a vote against this proposal.</w:t>
      </w:r>
    </w:p>
    <w:p>
      <w:pPr>
        <w:spacing w:after="0" w:line="18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i w:val="1"/>
          <w:iCs w:val="1"/>
          <w:color w:val="auto"/>
        </w:rPr>
        <w:t xml:space="preserve">Approve the amendment to our Amended and Restated Certificate of Incorporation. </w:t>
      </w:r>
      <w:r>
        <w:rPr>
          <w:rFonts w:ascii="Arial" w:cs="Arial" w:eastAsia="Arial" w:hAnsi="Arial"/>
          <w:sz w:val="18"/>
          <w:szCs w:val="18"/>
          <w:color w:val="auto"/>
        </w:rPr>
        <w:t>Approval of the amendment to our Amended and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 of Incorporation requires the affirmative vote of the majority of shares entitled to vote. Abstentions and broker non-votes will have the effect of a vote against this proposal.</w:t>
      </w:r>
    </w:p>
    <w:p>
      <w:pPr>
        <w:spacing w:after="0" w:line="181"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i w:val="1"/>
          <w:iCs w:val="1"/>
          <w:color w:val="auto"/>
        </w:rPr>
        <w:t xml:space="preserve">Advisory vote on the compensation of our named executive officers. </w:t>
      </w:r>
      <w:r>
        <w:rPr>
          <w:rFonts w:ascii="Arial" w:cs="Arial" w:eastAsia="Arial" w:hAnsi="Arial"/>
          <w:sz w:val="17"/>
          <w:szCs w:val="17"/>
          <w:color w:val="auto"/>
        </w:rPr>
        <w:t>Approval, on an advisory basis, of the compensation of our named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requires the affirmative vote of the majority of shares present in person or represented by proxy at the Annual Meeting and entitled to vote. Broker non-votes will have no effect on the outcome of this proposal, while abstentions will have the effect of a vote against this proposal. Although this vote is advisory and is not binding on our Board of Directors, the Board of Directors and the Compensation Committee will consider the voting results, along with other relevant factors, in connection with their ongoing evaluation of our compensation program.</w:t>
      </w:r>
    </w:p>
    <w:p>
      <w:pPr>
        <w:spacing w:after="0" w:line="17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Ratification of the appointment of the Independent Registered Public Accounting Firm. </w:t>
      </w:r>
      <w:r>
        <w:rPr>
          <w:rFonts w:ascii="Arial" w:cs="Arial" w:eastAsia="Arial" w:hAnsi="Arial"/>
          <w:sz w:val="18"/>
          <w:szCs w:val="18"/>
          <w:color w:val="auto"/>
        </w:rPr>
        <w:t>Approval of the proposal to ratify the Audit Committee’s</w:t>
      </w:r>
      <w:r>
        <w:rPr>
          <w:rFonts w:ascii="Arial" w:cs="Arial" w:eastAsia="Arial" w:hAnsi="Arial"/>
          <w:sz w:val="18"/>
          <w:szCs w:val="18"/>
          <w:i w:val="1"/>
          <w:iCs w:val="1"/>
          <w:color w:val="auto"/>
        </w:rPr>
        <w:t xml:space="preserve"> </w:t>
      </w:r>
      <w:r>
        <w:rPr>
          <w:rFonts w:ascii="Arial" w:cs="Arial" w:eastAsia="Arial" w:hAnsi="Arial"/>
          <w:sz w:val="18"/>
          <w:szCs w:val="18"/>
          <w:color w:val="auto"/>
        </w:rPr>
        <w:t>appointment of KPMG LLP as our independent registered public accounting firm for the fiscal year ending December 31, 2016 requires the affirmative vote of the majority of shares present in person or represented by proxy at the Annual Meeting and entitled to vote. Broker non-votes will have no effect on the outcome of this proposal, while abstentions will have the effect of a vote against this proposal.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 or Postponement of Meeting</w:t>
      </w:r>
    </w:p>
    <w:p>
      <w:pPr>
        <w:spacing w:after="0" w:line="12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The Annual Meeting may be adjourned or postponed to any other time and to any other place at which a meeting of stockholders may be held by the chairman of the Annual Meeting or, in the absence of such person, by any officer entitled to preside at or to act as Secretary of the Annual Meeting, or by the holders of a majority of the shares of stock present or represented by proxy at the meeting and entitled to vote, although less than a quorum.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Soliciting Proxies</w:t>
      </w:r>
    </w:p>
    <w:p>
      <w:pPr>
        <w:spacing w:after="0" w:line="121" w:lineRule="exact"/>
        <w:rPr>
          <w:sz w:val="20"/>
          <w:szCs w:val="20"/>
          <w:color w:val="auto"/>
        </w:rPr>
      </w:pPr>
    </w:p>
    <w:p>
      <w:pPr>
        <w:ind w:right="640" w:firstLine="456"/>
        <w:spacing w:after="0" w:line="342" w:lineRule="auto"/>
        <w:rPr>
          <w:sz w:val="20"/>
          <w:szCs w:val="20"/>
          <w:color w:val="auto"/>
        </w:rPr>
      </w:pPr>
      <w:r>
        <w:rPr>
          <w:rFonts w:ascii="Arial" w:cs="Arial" w:eastAsia="Arial" w:hAnsi="Arial"/>
          <w:sz w:val="16"/>
          <w:szCs w:val="16"/>
          <w:color w:val="auto"/>
        </w:rPr>
        <w:t>We will bear the cost of soliciting proxies. In addition to solicitation by the use of mail or via the Internet, certain directors, officers and regular employees may solicit proxies by telephone or personal interview. None of such persons will receive any additional compensation for their services.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Philosophy</w:t>
      </w:r>
    </w:p>
    <w:p>
      <w:pPr>
        <w:spacing w:after="0" w:line="121"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The business affairs of the Company are managed under the direction of the Board of Directors in accordance with the Delaware General Corporation Law, as implemented by the Company’s certificate of incorporation and bylaws. The role of the Board of Directors is to effectively govern the affairs of the Company for the benefit of its stockholders and other constituencies. The Board of Directors strives to ensure the success and continuity of business of the Company through the selection of qualified management. It is also responsible for ensuring that the Company’s activities are conducted in a responsible and ethical manner. The Company is committed to having sound corporate governance principles.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Meetings and Attendance</w:t>
      </w:r>
    </w:p>
    <w:p>
      <w:pPr>
        <w:spacing w:after="0" w:line="121"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During our 2015 fiscal year, our Board of Directors held six meetings and each of our directors attended 100% of such meetings. We do not have a formal policy regarding attendance of our directors at annual meetings of our stockholders, but we do encourage each of our directors to attend. Six of our seven directors attended our 2015 annual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Board of Directors periodically reviews the independence of each director. During these reviews, our Board of Directors considers transactions and relationships between each director (and his or her immediate family and affiliates) and the Company and management to determine whether any such transactions or relationships are inconsistent with a determination that the director was independent. Our Board of Directors has affirmatively determined that each director other than Brent D. Richardson, who served as our Executive Chairman until June 2015 and currently serves as our non-executive Chairman of the Board, and Brian E. Mueller, who serves as our Chief Executive Officer, is “independent,” as defined by the Marketplace Rules of the Nasdaq Stock Market. Under the Marketplace Rules, a director can be independent only if the director does not trigger a categorical bar to independence and our Board of Directors affirmatively determines that the director does not have a relationship which, in the opinion of our Board of Directors, would interfere with the exercise of independent judgment by the director in carrying out the responsibilities of a director.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currently separate the roles of Chief Executive Officer and Chairman of the Board in recognition of the differences between the two roles. The Chief Executive Officer is responsible for setting the strategic direction for the Company and the day to day leadership and performance of the Company, while the Chairman of the Board provides guidance to the Chief Executive Officer and sets the agenda for Board meetings and presides over meetings of the full Board. Currently, the Board believes that Mr. Richardson’s role as Chairman ensures a greater role for the non-management directors in the oversight of the Company and encourages greater participation of the non-management directors in setting agendas and establishing priorities and procedures for the work of the Board. Because Mr. Richardson served as an employee of the Company until June 2015 and is therefore not “independent,” our Board of Directors has appointed the Chairman of our Compensation Committee, Mr. David J. Johnson, as “lead independent director” to preside at executive sessions of “non-management” directors. The Board generally seeks to hold executive sessions twice a year.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Our Board of Directors directs the management of our business affairs, as provided by Delaware law, and conducts its business through meetings of the Board of Directors. Our Board of Directors has established three standing committees: an Audit Committee; a Compensation Committee; and a Nominating and Corporate Governance Committee. Each director attended 100% of the meetings of the Board committees on which such director served. In addition, from time to time, special committees may be established under the direction of the Board of Directors when necessary to address specific issues. The composition of the Board committees complies with the applicable rules of the Nasdaq Stock Market and applicable law. Our Board of Directors has adopted written charters for each of the standing committees, which are available in the Corporate Governance section of the Investor Relations page on our website at </w:t>
      </w:r>
      <w:r>
        <w:rPr>
          <w:rFonts w:ascii="Arial" w:cs="Arial" w:eastAsia="Arial" w:hAnsi="Arial"/>
          <w:sz w:val="18"/>
          <w:szCs w:val="18"/>
          <w:u w:val="single" w:color="auto"/>
          <w:color w:val="auto"/>
        </w:rPr>
        <w:t>www.gcu.edu</w:t>
      </w:r>
      <w:r>
        <w:rPr>
          <w:rFonts w:ascii="Arial" w:cs="Arial" w:eastAsia="Arial" w:hAnsi="Arial"/>
          <w:sz w:val="18"/>
          <w:szCs w:val="18"/>
          <w:i w:val="1"/>
          <w:iCs w:val="1"/>
          <w:color w:val="auto"/>
        </w:rPr>
        <w: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color w:val="auto"/>
        </w:rPr>
        <w:t>Audit Committee</w:t>
      </w:r>
      <w:r>
        <w:rPr>
          <w:rFonts w:ascii="Arial" w:cs="Arial" w:eastAsia="Arial" w:hAnsi="Arial"/>
          <w:sz w:val="18"/>
          <w:szCs w:val="18"/>
          <w:color w:val="auto"/>
        </w:rPr>
        <w:t>. Our Audit Committee consists of Messrs. Jack A. Henry (chair), Kevin F. Warren, and Bradley A. Casper, each of whom our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has determined is “independent,” as defined under and required by the rules of the Nasdaq Stock Market and the federal securities laws. Our Audit Committee met seven times during 2015. Our Audit Committee is directly responsible for, among other things, the appointment, compensation, retention, and oversight of our independent registered public accounting firm. The oversight includes reviewing the plans and results of the audit engagement with the firm, approving any additional professional services provided by the firm and reviewing the independence of the firm. The Audit Committee is also responsible for discussing the effectiveness of the internal controls over financial reporting with the firm and relevant financial management. Our Board of Directors has determined that each of Messrs. Henry, Warren and Casper qualifies as an “audit committee financial expert,” as defined under applicable federal securities laws.</w:t>
      </w:r>
    </w:p>
    <w:p>
      <w:pPr>
        <w:spacing w:after="0" w:line="19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i w:val="1"/>
          <w:iCs w:val="1"/>
          <w:color w:val="auto"/>
        </w:rPr>
        <w:t xml:space="preserve">Compensation Committee. </w:t>
      </w:r>
      <w:r>
        <w:rPr>
          <w:rFonts w:ascii="Arial" w:cs="Arial" w:eastAsia="Arial" w:hAnsi="Arial"/>
          <w:sz w:val="16"/>
          <w:szCs w:val="16"/>
          <w:color w:val="auto"/>
        </w:rPr>
        <w:t>Our Compensation Committee consists of Messrs. David J. Johnson (chair), Jack A. Henry, and Ms. Sara R. Dial,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whom the Board of Directors has determined is “independent,” as defined under and required by the rules of the Nasdaq Stock Market. Our Compensation Committee met five times during 2015. The Compensation Committee is responsible for, among other things, supervising and reviewing our affairs as they relate to the compensation and benefits of our executive officers and directors. In carrying out these responsibilities, the Compensation Committee reviews all components of executive compensation for consistency with our compensation philosophy and with the interests of our stockholders</w:t>
      </w:r>
      <w:r>
        <w:rPr>
          <w:rFonts w:ascii="Arial" w:cs="Arial" w:eastAsia="Arial" w:hAnsi="Arial"/>
          <w:sz w:val="16"/>
          <w:szCs w:val="16"/>
          <w:i w:val="1"/>
          <w:iCs w:val="1"/>
          <w:color w:val="auto"/>
        </w:rPr>
        <w:t>.</w:t>
      </w:r>
    </w:p>
    <w:p>
      <w:pPr>
        <w:spacing w:after="0" w:line="158"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The Compensation Committee’s charter allows it to delegate any matters within its authority to individuals or subcommittees as it deems appropriate. In addition, the Compensation Committee has the authority under its charter to retain outside advisors to assist it in the performance of its duties. Beginning in the fall of 2009, the Compensation Committee has engaged Mercer from time to time as its compensation consultant and advisor to:</w:t>
      </w:r>
    </w:p>
    <w:p>
      <w:pPr>
        <w:spacing w:after="0" w:line="52" w:lineRule="exact"/>
        <w:rPr>
          <w:sz w:val="20"/>
          <w:szCs w:val="20"/>
          <w:color w:val="auto"/>
        </w:rPr>
      </w:pPr>
    </w:p>
    <w:p>
      <w:pPr>
        <w:ind w:left="900" w:right="14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recommendations regarding executive compensation consistent with the Company’s business needs, pay philosophy, market trends and latest legal and regulatory considerations;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market data for base salary, short-term incentive and long-term incentive decisions;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Advise the Compensation Committee as to best practices.</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2013, Mercer provided market benchmark information and advised on the competitiveness of executive officer compensation. The peer group at that time consisted of the following companies:</w:t>
      </w:r>
    </w:p>
    <w:p>
      <w:pPr>
        <w:spacing w:after="0" w:line="197"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300" w:type="dxa"/>
            <w:vAlign w:val="bottom"/>
          </w:tcPr>
          <w:p>
            <w:pPr>
              <w:ind w:left="80"/>
              <w:spacing w:after="0"/>
              <w:rPr>
                <w:sz w:val="20"/>
                <w:szCs w:val="20"/>
                <w:color w:val="auto"/>
              </w:rPr>
            </w:pPr>
            <w:r>
              <w:rPr>
                <w:rFonts w:ascii="Arial" w:cs="Arial" w:eastAsia="Arial" w:hAnsi="Arial"/>
                <w:sz w:val="18"/>
                <w:szCs w:val="18"/>
                <w:color w:val="auto"/>
              </w:rPr>
              <w:t>Education Management Corporation</w:t>
            </w:r>
          </w:p>
        </w:tc>
        <w:tc>
          <w:tcPr>
            <w:tcW w:w="1740" w:type="dxa"/>
            <w:vAlign w:val="bottom"/>
          </w:tcPr>
          <w:p>
            <w:pPr>
              <w:ind w:left="1580"/>
              <w:spacing w:after="0"/>
              <w:rPr>
                <w:sz w:val="20"/>
                <w:szCs w:val="20"/>
                <w:color w:val="auto"/>
              </w:rPr>
            </w:pPr>
            <w:r>
              <w:rPr>
                <w:rFonts w:ascii="Arial" w:cs="Arial" w:eastAsia="Arial" w:hAnsi="Arial"/>
                <w:sz w:val="18"/>
                <w:szCs w:val="18"/>
                <w:color w:val="auto"/>
              </w:rPr>
              <w:t>•</w:t>
            </w:r>
          </w:p>
        </w:tc>
        <w:tc>
          <w:tcPr>
            <w:tcW w:w="2160" w:type="dxa"/>
            <w:vAlign w:val="bottom"/>
          </w:tcPr>
          <w:p>
            <w:pPr>
              <w:ind w:left="100"/>
              <w:spacing w:after="0"/>
              <w:rPr>
                <w:sz w:val="20"/>
                <w:szCs w:val="20"/>
                <w:color w:val="auto"/>
              </w:rPr>
            </w:pPr>
            <w:r>
              <w:rPr>
                <w:rFonts w:ascii="Arial" w:cs="Arial" w:eastAsia="Arial" w:hAnsi="Arial"/>
                <w:sz w:val="18"/>
                <w:szCs w:val="18"/>
                <w:color w:val="auto"/>
              </w:rPr>
              <w:t>Strayer Education, Inc.</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4300" w:type="dxa"/>
            <w:vAlign w:val="bottom"/>
          </w:tcPr>
          <w:p>
            <w:pPr>
              <w:ind w:left="100"/>
              <w:spacing w:after="0"/>
              <w:rPr>
                <w:sz w:val="20"/>
                <w:szCs w:val="20"/>
                <w:color w:val="auto"/>
              </w:rPr>
            </w:pPr>
            <w:r>
              <w:rPr>
                <w:rFonts w:ascii="Arial" w:cs="Arial" w:eastAsia="Arial" w:hAnsi="Arial"/>
                <w:sz w:val="18"/>
                <w:szCs w:val="18"/>
                <w:color w:val="auto"/>
              </w:rPr>
              <w:t>(no longer publicly traded);</w:t>
            </w:r>
          </w:p>
        </w:tc>
        <w:tc>
          <w:tcPr>
            <w:tcW w:w="1740" w:type="dxa"/>
            <w:vAlign w:val="bottom"/>
            <w:vMerge w:val="restart"/>
          </w:tcPr>
          <w:p>
            <w:pPr>
              <w:ind w:left="1580"/>
              <w:spacing w:after="0"/>
              <w:rPr>
                <w:sz w:val="20"/>
                <w:szCs w:val="20"/>
                <w:color w:val="auto"/>
              </w:rPr>
            </w:pPr>
            <w:r>
              <w:rPr>
                <w:rFonts w:ascii="Arial" w:cs="Arial" w:eastAsia="Arial" w:hAnsi="Arial"/>
                <w:sz w:val="18"/>
                <w:szCs w:val="18"/>
                <w:color w:val="auto"/>
              </w:rPr>
              <w:t>•</w:t>
            </w:r>
          </w:p>
        </w:tc>
        <w:tc>
          <w:tcPr>
            <w:tcW w:w="2160" w:type="dxa"/>
            <w:vAlign w:val="bottom"/>
            <w:vMerge w:val="restart"/>
          </w:tcPr>
          <w:p>
            <w:pPr>
              <w:ind w:left="100"/>
              <w:spacing w:after="0"/>
              <w:rPr>
                <w:sz w:val="20"/>
                <w:szCs w:val="20"/>
                <w:color w:val="auto"/>
              </w:rPr>
            </w:pPr>
            <w:r>
              <w:rPr>
                <w:rFonts w:ascii="Arial" w:cs="Arial" w:eastAsia="Arial" w:hAnsi="Arial"/>
                <w:sz w:val="18"/>
                <w:szCs w:val="18"/>
                <w:color w:val="auto"/>
                <w:w w:val="94"/>
              </w:rPr>
              <w:t>Bridgepoint Education, Inc.</w:t>
            </w:r>
          </w:p>
        </w:tc>
        <w:tc>
          <w:tcPr>
            <w:tcW w:w="0" w:type="dxa"/>
            <w:vAlign w:val="bottom"/>
          </w:tcPr>
          <w:p>
            <w:pPr>
              <w:spacing w:after="0"/>
              <w:rPr>
                <w:sz w:val="1"/>
                <w:szCs w:val="1"/>
                <w:color w:val="auto"/>
              </w:rPr>
            </w:pPr>
          </w:p>
        </w:tc>
      </w:tr>
      <w:tr>
        <w:trPr>
          <w:trHeight w:val="122"/>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rPr>
              <w:t>•  The Advisory Board Company</w:t>
            </w:r>
          </w:p>
        </w:tc>
        <w:tc>
          <w:tcPr>
            <w:tcW w:w="1740" w:type="dxa"/>
            <w:vAlign w:val="bottom"/>
            <w:vMerge w:val="continue"/>
          </w:tcPr>
          <w:p>
            <w:pPr>
              <w:spacing w:after="0"/>
              <w:rPr>
                <w:sz w:val="10"/>
                <w:szCs w:val="10"/>
                <w:color w:val="auto"/>
              </w:rPr>
            </w:pPr>
          </w:p>
        </w:tc>
        <w:tc>
          <w:tcPr>
            <w:tcW w:w="2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460" w:type="dxa"/>
            <w:vAlign w:val="bottom"/>
            <w:gridSpan w:val="2"/>
            <w:vMerge w:val="continue"/>
          </w:tcPr>
          <w:p>
            <w:pPr>
              <w:spacing w:after="0"/>
              <w:rPr>
                <w:sz w:val="18"/>
                <w:szCs w:val="18"/>
                <w:color w:val="auto"/>
              </w:rPr>
            </w:pPr>
          </w:p>
        </w:tc>
        <w:tc>
          <w:tcPr>
            <w:tcW w:w="1740" w:type="dxa"/>
            <w:vAlign w:val="bottom"/>
            <w:vMerge w:val="restart"/>
          </w:tcPr>
          <w:p>
            <w:pPr>
              <w:ind w:left="1580"/>
              <w:spacing w:after="0"/>
              <w:rPr>
                <w:sz w:val="20"/>
                <w:szCs w:val="20"/>
                <w:color w:val="auto"/>
              </w:rPr>
            </w:pPr>
            <w:r>
              <w:rPr>
                <w:rFonts w:ascii="Arial" w:cs="Arial" w:eastAsia="Arial" w:hAnsi="Arial"/>
                <w:sz w:val="18"/>
                <w:szCs w:val="18"/>
                <w:color w:val="auto"/>
              </w:rPr>
              <w:t>•</w:t>
            </w:r>
          </w:p>
        </w:tc>
        <w:tc>
          <w:tcPr>
            <w:tcW w:w="2160" w:type="dxa"/>
            <w:vAlign w:val="bottom"/>
            <w:vMerge w:val="restart"/>
          </w:tcPr>
          <w:p>
            <w:pPr>
              <w:ind w:left="100"/>
              <w:spacing w:after="0"/>
              <w:rPr>
                <w:sz w:val="20"/>
                <w:szCs w:val="20"/>
                <w:color w:val="auto"/>
              </w:rPr>
            </w:pPr>
            <w:r>
              <w:rPr>
                <w:rFonts w:ascii="Arial" w:cs="Arial" w:eastAsia="Arial" w:hAnsi="Arial"/>
                <w:sz w:val="18"/>
                <w:szCs w:val="18"/>
                <w:color w:val="auto"/>
              </w:rPr>
              <w:t>K12 Inc.</w:t>
            </w:r>
          </w:p>
        </w:tc>
        <w:tc>
          <w:tcPr>
            <w:tcW w:w="0" w:type="dxa"/>
            <w:vAlign w:val="bottom"/>
          </w:tcPr>
          <w:p>
            <w:pPr>
              <w:spacing w:after="0"/>
              <w:rPr>
                <w:sz w:val="1"/>
                <w:szCs w:val="1"/>
                <w:color w:val="auto"/>
              </w:rPr>
            </w:pPr>
          </w:p>
        </w:tc>
      </w:tr>
      <w:tr>
        <w:trPr>
          <w:trHeight w:val="122"/>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rPr>
              <w:t>•  DeVry Education Group, Inc.</w:t>
            </w:r>
          </w:p>
        </w:tc>
        <w:tc>
          <w:tcPr>
            <w:tcW w:w="1740" w:type="dxa"/>
            <w:vAlign w:val="bottom"/>
            <w:vMerge w:val="continue"/>
          </w:tcPr>
          <w:p>
            <w:pPr>
              <w:spacing w:after="0"/>
              <w:rPr>
                <w:sz w:val="10"/>
                <w:szCs w:val="10"/>
                <w:color w:val="auto"/>
              </w:rPr>
            </w:pPr>
          </w:p>
        </w:tc>
        <w:tc>
          <w:tcPr>
            <w:tcW w:w="2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460" w:type="dxa"/>
            <w:vAlign w:val="bottom"/>
            <w:gridSpan w:val="2"/>
            <w:vMerge w:val="continue"/>
          </w:tcPr>
          <w:p>
            <w:pPr>
              <w:spacing w:after="0"/>
              <w:rPr>
                <w:sz w:val="18"/>
                <w:szCs w:val="18"/>
                <w:color w:val="auto"/>
              </w:rPr>
            </w:pPr>
          </w:p>
        </w:tc>
        <w:tc>
          <w:tcPr>
            <w:tcW w:w="1740" w:type="dxa"/>
            <w:vAlign w:val="bottom"/>
            <w:vMerge w:val="restart"/>
          </w:tcPr>
          <w:p>
            <w:pPr>
              <w:ind w:left="1580"/>
              <w:spacing w:after="0"/>
              <w:rPr>
                <w:sz w:val="20"/>
                <w:szCs w:val="20"/>
                <w:color w:val="auto"/>
              </w:rPr>
            </w:pPr>
            <w:r>
              <w:rPr>
                <w:rFonts w:ascii="Arial" w:cs="Arial" w:eastAsia="Arial" w:hAnsi="Arial"/>
                <w:sz w:val="18"/>
                <w:szCs w:val="18"/>
                <w:color w:val="auto"/>
              </w:rPr>
              <w:t>•</w:t>
            </w:r>
          </w:p>
        </w:tc>
        <w:tc>
          <w:tcPr>
            <w:tcW w:w="2160" w:type="dxa"/>
            <w:vAlign w:val="bottom"/>
            <w:vMerge w:val="restart"/>
          </w:tcPr>
          <w:p>
            <w:pPr>
              <w:ind w:left="100"/>
              <w:spacing w:after="0"/>
              <w:rPr>
                <w:sz w:val="20"/>
                <w:szCs w:val="20"/>
                <w:color w:val="auto"/>
              </w:rPr>
            </w:pPr>
            <w:r>
              <w:rPr>
                <w:rFonts w:ascii="Arial" w:cs="Arial" w:eastAsia="Arial" w:hAnsi="Arial"/>
                <w:sz w:val="18"/>
                <w:szCs w:val="18"/>
                <w:color w:val="auto"/>
                <w:w w:val="89"/>
              </w:rPr>
              <w:t>Capella Education Company</w:t>
            </w:r>
          </w:p>
        </w:tc>
        <w:tc>
          <w:tcPr>
            <w:tcW w:w="0" w:type="dxa"/>
            <w:vAlign w:val="bottom"/>
          </w:tcPr>
          <w:p>
            <w:pPr>
              <w:spacing w:after="0"/>
              <w:rPr>
                <w:sz w:val="1"/>
                <w:szCs w:val="1"/>
                <w:color w:val="auto"/>
              </w:rPr>
            </w:pPr>
          </w:p>
        </w:tc>
      </w:tr>
      <w:tr>
        <w:trPr>
          <w:trHeight w:val="122"/>
        </w:trPr>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4300" w:type="dxa"/>
            <w:vAlign w:val="bottom"/>
            <w:vMerge w:val="restart"/>
          </w:tcPr>
          <w:p>
            <w:pPr>
              <w:ind w:left="80"/>
              <w:spacing w:after="0"/>
              <w:rPr>
                <w:sz w:val="20"/>
                <w:szCs w:val="20"/>
                <w:color w:val="auto"/>
              </w:rPr>
            </w:pPr>
            <w:r>
              <w:rPr>
                <w:rFonts w:ascii="Arial" w:cs="Arial" w:eastAsia="Arial" w:hAnsi="Arial"/>
                <w:sz w:val="18"/>
                <w:szCs w:val="18"/>
                <w:color w:val="auto"/>
              </w:rPr>
              <w:t>Blackboard</w:t>
            </w:r>
          </w:p>
        </w:tc>
        <w:tc>
          <w:tcPr>
            <w:tcW w:w="1740" w:type="dxa"/>
            <w:vAlign w:val="bottom"/>
            <w:vMerge w:val="continue"/>
          </w:tcPr>
          <w:p>
            <w:pPr>
              <w:spacing w:after="0"/>
              <w:rPr>
                <w:sz w:val="10"/>
                <w:szCs w:val="10"/>
                <w:color w:val="auto"/>
              </w:rPr>
            </w:pPr>
          </w:p>
        </w:tc>
        <w:tc>
          <w:tcPr>
            <w:tcW w:w="2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60" w:type="dxa"/>
            <w:vAlign w:val="bottom"/>
            <w:vMerge w:val="continue"/>
          </w:tcPr>
          <w:p>
            <w:pPr>
              <w:spacing w:after="0"/>
              <w:rPr>
                <w:sz w:val="18"/>
                <w:szCs w:val="18"/>
                <w:color w:val="auto"/>
              </w:rPr>
            </w:pPr>
          </w:p>
        </w:tc>
        <w:tc>
          <w:tcPr>
            <w:tcW w:w="4300" w:type="dxa"/>
            <w:vAlign w:val="bottom"/>
            <w:vMerge w:val="continue"/>
          </w:tcPr>
          <w:p>
            <w:pPr>
              <w:spacing w:after="0"/>
              <w:rPr>
                <w:sz w:val="18"/>
                <w:szCs w:val="18"/>
                <w:color w:val="auto"/>
              </w:rPr>
            </w:pPr>
          </w:p>
        </w:tc>
        <w:tc>
          <w:tcPr>
            <w:tcW w:w="1740" w:type="dxa"/>
            <w:vAlign w:val="bottom"/>
            <w:vMerge w:val="restart"/>
          </w:tcPr>
          <w:p>
            <w:pPr>
              <w:ind w:left="1580"/>
              <w:spacing w:after="0"/>
              <w:rPr>
                <w:sz w:val="20"/>
                <w:szCs w:val="20"/>
                <w:color w:val="auto"/>
              </w:rPr>
            </w:pPr>
            <w:r>
              <w:rPr>
                <w:rFonts w:ascii="Arial" w:cs="Arial" w:eastAsia="Arial" w:hAnsi="Arial"/>
                <w:sz w:val="18"/>
                <w:szCs w:val="18"/>
                <w:color w:val="auto"/>
              </w:rPr>
              <w:t>•</w:t>
            </w:r>
          </w:p>
        </w:tc>
        <w:tc>
          <w:tcPr>
            <w:tcW w:w="2160" w:type="dxa"/>
            <w:vAlign w:val="bottom"/>
            <w:vMerge w:val="restart"/>
          </w:tcPr>
          <w:p>
            <w:pPr>
              <w:ind w:left="100"/>
              <w:spacing w:after="0"/>
              <w:rPr>
                <w:sz w:val="20"/>
                <w:szCs w:val="20"/>
                <w:color w:val="auto"/>
              </w:rPr>
            </w:pPr>
            <w:r>
              <w:rPr>
                <w:rFonts w:ascii="Arial" w:cs="Arial" w:eastAsia="Arial" w:hAnsi="Arial"/>
                <w:sz w:val="18"/>
                <w:szCs w:val="18"/>
                <w:color w:val="auto"/>
              </w:rPr>
              <w:t>Monster Worldwide</w:t>
            </w:r>
          </w:p>
        </w:tc>
        <w:tc>
          <w:tcPr>
            <w:tcW w:w="0" w:type="dxa"/>
            <w:vAlign w:val="bottom"/>
          </w:tcPr>
          <w:p>
            <w:pPr>
              <w:spacing w:after="0"/>
              <w:rPr>
                <w:sz w:val="1"/>
                <w:szCs w:val="1"/>
                <w:color w:val="auto"/>
              </w:rPr>
            </w:pPr>
          </w:p>
        </w:tc>
      </w:tr>
      <w:tr>
        <w:trPr>
          <w:trHeight w:val="122"/>
        </w:trPr>
        <w:tc>
          <w:tcPr>
            <w:tcW w:w="16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2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ind w:left="820"/>
        <w:spacing w:after="0" w:line="183" w:lineRule="auto"/>
        <w:tabs>
          <w:tab w:leader="none" w:pos="1040" w:val="left"/>
        </w:tabs>
        <w:rPr>
          <w:sz w:val="20"/>
          <w:szCs w:val="20"/>
          <w:color w:val="auto"/>
        </w:rPr>
      </w:pPr>
      <w:r>
        <w:rPr>
          <w:rFonts w:ascii="Arial" w:cs="Arial" w:eastAsia="Arial" w:hAnsi="Arial"/>
          <w:sz w:val="14"/>
          <w:szCs w:val="14"/>
          <w:color w:val="auto"/>
        </w:rPr>
        <w:t>•</w:t>
        <w:tab/>
        <w:t>ITT Educational Services, Inc.</w:t>
      </w:r>
    </w:p>
    <w:p>
      <w:pPr>
        <w:ind w:left="6860"/>
        <w:spacing w:after="0"/>
        <w:tabs>
          <w:tab w:leader="none" w:pos="70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Apollo Education Group, Inc.</w:t>
      </w:r>
    </w:p>
    <w:p>
      <w:pPr>
        <w:ind w:left="820"/>
        <w:spacing w:after="0" w:line="181" w:lineRule="auto"/>
        <w:tabs>
          <w:tab w:leader="none" w:pos="1040" w:val="left"/>
        </w:tabs>
        <w:rPr>
          <w:sz w:val="20"/>
          <w:szCs w:val="20"/>
          <w:color w:val="auto"/>
        </w:rPr>
      </w:pPr>
      <w:r>
        <w:rPr>
          <w:rFonts w:ascii="Arial" w:cs="Arial" w:eastAsia="Arial" w:hAnsi="Arial"/>
          <w:sz w:val="15"/>
          <w:szCs w:val="15"/>
          <w:color w:val="auto"/>
        </w:rPr>
        <w:t>•</w:t>
        <w:tab/>
        <w:t>The Corporate Executive Board Company</w:t>
      </w:r>
    </w:p>
    <w:p>
      <w:pPr>
        <w:spacing w:after="0" w:line="1" w:lineRule="exact"/>
        <w:rPr>
          <w:sz w:val="20"/>
          <w:szCs w:val="20"/>
          <w:color w:val="auto"/>
        </w:rPr>
      </w:pPr>
    </w:p>
    <w:p>
      <w:pPr>
        <w:ind w:left="6860"/>
        <w:spacing w:after="0"/>
        <w:tabs>
          <w:tab w:leader="none" w:pos="70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American Public Education, Inc.</w:t>
      </w:r>
    </w:p>
    <w:p>
      <w:pPr>
        <w:spacing w:after="0" w:line="223"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As a result of Mercer’s analysis of peer group compensation practices and the Compensation Committee’s assessment of management performance in 2013 and prior years, the Compensation Committee in March 2014 approved increases in executive management base salaries. The Compensation Committee engaged Mercer in the Spring of 2016 to provide market benchmark information and advice on the competitiveness of executive officer compensation. Their report will be provided to the Compensation Committee in May 2016 and the results will be used in making compensation decisions in 2016 or future years.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Nominating and Corporate Governance Committee. </w:t>
      </w:r>
      <w:r>
        <w:rPr>
          <w:rFonts w:ascii="Arial" w:cs="Arial" w:eastAsia="Arial" w:hAnsi="Arial"/>
          <w:sz w:val="16"/>
          <w:szCs w:val="16"/>
          <w:color w:val="auto"/>
        </w:rPr>
        <w:t>Our Nominating and Corporate Governance Committee consists of Messrs. Bradley A. Casper</w:t>
      </w:r>
      <w:r>
        <w:rPr>
          <w:rFonts w:ascii="Arial" w:cs="Arial" w:eastAsia="Arial" w:hAnsi="Arial"/>
          <w:sz w:val="16"/>
          <w:szCs w:val="16"/>
          <w:i w:val="1"/>
          <w:iCs w:val="1"/>
          <w:color w:val="auto"/>
        </w:rPr>
        <w:t xml:space="preserve"> </w:t>
      </w:r>
      <w:r>
        <w:rPr>
          <w:rFonts w:ascii="Arial" w:cs="Arial" w:eastAsia="Arial" w:hAnsi="Arial"/>
          <w:sz w:val="16"/>
          <w:szCs w:val="16"/>
          <w:color w:val="auto"/>
        </w:rPr>
        <w:t>(chair), David J. Johnson, Kevin F. Warren and Ms. Sara R. Dial, each of whom our Board of Directors has determined is “independent,” as defined under and required by the rules of the Nasdaq Stock Market. Our Nominating and Corporate Governance Committee met five times during 2015. The Nominating and Corporate Governance Committee is responsible for, among other things, identifying individuals qualified to become members of the Board of Directors; recommending to the Board of Directors nominees for each election of directors; developing and recommending to the Board of Directors criteria for selecting qualified director candidates; considering committee member qualifications, appointment and removal; recommending corporate governance principles, codes of conduct and compliance mechanisms; and providing oversight in the annual evaluation of the Board of Directors and each committee.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 xml:space="preserve">We have adopted a business code of conduct, which applies to all of our employees, directors, and consultants. The code of conduct includes particular provisions applicable to our senior financial management, which includes our Chief Executive Officer, Chief Financial Officer and principal accounting officer, and other employees performing similar functions. A copy of our code of conduct is available on the Corporate Governance section of the Investor Relations page on our website at </w:t>
      </w:r>
      <w:r>
        <w:rPr>
          <w:rFonts w:ascii="Arial" w:cs="Arial" w:eastAsia="Arial" w:hAnsi="Arial"/>
          <w:sz w:val="17"/>
          <w:szCs w:val="17"/>
          <w:u w:val="single" w:color="auto"/>
          <w:color w:val="auto"/>
        </w:rPr>
        <w:t>www.gcu.edu</w:t>
      </w:r>
      <w:r>
        <w:rPr>
          <w:rFonts w:ascii="Arial" w:cs="Arial" w:eastAsia="Arial" w:hAnsi="Arial"/>
          <w:sz w:val="17"/>
          <w:szCs w:val="17"/>
          <w:i w:val="1"/>
          <w:iCs w:val="1"/>
          <w:color w:val="auto"/>
        </w:rPr>
        <w:t>.</w:t>
      </w:r>
      <w:r>
        <w:rPr>
          <w:rFonts w:ascii="Arial" w:cs="Arial" w:eastAsia="Arial" w:hAnsi="Arial"/>
          <w:sz w:val="17"/>
          <w:szCs w:val="17"/>
          <w:color w:val="auto"/>
        </w:rPr>
        <w:t xml:space="preserve"> We intend to post on our website any amendment to, or waiver from, a provision of our code of conduct that applies to any director or officer, including our Chief Executive Officer, Chief Financial Officer and principal accounting officer, and other persons performing similar functions, promptly following the date of such amendment or waiver.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12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Board of Directors is responsible for oversight of our risk assessment and management processes. The Board of Directors has delegated to the Compensation Committee basic responsibility for oversight of management’s compensation risk assessment, and has delegated to the Audit Committee tasks related to risk process oversight. In exercising its oversight duties, the Board of Directors receives reports from each committee regarding the committee’s considerations and actions. The Audit Committee’s process includes working with the Company’s Chief Risk Officer and other members of the Company’s enterprise risk management team, meeting periodically with the Chief Risk Officer and other members of management and receiving reports on enterprise risk management, including management’s assessment of risk exposures (including risks related to liquidity, credit, operations and regulatory compliance, among others), and the processes in place to monitor and control such exposures. The Audit Committee may also, from time to time, receive updates between meetings from the Chief Risk Officer, the Chief Executive Officer, the Chief Financial Officer and other members of management relating to risk oversight matters.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When selecting nominees for appointment or election to our Board of Directors, our Nominating and Corporate Governance Committee intends to make such selections pursuant to the following process:</w:t>
      </w:r>
    </w:p>
    <w:p>
      <w:pPr>
        <w:spacing w:after="0" w:line="76" w:lineRule="exact"/>
        <w:rPr>
          <w:sz w:val="20"/>
          <w:szCs w:val="20"/>
          <w:color w:val="auto"/>
        </w:rPr>
      </w:pPr>
    </w:p>
    <w:p>
      <w:pPr>
        <w:ind w:left="900" w:right="2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identification of director candidates by our Nominating and Corporate Governance Committee based upon suggestions from current directors and senior management, recommendations by stockholders and/or use of a director search firm;</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of the candidates’ qualifications by our Nominating and Corporate Governance Committee to determine which candidates best meet our Board of Directors’ required and desired criteria;</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interviews of interested candidates who best meet these criteria by the chair of the Nominating and Corporate Governance Committee, the chair of our Board of Directors, and/or certain other directors and management;</w:t>
      </w:r>
    </w:p>
    <w:p>
      <w:pPr>
        <w:spacing w:after="0" w:line="75" w:lineRule="exact"/>
        <w:rPr>
          <w:rFonts w:ascii="Arial" w:cs="Arial" w:eastAsia="Arial" w:hAnsi="Arial"/>
          <w:sz w:val="18"/>
          <w:szCs w:val="18"/>
          <w:color w:val="auto"/>
        </w:rPr>
      </w:pPr>
    </w:p>
    <w:p>
      <w:pPr>
        <w:ind w:left="900" w:right="260" w:hanging="446"/>
        <w:spacing w:after="0" w:line="34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recommendation by our Nominating and Corporate Governance Committee for inclusion in the slate of directors for the annual meeting of stockholders or for appointment by our Board of Directors to fill a vacancy during the interval between stockholder meetings; and</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formal nomination by our Board of Directors.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Although our Nominating and Corporate Governance Committee will review each candidate’s qualifications to determine whether such candidate is appropriate for our Board of Directors, candidates need not possess any minimum qualifications or specific qualities or skills. In accordance with its charter, the Nominating and Corporate Governance Committee’s review and assessment of incumbent directors and proposed nominees includes the consideration of a candidate’s skills, business experiences, and background, which may include with respect to any particular incumbent or proposed nominee consideration of one or more of the following criteria:</w:t>
      </w:r>
    </w:p>
    <w:p>
      <w:pPr>
        <w:spacing w:after="0" w:line="94"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of the director’s/proposed nominee’s educational, business, non-profit or professional acumen and experience;</w:t>
      </w:r>
    </w:p>
    <w:p>
      <w:pPr>
        <w:spacing w:after="0" w:line="130" w:lineRule="exact"/>
        <w:rPr>
          <w:rFonts w:ascii="Arial" w:cs="Arial" w:eastAsia="Arial" w:hAnsi="Arial"/>
          <w:sz w:val="18"/>
          <w:szCs w:val="18"/>
          <w:color w:val="auto"/>
        </w:rPr>
      </w:pPr>
    </w:p>
    <w:p>
      <w:pPr>
        <w:ind w:left="900" w:right="86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director/proposed nominee assists in achieving a mix of members on our Board of Directors that represents a diversity of background, perspective and experience;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director/proposed nominee meets the independence requirements of the listing standards of the Nasdaq Stock Market;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director/proposed nominee has the business experience relevant to an understanding of our business;</w:t>
      </w:r>
    </w:p>
    <w:p>
      <w:pPr>
        <w:spacing w:after="0" w:line="130"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director/proposed nominee would be considered a “financial expert” or “financially literate” as defined in applicable listing standards or applicable law;</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director/proposed nominee, by virtue of particular technical expertise, experience or specialized skill relevant to our current or future business, will add specific value as a Board member;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director/proposed nominee possesses a willingness to challenge and stimulate management and the ability to work as part of a team in an environment of trust.</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With respect to existing members of the Board of Directors, our Nominating and Corporate Governance Committee will reassess the qualifications of a director, including the director’s performance on our Board of Directors to date, the director’s current employment, the director’s service on other boards of directors and the director’s independence, prior to recommending a director for reelection to another term. All director-nominees were recommended for election at the Annual Meeting by our Nominating and Corporate Governance Committee, and such recommendations were formally approved by our Board of Directors.</w:t>
      </w:r>
    </w:p>
    <w:p>
      <w:pPr>
        <w:spacing w:after="0" w:line="18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Stockholders who wish to recommend individuals for consideration by our Nominating and Corporate Governance Committee to become nominees for election to our Board of Directors may do so by submitting a written recommendation to our Nominating and Corporate Governance Committee, c/o General Counsel, Grand Canyon Education, Inc., 3300 W. Camelback Road, Phoenix, Arizona 85017. Submissions must be received not less than 120 calendar days in advance of the first anniversary of the date that the Company’s proxy statement was released to stockholders in connection with the previous year’s annual meeting of stockholders, except that if no annual meeting was held in the previous year or the date of the annual meeting has been advanced by more than 30 calendar days from the date contemplated at the time of the previous year’s proxy statement, notice by the stockholders to be timely must be received not later than the close of business on the tenth day following the day on which public announcement of the date of such meeting is first made. For our 2017 Annual Meeting of Stockholders, stockholder nominations must be received by January 4, 2017.</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6" w:lineRule="auto"/>
        <w:rPr>
          <w:sz w:val="20"/>
          <w:szCs w:val="20"/>
          <w:color w:val="auto"/>
        </w:rPr>
      </w:pPr>
      <w:r>
        <w:rPr>
          <w:rFonts w:ascii="Arial" w:cs="Arial" w:eastAsia="Arial" w:hAnsi="Arial"/>
          <w:sz w:val="17"/>
          <w:szCs w:val="17"/>
          <w:color w:val="auto"/>
        </w:rPr>
        <w:t>Each submission must set forth: (i) the name and address of the stockholder who intends to make the nomination, or the beneficial owner, if any, on whose behalf the nomination is being made and of the person or persons to be nominated; (ii) a representation that the stockholder is a holder of record of stock of the Company entitled to vote for the election of directors on the date of such notice and intends to appear in person or by proxy at the meeting to nominate the person or persons specified in the notice; (iii) the following information regarding the ownership interests of the stockholder and such other beneficial owners, which shall be supplemented in writing by the stockholder not later than ten (10) days after the record date for notice of the meeting to disclose such interests as of such record date: (A) the class and number of shares of the Company that are owned beneficially and of record by the stockholder or any such beneficial owner; (B) any derivative instrument directly or indirectly owned beneficially by such stockholder or any such beneficial owner and any other direct or indirect opportunity to profit or share in any profit derived from any increase or decrease in the value of shares of the Company; (C) any proxy, contract, arrangement, understanding, or relationship pursuant to which such stockholder or any such beneficial owner has a right to vote any shares of any security of the Company; (D) any short interest in any security of the Company; (E) any rights to dividends on the shares of the Company owned beneficially by such stockholder or any such beneficial owner that are separated or separable from the underlying shares of the Company; (F) any proportionate interest in shares of the Company or derivative instruments held, directly or indirectly, by a general or limited partnership in which such stockholder or any such beneficial owner is a general partner or, directly or indirectly, beneficially owns an interest in a general partner; and (G) any performance-related fees (other than an asset-based fee) to which such stockholder or any such beneficial owner is entitled based on any increase or decrease in the value of shares of the Company or derivative instruments, if any, as of the date of such notice, including, without limitation, any such interests held by members of such stockholder’s or beneficial owner’s immediate family sharing the same household, (iv) a description of all arrangements or understandings between the stockholder or such beneficial owner and each nominee and any other person or persons (naming such person or persons) pursuant to which the nomination or nominations are to be made by the stockholder; (v) a description of all direct and indirect compensation and other material monetary agreements, arrangements and understandings during the past three (3) years, and any other material relationships, between or among such stockholder and such other beneficial owner, if any, and their respective affiliates and associates, or others acting in concert therewith, on the one hand, and each proposed nominee, and his respective affiliates and associates, or others acting in concert therewith, on the other hand, including, without limitation all information that would be required to be disclosed pursuant to Rule 404 promulgated under Regulation S-K if the stockholder making the nomination and any beneficial owner on whose behalf the nomination is made, if any, or any affiliate or associate thereof or person acting in concert therewith, were the “registrant” for purposes of such rule and the nominee was a director or executive officer of such registrant, (vi) such other information regarding each nominee proposed by such stockholder as would be required to be included in a proxy statement filed pursuant to the proxy rules of the Securities and Exchange Commission, had the nominee been nominated, or intended to be nominated, by the Board of Directors; and (vii) the consent of each nominee to serve as a director of the Company if so elected.</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receive any director nominations from stockholders for the Annual Meeting.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Elections and Majority Voting</w:t>
      </w:r>
    </w:p>
    <w:p>
      <w:pPr>
        <w:spacing w:after="0" w:line="121" w:lineRule="exact"/>
        <w:rPr>
          <w:sz w:val="20"/>
          <w:szCs w:val="20"/>
          <w:color w:val="auto"/>
        </w:rPr>
      </w:pPr>
    </w:p>
    <w:p>
      <w:pPr>
        <w:ind w:right="80" w:firstLine="456"/>
        <w:spacing w:after="0" w:line="268" w:lineRule="auto"/>
        <w:rPr>
          <w:sz w:val="20"/>
          <w:szCs w:val="20"/>
          <w:color w:val="auto"/>
        </w:rPr>
      </w:pPr>
      <w:r>
        <w:rPr>
          <w:rFonts w:ascii="Arial" w:cs="Arial" w:eastAsia="Arial" w:hAnsi="Arial"/>
          <w:sz w:val="17"/>
          <w:szCs w:val="17"/>
          <w:color w:val="auto"/>
        </w:rPr>
        <w:t>Our directors are elected annually to serve until the next annual meeting of stockholders and until their successors are duly elected and qualified. Pursuant to an amendment to our bylaws adopted during 2014, at any meeting of stockholders for the election of one or more directors at which a quorum is present, each director shall be elected by the vote of a majority of the votes cast with respect to the director, provided that if the number of nominees exceeds the number of directors to be elected, the directors shall be elected by the vote of a plurality of the votes cast by the stockholders entitled to vote at the election. For purposes of the foregoing, a majority of the votes cast means that the number of shares voted “for” a director exceeds the number of votes cast “against” that director. Under our corporate governance principles and practices, the Board shall nominate for election or re-election as director only candidates who agree to execute, in connection with their nomination, irrevocable resignations that will be effective upon (1) the failure to receive a majority vote in an uncontested election at an annual meeting and (2) the Board’s acceptance of such resignation within ninety (90) days following certification of the stockholder vote. If a director then serving on the Board of Directors does not receive the required majority, the director shall tender his or her resignation to the Board. Within 90 days after the date of the certification of the election results, the Nominating and Corporate Governance Committee or other committee that may be designated by the Board will make a recommendation to the Board on whether to accept or reject the resignation, or whether other action should be taken, taking into account such factors as it deems relevant. Such factors may include the stated reasons why stockholders voted against such director’s reelection, the qualifications of the director and whether accepting the resignation would cause us to fail to meet any applicable listing standards or would violate state law. Within such ninety (90) day period, the Board will act on such committee’s recommendation and publicly disclose its decision and the rationale behind it.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During 2015, Messrs. Johnson and Henry and Ms. Dial served as the members of our Compensation Committee. No executive officer serves, or in the past has served, as a member of the Board of Directors or compensation committee of any entity that has any of its executive officers serving as a member of our Board of Directors or Compensation Committee.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Stockholders may communicate with any of our directors, including our lead independent director, the chair of any of the committees of the Board of Directors, or the non-management directors as a group by writing to them c/o Secretary, Grand Canyon Education, Inc., 3300 West Camelback Road, Phoenix, Arizona 85017. Please specify to whom your correspondence should be directed. The Secretary will promptly forward all correspondence to the Board of Directors or any specific director, as indicated in the correspondence, except for junk mail, mass mailings, job inquiries, surveys, business solicitations or advertisements, or patently offensive or otherwise inappropriate material. The Secretary may forward certain correspondence, such as product-related or service-related inquiries, elsewhere within the Company for review and possible response.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Stock Ownership Guidelines</w:t>
      </w:r>
    </w:p>
    <w:p>
      <w:pPr>
        <w:spacing w:after="0" w:line="12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 xml:space="preserve">The Board of Directors believes that each director should develop a meaningful ownership position in the Company. Therefore, the Board of Directors has adopted stock ownership guidelines for directors. Pursuant to these guidelines, which are set forth in our Corporate Governance Principles and Practices and available on the Corporate Governance section of the Investor Relations page on our website at </w:t>
      </w:r>
      <w:r>
        <w:rPr>
          <w:rFonts w:ascii="Arial" w:cs="Arial" w:eastAsia="Arial" w:hAnsi="Arial"/>
          <w:sz w:val="17"/>
          <w:szCs w:val="17"/>
          <w:i w:val="1"/>
          <w:iCs w:val="1"/>
          <w:color w:val="auto"/>
        </w:rPr>
        <w:t>www.gcu.edu</w:t>
      </w:r>
      <w:r>
        <w:rPr>
          <w:rFonts w:ascii="Arial" w:cs="Arial" w:eastAsia="Arial" w:hAnsi="Arial"/>
          <w:sz w:val="17"/>
          <w:szCs w:val="17"/>
          <w:color w:val="auto"/>
        </w:rPr>
        <w:t>, each director is expected to own at least $50,000 of our Common Stock and is expected to achieve the target ownership threshold within two years of their election to the Board of Directors. As of December 31, 2015, all directors are in compliance with the stock ownership guidelines.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Anti-Hedging/Anti-Pledging Policy</w:t>
      </w:r>
    </w:p>
    <w:p>
      <w:pPr>
        <w:spacing w:after="0" w:line="121"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In connection with its initial public offering in 2008, the Company adopted an insider trading policy that includes restrictions and limitations on the ability of the Company’s directors, officers and other employees to engage in transactions involving the hedging and pledging of Company stock. Under the policy, hedging or monetization transactions, such as zero-cost collars and forward sale contracts, which allow an employee to lock in much of the value of his or her stock holdings, often in exchange for all or part of the potential for upside appreciation in the stock, and thus to continue to own Company stock without the full risks and rewards of ownership, are prohibited. In addition, the policy addresses the practices of holding Company stock in a margin account, under which the securities may be sold by the broker without the customer’s consent if the customer fails to meet a margin call, and of pledging Company stock as collateral for a loan, in which event the securities may be sold in foreclosure if the borrower defaults on the loan. Because a margin sale or foreclosure sale may occur at a time when the pledgor is aware of material nonpublic information or otherwise is not permitted to trade in Company securities, directors, officers and other employees of the Company are prohibited from holding Company securities in a margin account or pledging Company securities as collateral for a loan. An exception to this prohibition may be granted where a person wishes to pledge Company securities as collateral for a loan (not including margin debt) and clearly demonstrates the financial capacity to repay the loan without resort to the pledged securities. Any person wishing to enter into such an arrangement must first receive pre-approval for the proposed transaction from the Company’s compliance officer in accordance with the pre-approval procedures set forth in the policy.</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a compensation program in place for our non-employee directors that utilizes annual retainers and restricted stock grants. New non-employee directors, upon appointment or election to the Board of Directors, receive an award of restricted stock under our 2008 Equity Incentive Plan (the “Equity Incentive Plan”) valued at $20,000 on the date of grant, which vests on the one year anniversary of the date of grant, subject to accelerated vesting in the event of a change in control. For serving on the Board of Directors, our non-employee directors also receive an annual retainer of $50,000 in cash and an award of restricted stock under our Equity Incentive Plan valued at $75,000 on the date of grant. The cash portion of the annual retainer is paid quarterly while the restricted stock grants to our non-employee directors are made after our annual meeting of stockholders each year and vest on the earlier of the one year anniversary of the date of grant or immediately prior to the following year’s annual meeting of stockholders, subject to acceleration in the event of a change in control. In addition, our lead independent director receives an additional annual cash retainer of $33,333, each non-employee director receives an additional annual cash retainer for service on a Board committee of $5,000, and each committee chair receives an additional annual cash retainer of $10,000, except for the chair of the Audit Committee, whose additional annual cash retainer for service as chair is $15,000. We reimburse all of our directors for reasonable expenses incurred to attend our Board of Directors and committee meetings.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Director Compensation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the compensation paid to our non-employee directors in 2015:</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 (1)</w:t>
            </w:r>
          </w:p>
        </w:tc>
        <w:tc>
          <w:tcPr>
            <w:tcW w:w="2760" w:type="dxa"/>
            <w:vAlign w:val="bottom"/>
            <w:vMerge w:val="restart"/>
          </w:tcPr>
          <w:p>
            <w:pPr>
              <w:spacing w:after="0"/>
              <w:rPr>
                <w:sz w:val="14"/>
                <w:szCs w:val="14"/>
                <w:color w:val="auto"/>
              </w:rPr>
            </w:pPr>
          </w:p>
        </w:tc>
        <w:tc>
          <w:tcPr>
            <w:tcW w:w="1840" w:type="dxa"/>
            <w:vAlign w:val="bottom"/>
          </w:tcPr>
          <w:p>
            <w:pPr>
              <w:spacing w:after="0"/>
              <w:rPr>
                <w:sz w:val="14"/>
                <w:szCs w:val="14"/>
                <w:color w:val="auto"/>
              </w:rPr>
            </w:pPr>
          </w:p>
        </w:tc>
        <w:tc>
          <w:tcPr>
            <w:tcW w:w="1700" w:type="dxa"/>
            <w:vAlign w:val="bottom"/>
            <w:gridSpan w:val="3"/>
          </w:tcPr>
          <w:p>
            <w:pPr>
              <w:ind w:left="40"/>
              <w:spacing w:after="0"/>
              <w:rPr>
                <w:sz w:val="20"/>
                <w:szCs w:val="20"/>
                <w:color w:val="auto"/>
              </w:rPr>
            </w:pPr>
            <w:r>
              <w:rPr>
                <w:rFonts w:ascii="Arial" w:cs="Arial" w:eastAsia="Arial" w:hAnsi="Arial"/>
                <w:sz w:val="14"/>
                <w:szCs w:val="14"/>
                <w:b w:val="1"/>
                <w:bCs w:val="1"/>
                <w:color w:val="auto"/>
              </w:rPr>
              <w:t>Fees Earned or</w:t>
            </w:r>
          </w:p>
        </w:tc>
        <w:tc>
          <w:tcPr>
            <w:tcW w:w="1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 xml:space="preserve">Stock Awards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)(2)</w:t>
            </w:r>
          </w:p>
        </w:tc>
        <w:tc>
          <w:tcPr>
            <w:tcW w:w="340" w:type="dxa"/>
            <w:vAlign w:val="bottom"/>
            <w:vMerge w:val="restart"/>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Borders>
              <w:bottom w:val="single" w:sz="8" w:color="auto"/>
            </w:tcBorders>
            <w:vMerge w:val="continue"/>
          </w:tcPr>
          <w:p>
            <w:pPr>
              <w:spacing w:after="0"/>
              <w:rPr>
                <w:sz w:val="14"/>
                <w:szCs w:val="14"/>
                <w:color w:val="auto"/>
              </w:rPr>
            </w:pPr>
          </w:p>
        </w:tc>
        <w:tc>
          <w:tcPr>
            <w:tcW w:w="2760" w:type="dxa"/>
            <w:vAlign w:val="bottom"/>
            <w:tcBorders>
              <w:bottom w:val="single" w:sz="8" w:color="CCEEFF"/>
            </w:tcBorders>
            <w:vMerge w:val="continue"/>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 xml:space="preserve">Paid in Cash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p>
        </w:tc>
        <w:tc>
          <w:tcPr>
            <w:tcW w:w="7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gridSpan w:val="2"/>
            <w:vMerge w:val="continue"/>
          </w:tcPr>
          <w:p>
            <w:pPr>
              <w:spacing w:after="0"/>
              <w:rPr>
                <w:sz w:val="14"/>
                <w:szCs w:val="14"/>
                <w:color w:val="auto"/>
              </w:rPr>
            </w:pPr>
          </w:p>
        </w:tc>
        <w:tc>
          <w:tcPr>
            <w:tcW w:w="340" w:type="dxa"/>
            <w:vAlign w:val="bottom"/>
            <w:tcBorders>
              <w:bottom w:val="single" w:sz="8" w:color="CCEEFF"/>
            </w:tcBorders>
            <w:vMerge w:val="continue"/>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J. Johnson</w:t>
            </w:r>
          </w:p>
        </w:tc>
        <w:tc>
          <w:tcPr>
            <w:tcW w:w="1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123,333</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$198,333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Brent D. Richardson</w:t>
            </w: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45,000</w:t>
            </w:r>
          </w:p>
        </w:tc>
        <w:tc>
          <w:tcPr>
            <w:tcW w:w="400" w:type="dxa"/>
            <w:vAlign w:val="bottom"/>
          </w:tcPr>
          <w:p>
            <w:pPr>
              <w:spacing w:after="0"/>
              <w:rPr>
                <w:sz w:val="18"/>
                <w:szCs w:val="18"/>
                <w:color w:val="auto"/>
              </w:rPr>
            </w:pPr>
          </w:p>
        </w:tc>
        <w:tc>
          <w:tcPr>
            <w:tcW w:w="11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A. Henry</w:t>
            </w:r>
          </w:p>
        </w:tc>
        <w:tc>
          <w:tcPr>
            <w:tcW w:w="1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105,000</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75,000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Bradley A. Casper</w:t>
            </w: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90,000</w:t>
            </w:r>
          </w:p>
        </w:tc>
        <w:tc>
          <w:tcPr>
            <w:tcW w:w="4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75,000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165,000</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F. Warren</w:t>
            </w:r>
          </w:p>
        </w:tc>
        <w:tc>
          <w:tcPr>
            <w:tcW w:w="1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80,000</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75,000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155,000</w:t>
            </w: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Sara R. Dial</w:t>
            </w:r>
          </w:p>
        </w:tc>
        <w:tc>
          <w:tcPr>
            <w:tcW w:w="1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80,000</w:t>
            </w:r>
          </w:p>
        </w:tc>
        <w:tc>
          <w:tcPr>
            <w:tcW w:w="40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75,000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155,000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240" w:hanging="452"/>
        <w:spacing w:after="0" w:line="271"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Mr. Richardson was an employee director for the first half of 2015 and a non-employee director for the second half of 2015. Directors who are Company employees receive no additional compensation for serving on the Board of Directors. Compensation for our employees who also serve as directors is reflected in the Summary Compensation Table set forth in “Executive Compensation” below.</w:t>
      </w:r>
    </w:p>
    <w:p>
      <w:pPr>
        <w:ind w:left="460" w:right="160" w:hanging="452"/>
        <w:spacing w:after="0" w:line="323"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 part of their annual retainer, a restricted stock grant valued at $75,000 on the date of grant, comprising 1,759 shares, was made to each of Messrs. Johnson, Henry, Casper, Warren and Ms. Dial after our annual meeting of stockholders on May 18, 2015. These shares will vest on May 18, 2016.</w:t>
      </w:r>
    </w:p>
    <w:p>
      <w:pPr>
        <w:spacing w:after="0" w:line="139"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The following table provides a breakdown of the cash compensation paid to our non-employee directors in 2015 in respect of their annual retainers for service on the Board of Directors, for service on Board committees, and for services as a Board committee chair or as lead independent director:</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Board of</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3"/>
              </w:rPr>
              <w:t>Board</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Committee</w:t>
            </w:r>
          </w:p>
        </w:tc>
        <w:tc>
          <w:tcPr>
            <w:tcW w:w="28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Independent</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Chair</w:t>
            </w:r>
          </w:p>
        </w:tc>
        <w:tc>
          <w:tcPr>
            <w:tcW w:w="2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11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Directors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Committee</w:t>
            </w: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Annual</w:t>
            </w:r>
          </w:p>
        </w:tc>
        <w:tc>
          <w:tcPr>
            <w:tcW w:w="28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Committee</w:t>
            </w:r>
          </w:p>
        </w:tc>
        <w:tc>
          <w:tcPr>
            <w:tcW w:w="280" w:type="dxa"/>
            <w:vAlign w:val="bottom"/>
          </w:tcPr>
          <w:p>
            <w:pPr>
              <w:spacing w:after="0"/>
              <w:rPr>
                <w:sz w:val="12"/>
                <w:szCs w:val="12"/>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20" w:type="dxa"/>
            <w:vAlign w:val="bottom"/>
            <w:gridSpan w:val="2"/>
            <w:vMerge w:val="continue"/>
          </w:tcPr>
          <w:p>
            <w:pPr>
              <w:spacing w:after="0"/>
              <w:rPr>
                <w:sz w:val="14"/>
                <w:szCs w:val="14"/>
                <w:color w:val="auto"/>
              </w:rPr>
            </w:pPr>
          </w:p>
        </w:tc>
        <w:tc>
          <w:tcPr>
            <w:tcW w:w="13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4"/>
              </w:rPr>
              <w:t>Annual Retainer</w:t>
            </w:r>
          </w:p>
        </w:tc>
        <w:tc>
          <w:tcPr>
            <w:tcW w:w="260" w:type="dxa"/>
            <w:vAlign w:val="bottom"/>
          </w:tcPr>
          <w:p>
            <w:pPr>
              <w:spacing w:after="0"/>
              <w:rPr>
                <w:sz w:val="14"/>
                <w:szCs w:val="14"/>
                <w:color w:val="auto"/>
              </w:rPr>
            </w:pPr>
          </w:p>
        </w:tc>
        <w:tc>
          <w:tcPr>
            <w:tcW w:w="16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3"/>
              </w:rPr>
              <w:t>Annual Retainers</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Retainer</w:t>
            </w:r>
          </w:p>
        </w:tc>
        <w:tc>
          <w:tcPr>
            <w:tcW w:w="28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Fees(3)</w:t>
            </w:r>
          </w:p>
        </w:tc>
        <w:tc>
          <w:tcPr>
            <w:tcW w:w="2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8"/>
              </w:rPr>
              <w:t>David</w:t>
            </w:r>
          </w:p>
        </w:tc>
        <w:tc>
          <w:tcPr>
            <w:tcW w:w="35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J. Johnson(1)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$ 43,333</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20,000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$123,333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Brent D. Richardson(2)</w:t>
            </w:r>
          </w:p>
        </w:tc>
        <w:tc>
          <w:tcPr>
            <w:tcW w:w="1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25,000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20,000</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A. Henry</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10,000</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15,000</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30,000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Bradley A. Casper</w:t>
            </w:r>
          </w:p>
        </w:tc>
        <w:tc>
          <w:tcPr>
            <w:tcW w:w="1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50,000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10,000</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10,000</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20,000</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F. Warren</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10,000</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20,000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Sara R. Dial</w:t>
            </w:r>
          </w:p>
        </w:tc>
        <w:tc>
          <w:tcPr>
            <w:tcW w:w="16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50,000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10,000</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20,000</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amount for Mr. Johnson includes the additional annual retainer of $33,333 that he receives in his capacity as lead independent director.</w:t>
      </w:r>
    </w:p>
    <w:p>
      <w:pPr>
        <w:spacing w:after="0" w:line="34" w:lineRule="exact"/>
        <w:rPr>
          <w:rFonts w:ascii="Arial" w:cs="Arial" w:eastAsia="Arial" w:hAnsi="Arial"/>
          <w:sz w:val="17"/>
          <w:szCs w:val="17"/>
          <w:color w:val="auto"/>
        </w:rPr>
      </w:pPr>
    </w:p>
    <w:p>
      <w:pPr>
        <w:ind w:left="460" w:right="14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for Mr. Richardson includes the annual retainer of $25,000 for the pro-rata portion of the year he served as a non-employee director. Mr. Richardson transitioned to a non-employee director role after the annual restricted stock grant in 2015.</w:t>
      </w:r>
    </w:p>
    <w:p>
      <w:pPr>
        <w:ind w:left="460" w:right="60" w:hanging="452"/>
        <w:spacing w:after="0" w:line="25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independent committee of the Board of Directors was formed in 2014 to explore options aimed at enhancing stockholder value, including the possibility of effecting a conversion of Grand Canyon University to a nonprofit entity. Members of this committee, which included all members of the Board of Directors other than our Chief Executive Officer, were paid fees in 2015 totaling $20,000 each, and the chair of the independent committee received an additional $10,000 fee. This committee met four times during 2015.</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Our bylaws provide that our business will be managed by or under the direction of the Board of Directors. The number of directors constituting our Board of Directors is determined from time to time by our Board of Directors. Currently, our Board of Directors consists of seven members. Each nominee for the position of director will be elected at the Annual Meeting to hold office until the next annual meeting of stockholders or the director’s earlier resignation or removal. Upon the recommendation of the Nominating and Corporate Governance Committee of the Board of Directors, the Board of Directors has nominated the seven persons named below for election as directors. Proxies solicited by our Board of Directors will, unless otherwise directed, be voted to elect the seven nominees named below to constitute the entire Board of Directors.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Director Nominees</w:t>
      </w:r>
    </w:p>
    <w:p>
      <w:pPr>
        <w:spacing w:after="0" w:line="121"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All of the nominees named below are currently serving on the Board of Directors. Each nominee has indicated a willingness to serve as a director for the ensuing year, but in case any nominee is not a candidate at the meeting for any reason, the proxies named in the enclosed proxy form may vote for a substitute nominee recommended by the Nominating and Corporate Governance Committee and approved by the Board of Directors.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information regarding each director nominee: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4740" w:type="dxa"/>
            <w:vAlign w:val="bottom"/>
            <w:gridSpan w:val="2"/>
          </w:tcPr>
          <w:p>
            <w:pPr>
              <w:ind w:left="2060"/>
              <w:spacing w:after="0"/>
              <w:rPr>
                <w:sz w:val="20"/>
                <w:szCs w:val="20"/>
                <w:color w:val="auto"/>
              </w:rPr>
            </w:pPr>
            <w:r>
              <w:rPr>
                <w:rFonts w:ascii="Arial" w:cs="Arial" w:eastAsia="Arial" w:hAnsi="Arial"/>
                <w:sz w:val="14"/>
                <w:szCs w:val="14"/>
                <w:b w:val="1"/>
                <w:bCs w:val="1"/>
                <w:color w:val="auto"/>
              </w:rPr>
              <w:t>Position</w:t>
            </w:r>
          </w:p>
        </w:tc>
        <w:tc>
          <w:tcPr>
            <w:tcW w:w="4520" w:type="dxa"/>
            <w:vAlign w:val="bottom"/>
          </w:tcPr>
          <w:p>
            <w:pPr>
              <w:ind w:left="1500"/>
              <w:spacing w:after="0"/>
              <w:rPr>
                <w:sz w:val="20"/>
                <w:szCs w:val="20"/>
                <w:color w:val="auto"/>
              </w:rPr>
            </w:pPr>
            <w:r>
              <w:rPr>
                <w:rFonts w:ascii="Arial" w:cs="Arial" w:eastAsia="Arial" w:hAnsi="Arial"/>
                <w:sz w:val="14"/>
                <w:szCs w:val="14"/>
                <w:b w:val="1"/>
                <w:bCs w:val="1"/>
                <w:color w:val="auto"/>
              </w:rPr>
              <w:t>Committee Membership</w:t>
            </w: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3"/>
              </w:rPr>
              <w:t>Brent</w:t>
            </w:r>
          </w:p>
        </w:tc>
        <w:tc>
          <w:tcPr>
            <w:tcW w:w="142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 Richardson</w:t>
            </w:r>
          </w:p>
        </w:tc>
        <w:tc>
          <w:tcPr>
            <w:tcW w:w="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20" w:type="dxa"/>
            <w:vAlign w:val="bottom"/>
            <w:tcBorders>
              <w:top w:val="single" w:sz="8" w:color="CCEEFF"/>
            </w:tcBorders>
            <w:shd w:val="clear" w:color="auto" w:fill="CCEEFF"/>
          </w:tcPr>
          <w:p>
            <w:pPr>
              <w:spacing w:after="0"/>
              <w:rPr>
                <w:sz w:val="18"/>
                <w:szCs w:val="18"/>
                <w:color w:val="auto"/>
              </w:rPr>
            </w:pPr>
          </w:p>
        </w:tc>
        <w:tc>
          <w:tcPr>
            <w:tcW w:w="4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w:t>
            </w:r>
          </w:p>
        </w:tc>
        <w:tc>
          <w:tcPr>
            <w:tcW w:w="120" w:type="dxa"/>
            <w:vAlign w:val="bottom"/>
            <w:tcBorders>
              <w:top w:val="single" w:sz="8" w:color="CCEEFF"/>
            </w:tcBorders>
            <w:shd w:val="clear" w:color="auto" w:fill="CCEEFF"/>
          </w:tcPr>
          <w:p>
            <w:pPr>
              <w:spacing w:after="0"/>
              <w:rPr>
                <w:sz w:val="18"/>
                <w:szCs w:val="18"/>
                <w:color w:val="auto"/>
              </w:rPr>
            </w:pPr>
          </w:p>
        </w:tc>
        <w:tc>
          <w:tcPr>
            <w:tcW w:w="4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None</w:t>
            </w:r>
          </w:p>
        </w:tc>
      </w:tr>
      <w:tr>
        <w:trPr>
          <w:trHeight w:val="202"/>
        </w:trPr>
        <w:tc>
          <w:tcPr>
            <w:tcW w:w="1800" w:type="dxa"/>
            <w:vAlign w:val="bottom"/>
            <w:gridSpan w:val="2"/>
          </w:tcPr>
          <w:p>
            <w:pPr>
              <w:spacing w:after="0" w:line="201" w:lineRule="exact"/>
              <w:rPr>
                <w:sz w:val="20"/>
                <w:szCs w:val="20"/>
                <w:color w:val="auto"/>
              </w:rPr>
            </w:pPr>
            <w:r>
              <w:rPr>
                <w:rFonts w:ascii="Arial" w:cs="Arial" w:eastAsia="Arial" w:hAnsi="Arial"/>
                <w:sz w:val="18"/>
                <w:szCs w:val="18"/>
                <w:color w:val="auto"/>
              </w:rPr>
              <w:t>Brian E. Mueller</w:t>
            </w:r>
          </w:p>
        </w:tc>
        <w:tc>
          <w:tcPr>
            <w:tcW w:w="240" w:type="dxa"/>
            <w:vAlign w:val="bottom"/>
          </w:tcPr>
          <w:p>
            <w:pPr>
              <w:jc w:val="center"/>
              <w:spacing w:after="0" w:line="201" w:lineRule="exact"/>
              <w:rPr>
                <w:sz w:val="20"/>
                <w:szCs w:val="20"/>
                <w:color w:val="auto"/>
              </w:rPr>
            </w:pPr>
            <w:r>
              <w:rPr>
                <w:rFonts w:ascii="Arial" w:cs="Arial" w:eastAsia="Arial" w:hAnsi="Arial"/>
                <w:sz w:val="18"/>
                <w:szCs w:val="18"/>
                <w:color w:val="auto"/>
                <w:w w:val="89"/>
              </w:rPr>
              <w:t>62</w:t>
            </w:r>
          </w:p>
        </w:tc>
        <w:tc>
          <w:tcPr>
            <w:tcW w:w="120" w:type="dxa"/>
            <w:vAlign w:val="bottom"/>
          </w:tcPr>
          <w:p>
            <w:pPr>
              <w:spacing w:after="0"/>
              <w:rPr>
                <w:sz w:val="17"/>
                <w:szCs w:val="17"/>
                <w:color w:val="auto"/>
              </w:rPr>
            </w:pPr>
          </w:p>
        </w:tc>
        <w:tc>
          <w:tcPr>
            <w:tcW w:w="4740" w:type="dxa"/>
            <w:vAlign w:val="bottom"/>
            <w:gridSpan w:val="2"/>
          </w:tcPr>
          <w:p>
            <w:pPr>
              <w:spacing w:after="0" w:line="201" w:lineRule="exact"/>
              <w:rPr>
                <w:sz w:val="20"/>
                <w:szCs w:val="20"/>
                <w:color w:val="auto"/>
              </w:rPr>
            </w:pPr>
            <w:r>
              <w:rPr>
                <w:rFonts w:ascii="Arial" w:cs="Arial" w:eastAsia="Arial" w:hAnsi="Arial"/>
                <w:sz w:val="18"/>
                <w:szCs w:val="18"/>
                <w:color w:val="auto"/>
              </w:rPr>
              <w:t>Chief Executive Officer,</w:t>
            </w:r>
          </w:p>
        </w:tc>
        <w:tc>
          <w:tcPr>
            <w:tcW w:w="4520" w:type="dxa"/>
            <w:vAlign w:val="bottom"/>
          </w:tcPr>
          <w:p>
            <w:pPr>
              <w:spacing w:after="0" w:line="201" w:lineRule="exact"/>
              <w:rPr>
                <w:sz w:val="20"/>
                <w:szCs w:val="20"/>
                <w:color w:val="auto"/>
              </w:rPr>
            </w:pPr>
            <w:r>
              <w:rPr>
                <w:rFonts w:ascii="Arial" w:cs="Arial" w:eastAsia="Arial" w:hAnsi="Arial"/>
                <w:sz w:val="18"/>
                <w:szCs w:val="18"/>
                <w:color w:val="auto"/>
              </w:rPr>
              <w:t>None</w:t>
            </w:r>
          </w:p>
        </w:tc>
      </w:tr>
      <w:tr>
        <w:trPr>
          <w:trHeight w:val="230"/>
        </w:trPr>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Director, and President of Grand Canyon University</w:t>
            </w:r>
          </w:p>
        </w:tc>
        <w:tc>
          <w:tcPr>
            <w:tcW w:w="4520" w:type="dxa"/>
            <w:vAlign w:val="bottom"/>
          </w:tcPr>
          <w:p>
            <w:pPr>
              <w:spacing w:after="0"/>
              <w:rPr>
                <w:sz w:val="20"/>
                <w:szCs w:val="20"/>
                <w:color w:val="auto"/>
              </w:rPr>
            </w:pPr>
          </w:p>
        </w:tc>
      </w:tr>
      <w:tr>
        <w:trPr>
          <w:trHeight w:val="215"/>
        </w:trPr>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J. Johnson</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69</w:t>
            </w:r>
          </w:p>
        </w:tc>
        <w:tc>
          <w:tcPr>
            <w:tcW w:w="12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Compensation (chair)</w:t>
            </w:r>
          </w:p>
        </w:tc>
      </w:tr>
      <w:tr>
        <w:trPr>
          <w:trHeight w:val="244"/>
        </w:trPr>
        <w:tc>
          <w:tcPr>
            <w:tcW w:w="3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Corporate Governance</w:t>
            </w:r>
          </w:p>
        </w:tc>
      </w:tr>
      <w:tr>
        <w:trPr>
          <w:trHeight w:val="202"/>
        </w:trPr>
        <w:tc>
          <w:tcPr>
            <w:tcW w:w="1800" w:type="dxa"/>
            <w:vAlign w:val="bottom"/>
            <w:gridSpan w:val="2"/>
          </w:tcPr>
          <w:p>
            <w:pPr>
              <w:spacing w:after="0" w:line="201" w:lineRule="exact"/>
              <w:rPr>
                <w:sz w:val="20"/>
                <w:szCs w:val="20"/>
                <w:color w:val="auto"/>
              </w:rPr>
            </w:pPr>
            <w:r>
              <w:rPr>
                <w:rFonts w:ascii="Arial" w:cs="Arial" w:eastAsia="Arial" w:hAnsi="Arial"/>
                <w:sz w:val="18"/>
                <w:szCs w:val="18"/>
                <w:color w:val="auto"/>
              </w:rPr>
              <w:t>Jack A. Henry</w:t>
            </w:r>
          </w:p>
        </w:tc>
        <w:tc>
          <w:tcPr>
            <w:tcW w:w="240" w:type="dxa"/>
            <w:vAlign w:val="bottom"/>
          </w:tcPr>
          <w:p>
            <w:pPr>
              <w:jc w:val="center"/>
              <w:spacing w:after="0" w:line="201" w:lineRule="exact"/>
              <w:rPr>
                <w:sz w:val="20"/>
                <w:szCs w:val="20"/>
                <w:color w:val="auto"/>
              </w:rPr>
            </w:pPr>
            <w:r>
              <w:rPr>
                <w:rFonts w:ascii="Arial" w:cs="Arial" w:eastAsia="Arial" w:hAnsi="Arial"/>
                <w:sz w:val="18"/>
                <w:szCs w:val="18"/>
                <w:color w:val="auto"/>
                <w:w w:val="89"/>
              </w:rPr>
              <w:t>72</w:t>
            </w:r>
          </w:p>
        </w:tc>
        <w:tc>
          <w:tcPr>
            <w:tcW w:w="120" w:type="dxa"/>
            <w:vAlign w:val="bottom"/>
          </w:tcPr>
          <w:p>
            <w:pPr>
              <w:spacing w:after="0"/>
              <w:rPr>
                <w:sz w:val="17"/>
                <w:szCs w:val="17"/>
                <w:color w:val="auto"/>
              </w:rPr>
            </w:pPr>
          </w:p>
        </w:tc>
        <w:tc>
          <w:tcPr>
            <w:tcW w:w="4740" w:type="dxa"/>
            <w:vAlign w:val="bottom"/>
            <w:gridSpan w:val="2"/>
          </w:tcPr>
          <w:p>
            <w:pPr>
              <w:spacing w:after="0" w:line="201" w:lineRule="exact"/>
              <w:rPr>
                <w:sz w:val="20"/>
                <w:szCs w:val="20"/>
                <w:color w:val="auto"/>
              </w:rPr>
            </w:pPr>
            <w:r>
              <w:rPr>
                <w:rFonts w:ascii="Arial" w:cs="Arial" w:eastAsia="Arial" w:hAnsi="Arial"/>
                <w:sz w:val="18"/>
                <w:szCs w:val="18"/>
                <w:color w:val="auto"/>
              </w:rPr>
              <w:t>Director</w:t>
            </w:r>
          </w:p>
        </w:tc>
        <w:tc>
          <w:tcPr>
            <w:tcW w:w="4520" w:type="dxa"/>
            <w:vAlign w:val="bottom"/>
          </w:tcPr>
          <w:p>
            <w:pPr>
              <w:spacing w:after="0" w:line="201" w:lineRule="exact"/>
              <w:rPr>
                <w:sz w:val="20"/>
                <w:szCs w:val="20"/>
                <w:color w:val="auto"/>
              </w:rPr>
            </w:pPr>
            <w:r>
              <w:rPr>
                <w:rFonts w:ascii="Arial" w:cs="Arial" w:eastAsia="Arial" w:hAnsi="Arial"/>
                <w:sz w:val="18"/>
                <w:szCs w:val="18"/>
                <w:color w:val="auto"/>
              </w:rPr>
              <w:t>Audit (chair)</w:t>
            </w:r>
          </w:p>
        </w:tc>
      </w:tr>
      <w:tr>
        <w:trPr>
          <w:trHeight w:val="230"/>
        </w:trPr>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Compensation</w:t>
            </w:r>
          </w:p>
        </w:tc>
      </w:tr>
      <w:tr>
        <w:trPr>
          <w:trHeight w:val="215"/>
        </w:trPr>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Bradley A. Casper</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Corporate Governance (chair)</w:t>
            </w:r>
          </w:p>
        </w:tc>
      </w:tr>
      <w:tr>
        <w:trPr>
          <w:trHeight w:val="244"/>
        </w:trPr>
        <w:tc>
          <w:tcPr>
            <w:tcW w:w="3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Audit</w:t>
            </w:r>
          </w:p>
        </w:tc>
      </w:tr>
      <w:tr>
        <w:trPr>
          <w:trHeight w:val="202"/>
        </w:trPr>
        <w:tc>
          <w:tcPr>
            <w:tcW w:w="1800" w:type="dxa"/>
            <w:vAlign w:val="bottom"/>
            <w:gridSpan w:val="2"/>
          </w:tcPr>
          <w:p>
            <w:pPr>
              <w:spacing w:after="0" w:line="201" w:lineRule="exact"/>
              <w:rPr>
                <w:sz w:val="20"/>
                <w:szCs w:val="20"/>
                <w:color w:val="auto"/>
              </w:rPr>
            </w:pPr>
            <w:r>
              <w:rPr>
                <w:rFonts w:ascii="Arial" w:cs="Arial" w:eastAsia="Arial" w:hAnsi="Arial"/>
                <w:sz w:val="18"/>
                <w:szCs w:val="18"/>
                <w:color w:val="auto"/>
              </w:rPr>
              <w:t>Kevin F. Warren</w:t>
            </w:r>
          </w:p>
        </w:tc>
        <w:tc>
          <w:tcPr>
            <w:tcW w:w="240" w:type="dxa"/>
            <w:vAlign w:val="bottom"/>
          </w:tcPr>
          <w:p>
            <w:pPr>
              <w:jc w:val="center"/>
              <w:spacing w:after="0" w:line="201" w:lineRule="exact"/>
              <w:rPr>
                <w:sz w:val="20"/>
                <w:szCs w:val="20"/>
                <w:color w:val="auto"/>
              </w:rPr>
            </w:pPr>
            <w:r>
              <w:rPr>
                <w:rFonts w:ascii="Arial" w:cs="Arial" w:eastAsia="Arial" w:hAnsi="Arial"/>
                <w:sz w:val="18"/>
                <w:szCs w:val="18"/>
                <w:color w:val="auto"/>
                <w:w w:val="89"/>
              </w:rPr>
              <w:t>52</w:t>
            </w:r>
          </w:p>
        </w:tc>
        <w:tc>
          <w:tcPr>
            <w:tcW w:w="120" w:type="dxa"/>
            <w:vAlign w:val="bottom"/>
          </w:tcPr>
          <w:p>
            <w:pPr>
              <w:spacing w:after="0"/>
              <w:rPr>
                <w:sz w:val="17"/>
                <w:szCs w:val="17"/>
                <w:color w:val="auto"/>
              </w:rPr>
            </w:pPr>
          </w:p>
        </w:tc>
        <w:tc>
          <w:tcPr>
            <w:tcW w:w="4740" w:type="dxa"/>
            <w:vAlign w:val="bottom"/>
            <w:gridSpan w:val="2"/>
          </w:tcPr>
          <w:p>
            <w:pPr>
              <w:spacing w:after="0" w:line="201" w:lineRule="exact"/>
              <w:rPr>
                <w:sz w:val="20"/>
                <w:szCs w:val="20"/>
                <w:color w:val="auto"/>
              </w:rPr>
            </w:pPr>
            <w:r>
              <w:rPr>
                <w:rFonts w:ascii="Arial" w:cs="Arial" w:eastAsia="Arial" w:hAnsi="Arial"/>
                <w:sz w:val="18"/>
                <w:szCs w:val="18"/>
                <w:color w:val="auto"/>
              </w:rPr>
              <w:t>Director</w:t>
            </w:r>
          </w:p>
        </w:tc>
        <w:tc>
          <w:tcPr>
            <w:tcW w:w="4520" w:type="dxa"/>
            <w:vAlign w:val="bottom"/>
          </w:tcPr>
          <w:p>
            <w:pPr>
              <w:spacing w:after="0" w:line="201" w:lineRule="exact"/>
              <w:rPr>
                <w:sz w:val="20"/>
                <w:szCs w:val="20"/>
                <w:color w:val="auto"/>
              </w:rPr>
            </w:pPr>
            <w:r>
              <w:rPr>
                <w:rFonts w:ascii="Arial" w:cs="Arial" w:eastAsia="Arial" w:hAnsi="Arial"/>
                <w:sz w:val="18"/>
                <w:szCs w:val="18"/>
                <w:color w:val="auto"/>
              </w:rPr>
              <w:t>Nominating and Corporate Governance</w:t>
            </w:r>
          </w:p>
        </w:tc>
      </w:tr>
      <w:tr>
        <w:trPr>
          <w:trHeight w:val="230"/>
        </w:trPr>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Audit</w:t>
            </w:r>
          </w:p>
        </w:tc>
      </w:tr>
      <w:tr>
        <w:trPr>
          <w:trHeight w:val="215"/>
        </w:trPr>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Sara R. Dial</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12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r>
      <w:tr>
        <w:trPr>
          <w:trHeight w:val="244"/>
        </w:trPr>
        <w:tc>
          <w:tcPr>
            <w:tcW w:w="3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Corporate Governance</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Brent D. Richardson </w:t>
      </w:r>
      <w:r>
        <w:rPr>
          <w:rFonts w:ascii="Arial" w:cs="Arial" w:eastAsia="Arial" w:hAnsi="Arial"/>
          <w:sz w:val="16"/>
          <w:szCs w:val="16"/>
          <w:color w:val="auto"/>
        </w:rPr>
        <w:t>has been serving as our non-executive Chairman of the Board since June 17, 2015. Mr. Richardson previously served as our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Executive Chairman from July 1, 2008 to June 2015, and as our Chief Executive Officer and as a director from 2004 to July 2008. From 2000 to 2004,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Mr. Richardson served as Chief Executive Officer of Masters Online, LLC, a company that provided online educational programs and marketing services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several regionally and nationally accredited universities. Prior to 2000, Mr. Richardson served as Director of Sales and Marketing and later General Manager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Educational Division of Private Networks, a company that produced customized distance learning curricula for the healthcare and automotive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industries. Mr. Richardson received a Bachelor of Science degree in Finance from Eastern Illinois University. As our former Chief Executive Officer,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with more than 20 years of experience in the education industry, we believe that Mr. Richardson brings an extensive understanding of both our Company,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particular, and the education industry, in general, to the Board and serves as an invaluable resource for assessing and managing risks and planning for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corporate strategy within the context of our overall corporate culture.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i w:val="1"/>
          <w:iCs w:val="1"/>
          <w:color w:val="auto"/>
        </w:rPr>
        <w:t xml:space="preserve">Brian E. Mueller </w:t>
      </w:r>
      <w:r>
        <w:rPr>
          <w:rFonts w:ascii="Arial" w:cs="Arial" w:eastAsia="Arial" w:hAnsi="Arial"/>
          <w:sz w:val="17"/>
          <w:szCs w:val="17"/>
          <w:color w:val="auto"/>
        </w:rPr>
        <w:t>has been serving as our Chief Executive Officer since July 1, 2008, as a director since March 2009 and as the President of Grand</w:t>
      </w:r>
      <w:r>
        <w:rPr>
          <w:rFonts w:ascii="Arial" w:cs="Arial" w:eastAsia="Arial" w:hAnsi="Arial"/>
          <w:sz w:val="17"/>
          <w:szCs w:val="17"/>
          <w:i w:val="1"/>
          <w:iCs w:val="1"/>
          <w:color w:val="auto"/>
        </w:rPr>
        <w:t xml:space="preserve"> </w:t>
      </w:r>
      <w:r>
        <w:rPr>
          <w:rFonts w:ascii="Arial" w:cs="Arial" w:eastAsia="Arial" w:hAnsi="Arial"/>
          <w:sz w:val="17"/>
          <w:szCs w:val="17"/>
          <w:color w:val="auto"/>
        </w:rPr>
        <w:t>Canyon University since September 1, 2012. Mr. Mueller has been serving as the President of the Grand Canyon University Foundation, a foundation formed to benefit public charities, since its formation in 2010 and as the President of LOPE Kingdom Fund, an entity formed to provide seed funding for entrepreneurial ventures initiated by Grand Canyon University students, since its formation in 2014. From 1987 to 2008, Mr. Mueller was employed by Apollo Education Group, Inc., a for-profit, postsecondary education company and the parent company of the University of Phoenix, serving between January 2006 and June 2008 as its President and a Director. Mr. Mueller previously served as the Chief Operating Officer of Apollo Education Group, Inc. from December 2005 to January 2006, as Chief Executive Officer of the University of Phoenix Online, a unit of the University of Phoenix, from March 2002 to November 2005, and as Chief Operating Officer and Senior Vice President of the University of Phoenix Online from May 1997 to March 2002. From 1987 to May 1997, Mr. Mueller held several positions in operations management for Apollo Education Group, Inc. From 1983 to 1987, Mr. Mueller was a professor at Concordia University. Mr. Mueller received a Bachelor of Arts degree in Education and a Master of Arts in Education degree from Concordia University. We believe that Mr. Mueller’s past experience working for both universities focused on traditional students and working adults, as well as his day to day leadership and intimate knowledge of our business and operations, provide the Board of Directors with both industry-wide and Company-specific experience and expertise.</w:t>
      </w:r>
    </w:p>
    <w:p>
      <w:pPr>
        <w:spacing w:after="0" w:line="188"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i w:val="1"/>
          <w:iCs w:val="1"/>
          <w:color w:val="auto"/>
        </w:rPr>
        <w:t xml:space="preserve">David J. Johnson </w:t>
      </w:r>
      <w:r>
        <w:rPr>
          <w:rFonts w:ascii="Arial" w:cs="Arial" w:eastAsia="Arial" w:hAnsi="Arial"/>
          <w:sz w:val="17"/>
          <w:szCs w:val="17"/>
          <w:color w:val="auto"/>
        </w:rPr>
        <w:t>has been serving as a member of our Board of Directors since November 2008. From 1997 to 2006, Mr. Johnson served as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and Chairman of the Board of Directors of KinderCare Learning Centers, Inc., a for-profit provider of early childhood education and care services, and from 1991 to 1996, he served as President, Chief Executive Officer, and Chairman of the Board of Directors of Red Lion Hotels Corporation, a hotel company, each of which were portfolio companies of Kohlberg Kravis Roberts &amp; Co. Prior to that time, Mr. Johnson served as a general partner of Hellman &amp; Friedman, a private equity investment firm, from 1989 to 1991, as President, Chief Operating Officer and Director of Dillingham Holdings, a diversified company, from 1986 to 1988, and as President and Chief Executive Officer of Cal Gas Corporation, a principal subsidiary of Dillingham Holdings, which was also a portfolio company of Kohlberg Kravis Roberts &amp; Co., from 1984 to 1987. Mr. Johnson currently serves as a director of Red Lion Hotels Corporation, a hospitality company. Mr. Johnson received a Bachelor of Arts degree from the University of Oregon and a Master of Business Administration degree from the University of Southern California. We believe that Mr. Johnson’s extensive experience as a chief executive officer of other companies provides a tremendous resource to our Board of Directors and management team, particularly in the areas of operations, finance, and corporate governance.</w:t>
      </w:r>
    </w:p>
    <w:p>
      <w:pPr>
        <w:spacing w:after="0" w:line="1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Jack A. Henry </w:t>
      </w:r>
      <w:r>
        <w:rPr>
          <w:rFonts w:ascii="Arial" w:cs="Arial" w:eastAsia="Arial" w:hAnsi="Arial"/>
          <w:sz w:val="16"/>
          <w:szCs w:val="16"/>
          <w:color w:val="auto"/>
        </w:rPr>
        <w:t>has been serving as a member of our Board of Directors since November 2008. Since 2000, Mr. Henry has served as the Managing</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of Sierra Blanca Ventures, LLC, a private investment and advisory firm. From 1966 to 2000, Mr. Henry worked as a certified public accountant for Arthur Andersen, a national accounting firm, retiring in 2000 as the Managing Partner of the Phoenix, Arizona office. Mr. Henry currently serves on the boards of directors and audit committees of several private companies and is President of the Arizona Chapter of the National Association of Corporate Directors. Mr. Henry received a Bachelor of Business Administration degree and a Master of Business Administration degree from the University of Michigan. We believe that Mr. Henry’s extensive experience with public and financial accounting matters for corporate organizations, as well as experience as a consultant to and director of other public companies, provide significant insight and expertise to our Board of Directors.</w:t>
      </w:r>
    </w:p>
    <w:p>
      <w:pPr>
        <w:spacing w:after="0" w:line="16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i w:val="1"/>
          <w:iCs w:val="1"/>
          <w:color w:val="auto"/>
        </w:rPr>
        <w:t xml:space="preserve">Bradley A. Casper </w:t>
      </w:r>
      <w:r>
        <w:rPr>
          <w:rFonts w:ascii="Arial" w:cs="Arial" w:eastAsia="Arial" w:hAnsi="Arial"/>
          <w:sz w:val="16"/>
          <w:szCs w:val="16"/>
          <w:color w:val="auto"/>
        </w:rPr>
        <w:t>has been serving as a member of our Board of Directors since August 2011. From November 2013 to June 2015, Mr. Casper served</w:t>
      </w:r>
      <w:r>
        <w:rPr>
          <w:rFonts w:ascii="Arial" w:cs="Arial" w:eastAsia="Arial" w:hAnsi="Arial"/>
          <w:sz w:val="16"/>
          <w:szCs w:val="16"/>
          <w:i w:val="1"/>
          <w:iCs w:val="1"/>
          <w:color w:val="auto"/>
        </w:rPr>
        <w:t xml:space="preserve"> </w:t>
      </w:r>
      <w:r>
        <w:rPr>
          <w:rFonts w:ascii="Arial" w:cs="Arial" w:eastAsia="Arial" w:hAnsi="Arial"/>
          <w:sz w:val="16"/>
          <w:szCs w:val="16"/>
          <w:color w:val="auto"/>
        </w:rPr>
        <w:t>as the President and Chief Executive Officer of Dogswell, LLC, a private equity-backed pet nutrition business. From 2011 to 2012, Mr. Casper served as the President of Business Operations for the Phoenix Suns, a National Basketball Association franchise, and also as the Executive Chairman of Dymatize Nutrition, Inc., a private-equity backed sports nutrition company. From 2005 to 2010, Mr. Casper served as the President and Chief Executive Officer of The Dial Corporation, a consumer product manufacturing company. From 2002 to 2005, Mr. Casper served as the President of the Personal Care division of Church &amp; Dwight Co., Inc., a manufacturer and distributor of consumer goods. Prior to that time, he served in various positions over 16 years at Procter &amp; Gamble Co. Mr. Casper received his Bachelor of Science degree in Finance from Virginia Tech University and is a graduate of the Financial Management Program at General Electric Company. We believe that Mr. Casper’s extensive experience as a chief executive officer of other companies provides a tremendous resource to our Board of Directors and management team, particularly in the areas of operations, finance and corporate governance.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 xml:space="preserve">Kevin F. Warren </w:t>
      </w:r>
      <w:r>
        <w:rPr>
          <w:rFonts w:ascii="Arial" w:cs="Arial" w:eastAsia="Arial" w:hAnsi="Arial"/>
          <w:sz w:val="17"/>
          <w:szCs w:val="17"/>
          <w:color w:val="auto"/>
        </w:rPr>
        <w:t>has been serving as a member of our Board of Directors since September 2012. Mr. Warren has served as a senior officer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Minnesota Vikings, a National Football League franchise, since 2005 and currently serves as the club’s Chief Operating Officer, with responsibility for the day-to-day business operations. Prior to joining the Vikings, from 2003 to 2005, Mr. Warren worked with the international law firm of Greenberg Traurig, which included working with the Wilf ownership group during its acquisition of the Vikings. From 2001 to 2003, Mr. Warren served as Senior Vice President of Business Operations &amp; General Counsel for the Detroit Lions. Prior to that time, Mr. Warren worked with the St. Louis Rams, as Vice President of Football Administration in 2001 and as Vice President of Player Programs &amp; Football Legal Counsel from 1997 to 2000. Mr. Warren earned his bachelor’s degree in business administration from Grand Canyon University and, in March 2012, was inducted into the Grand Canyon University Athletics Hall of Fame. Mr. Warren earned his master’s degree in business administration from Arizona State University, and his Juris Doctorate degree from the University of Notre Dame School of Law. We believe Mr. Warren’s extensive experience with legal, financial and marketing matters provides a tremendous resource to our Board of Directors and management team, particularly in the areas of operations, finance and corporate governance.</w:t>
      </w:r>
    </w:p>
    <w:p>
      <w:pPr>
        <w:spacing w:after="0" w:line="17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i w:val="1"/>
          <w:iCs w:val="1"/>
          <w:color w:val="auto"/>
        </w:rPr>
        <w:t xml:space="preserve">Sara R. Dial </w:t>
      </w:r>
      <w:r>
        <w:rPr>
          <w:rFonts w:ascii="Arial" w:cs="Arial" w:eastAsia="Arial" w:hAnsi="Arial"/>
          <w:sz w:val="16"/>
          <w:szCs w:val="16"/>
          <w:color w:val="auto"/>
        </w:rPr>
        <w:t>has been serving as a member of our Board of Directors since March 2013. Ms. Dial has served as President and Chief Executive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of Sara Dial &amp; Associates, an economic development consulting firm specializing in site selection and government relations since 1996. She has led high profile economic development initiatives in Arizona including the creation and implementation of an urban revitalization model, the “Discovery Triangle” and the restructuring of Arizona’s statewide economic development organization under Governor Brewer, resulting in the creation of the agency now known as the Arizona Commerce Authority. From 2002 through 2003, Ms. Dial also served as the Chief Executive of Social Venture Partners Arizona, a philanthropic foundation using a venture capital approach to giving. In 2004, Ms. Dial was elected as Chairman of the Board of Social Venture Partners Arizona. From 1993 to 1996, Ms. Dial served as the director of the Arizona Department of Commerce, having previously served as the finance director from 1991 to 1993. Prior to her work in the public sector, Ms. Dial worked in the investment banking industry at Rauscher Pierces Refsnes, Boettcher and Company and Kemper Securities Group, focusing on municipal finance. Currently, Ms. Dial is a director for Mobile Mini, Inc., a publicly traded provider of portable storage solutions, and she also sits on the local and national advisory boards of BBVA Compass Bank. Ms. Dial was previously a member of the board of trustees at Seattle Pacific University. Ms. Dial is a graduate of Stanford University with a Bachelor of Arts degree in international relations. We believe Ms. Dial’s extensive experience with government, higher education and economic development provides a tremendous resource to our Board of Directors and management team, particularly in the areas of government relations, finance and corporate governance.</w:t>
      </w:r>
    </w:p>
    <w:p>
      <w:pPr>
        <w:spacing w:after="0" w:line="171"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b w:val="1"/>
          <w:bCs w:val="1"/>
          <w:color w:val="auto"/>
        </w:rPr>
        <w:t xml:space="preserve">Our Board of Directors unanimously recommends that the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election of each of the seven nominees listed above to constitute our Board of Directors.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CERTAIN PROVISIONS OF OUR ANNUAL CASH INCENTIVE PLAN IN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ACCORDANCE WITH SECTION 162(M) OF THE INTERNAL REVENUE CODE</w:t>
      </w:r>
    </w:p>
    <w:p>
      <w:pPr>
        <w:spacing w:after="0" w:line="21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Board of Directors previously adopted, and our stockholders previously approved, our Annual Cash Incentive Plan (the “Cash Incentive Plan”), under which annual cash bonuses paid to plan participants can qualify as “performance-based” compensation under Section 162(m) of the Internal Revenue Code of 1986, as amended (the “Code”) and thus be fully deductible by the Company for federal income tax purposes. Our stockholders now are being asked to approve certain provisions of the Cash Incentive Plan solely for the purpose of preserving the Company’s ability to deduct in full for federal income tax purposes the compensation recognized by certain of our executive officers in connection with performance-based awards that may be granted to them in the future under the Cash Incentive Plan.</w:t>
      </w:r>
    </w:p>
    <w:p>
      <w:pPr>
        <w:spacing w:after="0" w:line="1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162(m) and related guidance generally preclude a publicly traded company from taking a tax deduction for compensation in excess of $1.0 million per individual paid to certain “covered employees.” These covered employees consist of our chief executive officer and our three other highest compensated officers, excluding our chief financial officer. The deduction limitation is subject to an exception for “performance-based” compensation that meets certain requirements, including a requirement that the “material terms of the performance goals” applicable to the covered employees must be disclosed to and approved by stockholders before any compensation is paid to them. Stockholder approval of this Proposal will constitute approval of the “material terms of the performance goals” under the plan within the meaning of the regulations under Section 162(m). By approving this Proposal, the stockholders will be approving, among other things, the participant eligibility requirements, the performance criteria on which incentive awards are based and the maximum dollar amount of compensation that may be paid under the plan to any covered employee in any fiscal year.</w:t>
      </w:r>
    </w:p>
    <w:p>
      <w:pPr>
        <w:spacing w:after="0" w:line="166"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The Board of Directors believes that it is in the best interests of the Company and its stockholders to continue to preserve the ability of the Company to deduct in full compensation related to performance-based awards granted under the Cash Incentive Plan. Therefore, solely for the purpose of qualifying such compensation as performance-based under Section 162(m), the stockholders are asked to approve the following provisions of the Cash Incentive Plan:</w:t>
      </w:r>
    </w:p>
    <w:p>
      <w:pPr>
        <w:spacing w:after="0" w:line="52" w:lineRule="exact"/>
        <w:rPr>
          <w:sz w:val="20"/>
          <w:szCs w:val="20"/>
          <w:color w:val="auto"/>
        </w:rPr>
      </w:pPr>
    </w:p>
    <w:p>
      <w:pPr>
        <w:ind w:left="900" w:right="8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employees of the Company and any parent or subsidiary corporation of the Company or other affiliated entity are eligible to be granted cash-based awards under the Cash Incentive Plan.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covered employee may receive in any fiscal year under the Cash Incentive Plan a cash bonus that exceeds $2,000,000.</w:t>
      </w:r>
    </w:p>
    <w:p>
      <w:pPr>
        <w:spacing w:after="0" w:line="130" w:lineRule="exact"/>
        <w:rPr>
          <w:rFonts w:ascii="Arial" w:cs="Arial" w:eastAsia="Arial" w:hAnsi="Arial"/>
          <w:sz w:val="18"/>
          <w:szCs w:val="18"/>
          <w:color w:val="auto"/>
        </w:rPr>
      </w:pPr>
    </w:p>
    <w:p>
      <w:pPr>
        <w:ind w:left="900" w:right="20" w:hanging="446"/>
        <w:spacing w:after="0" w:line="271"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performance goals for each fiscal year must be based on one or more of the following measures of Company performance: (i) revenue targets; (ii) adjusted EBITDA targets (as such term is defined from time to time in the Company’s periodic reports as filed with the Securities and Exchange Commission); (iii) return measures (including, but not limited to, return on assets, capital, investment, equity or sales, and total stockholder return); (iv) earnings per share; (v) net income (before or after taxes) or operating income; (vi) budget comparisons; (vii) regulatory compliance; (viii) productivity improvements; (ix) measures of student satisfaction or achievement; (x) any combination of, or a specified increase in, any of the foregoing; and (xi) the completion of corporate transactions intended to enhance the Company’s revenue or profitability. The Compensation Committee may also establish personal performance goals for any participant, but may not increase the bonus amount otherwise earned by a covered employee based upon achievement of the foregoing performance goals.</w:t>
      </w:r>
    </w:p>
    <w:p>
      <w:pPr>
        <w:spacing w:after="0" w:line="179"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If the stockholders do not approve this proposal, we will not be able to provide annual cash incentives under the Cash Incentive Plan to our “covered employees” as defined in Section 162(m) until such time, if any, as stockholder approval of a subsequent similar proposal is obtained.</w:t>
      </w:r>
    </w:p>
    <w:p>
      <w:pPr>
        <w:spacing w:after="0" w:line="14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affirmative vote of a majority of shares of common stock present in person or represented by proxy and voting at the Annual Meeting and entitled to vote on the matter is required for approval of this proposal.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 xml:space="preserve">Our Board of Directors unanimously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approval of the provisions of our Annual Cash Incentive Plan setting forth the material terms of the performance goals.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Cash Incentive Plan</w:t>
      </w:r>
    </w:p>
    <w:p>
      <w:pPr>
        <w:spacing w:after="0" w:line="121"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 xml:space="preserve">The following is a summary of the Cash Incentive Plan. It is qualified in its entirety by reference to the full text of the Plan. Copies of the Cash Incentive Plan are available to any stockholder upon request addressed to Investor Relations, Grand Canyon Education, Inc., 3300 West Camelback Road, Phoenix, Arizona 85017. The Cash Incentive Plan may also be viewed without charge on the Securities and Exchange Commission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w:t>
      </w:r>
    </w:p>
    <w:p>
      <w:pPr>
        <w:spacing w:after="0" w:line="147"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Cash Incentive Plan will be administered by the Compensation Committee, consisting of at least two nonemployee directors, each</w:t>
      </w:r>
      <w:r>
        <w:rPr>
          <w:rFonts w:ascii="Arial" w:cs="Arial" w:eastAsia="Arial" w:hAnsi="Arial"/>
          <w:sz w:val="16"/>
          <w:szCs w:val="16"/>
          <w:i w:val="1"/>
          <w:iCs w:val="1"/>
          <w:color w:val="auto"/>
        </w:rPr>
        <w:t xml:space="preserve"> </w:t>
      </w:r>
      <w:r>
        <w:rPr>
          <w:rFonts w:ascii="Arial" w:cs="Arial" w:eastAsia="Arial" w:hAnsi="Arial"/>
          <w:sz w:val="16"/>
          <w:szCs w:val="16"/>
          <w:color w:val="auto"/>
        </w:rPr>
        <w:t>of whom satisfies the requirements for an “outside director” as the term is defined under Section 162(m). The Compensation Committee may delegate authority to a designee with respect to administration of awards granted to persons who are not “covered employees” within the meaning of Section 162(m).</w:t>
      </w:r>
    </w:p>
    <w:p>
      <w:pPr>
        <w:spacing w:after="0" w:line="147"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All of our employees, including all executive officers, are eligible to be designated to participate in the Cash Incentive Plan, and,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 approval of this Proposal 2, were selected by the Compensation Committee to participate in the Cash Incentive Plan for 2016.</w:t>
      </w:r>
    </w:p>
    <w:p>
      <w:pPr>
        <w:spacing w:after="0" w:line="14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i w:val="1"/>
          <w:iCs w:val="1"/>
          <w:color w:val="auto"/>
        </w:rPr>
        <w:t xml:space="preserve">Determination of awards under the Cash Incentive Plan. </w:t>
      </w:r>
      <w:r>
        <w:rPr>
          <w:rFonts w:ascii="Arial" w:cs="Arial" w:eastAsia="Arial" w:hAnsi="Arial"/>
          <w:sz w:val="18"/>
          <w:szCs w:val="18"/>
          <w:color w:val="auto"/>
        </w:rPr>
        <w:t>For each fiscal year, the Compensation Committee establishes one or more performance goals</w:t>
      </w:r>
      <w:r>
        <w:rPr>
          <w:rFonts w:ascii="Arial" w:cs="Arial" w:eastAsia="Arial" w:hAnsi="Arial"/>
          <w:sz w:val="18"/>
          <w:szCs w:val="18"/>
          <w:i w:val="1"/>
          <w:iCs w:val="1"/>
          <w:color w:val="auto"/>
        </w:rPr>
        <w:t xml:space="preserve"> </w:t>
      </w:r>
      <w:r>
        <w:rPr>
          <w:rFonts w:ascii="Arial" w:cs="Arial" w:eastAsia="Arial" w:hAnsi="Arial"/>
          <w:sz w:val="18"/>
          <w:szCs w:val="18"/>
          <w:color w:val="auto"/>
        </w:rPr>
        <w:t>to be satisfied and the target bonus to be earned by each participant if those performance goals are satisfied. The target bonus may be either an absolute dollar amount or a specified percentage of base salary, as determined by the Compensation Committee. For those participants who are covered employees, the Compensation Committee generally must establish the applicable annual performance goals no later the 90 days after the commencement of the fiscal year and at a time when their outcome remains substantially uncertain.</w:t>
      </w:r>
    </w:p>
    <w:p>
      <w:pPr>
        <w:spacing w:after="0" w:line="18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performance goals for each fiscal year must be based on one or more of the following measures of Company performance: (i) revenue targets; (ii) adjusted EBITDA targets (as such term is defined from time to time in the Company’s periodic reports as filed with the Securities and Exchange Commission); (iii) return measures (including, but not limited to, return on assets, capital, investment, equity or sales, and total stockholder return); (iv) earnings per share; (v) net income (before or after taxes) or operating income; (vi) budget comparisons; (vii) regulatory compliance; (viii) productivity improvements; (ix) measures of student satisfaction or achievement; (x) any combination of, or a specified increase in, any of the foregoing; and (xi) the completion of corporate transactions intended to enhance the Company’s revenue or profitability. The Compensation Committee may also establish personal performance goals for any participant.</w:t>
      </w:r>
    </w:p>
    <w:p>
      <w:pPr>
        <w:spacing w:after="0" w:line="189"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Performance goals may be based upon the attainment of specified levels of the Company’s performance under one or more of the measures described above relative to a budget, an index or the performance of other entities and may also be based on the performance of any of the Company’s business units. Performance goals may include a minimum threshold level of performance below which no award will be earned, levels of performance at which specified portions of an award will be earned and a maximum level of credited performance above which no greater award may be earned. The measured attainment of performance goals may include or exclude certain extraordinary items or transactions, as determined by the Compensation Committee.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maximum bonus payable to any participant in a fiscal year may not be greater than 200% of the participant’s base salary for the year or exceed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$2,000,000. This amount is greater than bonus levels paid by the Company in previous years. This bonus limit was set in part to allow the Cash Incentive Plan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accommodate continued growth of the Company. The Board believes that this limit will provide the Compensation Committee with sufficient flexibility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recognize exceptional individual performance.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Final payouts for a fiscal year under the Cash Incentive Plan must be certified in writing by the Compensation Committee and will occur as soon as practicable after the close of the Company’s financial books for the fiscal year. To be eligible to receive a bonus payment, a participant must generally remain an employee as of the last day of the fiscal year. However, the Compensation Committee may authorize a prorated bonus payment based on actual achievement of the applicable performance goals for the full fiscal to any employee whose employment terminates during the year by reason of death, disability, retirement or involuntary termination due to a reduction in force after at least six months of service during the year. The Compensation Committee may adjust an individual bonus payment up or down based on the individual’s personal performance, provided that no such upward adjustment may be made to any bonus payable to a covered employee.</w:t>
      </w:r>
    </w:p>
    <w:p>
      <w:pPr>
        <w:spacing w:after="0" w:line="18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color w:val="auto"/>
        </w:rPr>
        <w:t xml:space="preserve">Deferral of bonuses. </w:t>
      </w:r>
      <w:r>
        <w:rPr>
          <w:rFonts w:ascii="Arial" w:cs="Arial" w:eastAsia="Arial" w:hAnsi="Arial"/>
          <w:sz w:val="18"/>
          <w:szCs w:val="18"/>
          <w:color w:val="auto"/>
        </w:rPr>
        <w:t>Bonuses earned under the Cash Incentive Plan generally must be paid no later than the 15th day of the third month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end of the fiscal year. However, the Compensation Committee may permit a participant to defer all or part of the bonus awarded to such participant under any Company sponsored deferred compensation plan for which that participant is eligible.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Amendment or termination. </w:t>
      </w:r>
      <w:r>
        <w:rPr>
          <w:rFonts w:ascii="Arial" w:cs="Arial" w:eastAsia="Arial" w:hAnsi="Arial"/>
          <w:sz w:val="18"/>
          <w:szCs w:val="18"/>
          <w:color w:val="auto"/>
        </w:rPr>
        <w:t>The Company reserves the right, exercisable by the Compensation Committee, to amend the Cash Incentive Plan at any</w:t>
      </w:r>
      <w:r>
        <w:rPr>
          <w:rFonts w:ascii="Arial" w:cs="Arial" w:eastAsia="Arial" w:hAnsi="Arial"/>
          <w:sz w:val="18"/>
          <w:szCs w:val="18"/>
          <w:i w:val="1"/>
          <w:iCs w:val="1"/>
          <w:color w:val="auto"/>
        </w:rPr>
        <w:t xml:space="preserve"> </w:t>
      </w:r>
      <w:r>
        <w:rPr>
          <w:rFonts w:ascii="Arial" w:cs="Arial" w:eastAsia="Arial" w:hAnsi="Arial"/>
          <w:sz w:val="18"/>
          <w:szCs w:val="18"/>
          <w:color w:val="auto"/>
        </w:rPr>
        <w:t>time and in any respect or to discontinue and terminate the Cash Incentive Plan in whole or in part at any time; provided, however, that certain amendments to the Cash Incentive Plan will be subject to approval of the Company’s stockholders in such manner and with such frequency as shall be required under Section 162(m).</w:t>
      </w:r>
    </w:p>
    <w:p>
      <w:pPr>
        <w:spacing w:after="0" w:line="187"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i w:val="1"/>
          <w:iCs w:val="1"/>
          <w:color w:val="auto"/>
        </w:rPr>
        <w:t xml:space="preserve">Summary of federal income tax consequences. </w:t>
      </w:r>
      <w:r>
        <w:rPr>
          <w:rFonts w:ascii="Arial" w:cs="Arial" w:eastAsia="Arial" w:hAnsi="Arial"/>
          <w:sz w:val="17"/>
          <w:szCs w:val="17"/>
          <w:color w:val="auto"/>
        </w:rPr>
        <w:t>Under present federal income tax law, participants will realize ordinary income, equal to the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the award paid to them, at the time of payment. That income will be subject to applicable income and employment tax withholding by the Company. The Company will receive a deduction for the amount constituting ordinary income to the participant, provided that the Cash Incentive Plan satisfies the requirements of Section 162(m), which imposes a $1,000,000 limitation on the income tax deductibility of non-performance-related compensation paid per individual in the group comprised of the Company’s chief executive officer and the three most highly compensated officers (other than the chief financial officer), and otherwise satisfies the requirements for deductibility under federal income tax law.</w:t>
      </w:r>
    </w:p>
    <w:p>
      <w:pPr>
        <w:spacing w:after="0" w:line="178"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i w:val="1"/>
          <w:iCs w:val="1"/>
          <w:color w:val="auto"/>
        </w:rPr>
        <w:t>Award amounts</w:t>
      </w:r>
      <w:r>
        <w:rPr>
          <w:rFonts w:ascii="Arial" w:cs="Arial" w:eastAsia="Arial" w:hAnsi="Arial"/>
          <w:sz w:val="16"/>
          <w:szCs w:val="16"/>
          <w:color w:val="auto"/>
        </w:rPr>
        <w:t>. Bonuses payable under the Cash Incentive Plan for fiscal year 2016 and future years cannot currently be determined because they will</w:t>
      </w:r>
      <w:r>
        <w:rPr>
          <w:rFonts w:ascii="Arial" w:cs="Arial" w:eastAsia="Arial" w:hAnsi="Arial"/>
          <w:sz w:val="16"/>
          <w:szCs w:val="16"/>
          <w:i w:val="1"/>
          <w:iCs w:val="1"/>
          <w:color w:val="auto"/>
        </w:rPr>
        <w:t xml:space="preserve"> </w:t>
      </w:r>
      <w:r>
        <w:rPr>
          <w:rFonts w:ascii="Arial" w:cs="Arial" w:eastAsia="Arial" w:hAnsi="Arial"/>
          <w:sz w:val="16"/>
          <w:szCs w:val="16"/>
          <w:color w:val="auto"/>
        </w:rPr>
        <w:t>depend on the attainment by the Company and plan participants of the specified performance goals established by the Compensation Committee. The amounts that were paid to our covered persons under the Cash Incentive Plan as in effect for fiscal years 2015, 2014 and 2013 are set forth in the Compensation Discussion and Analysis section under the “Non-Equity Incentive Plan Compensation” column of the Summary Compensation Table.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CERTAIN PROVISIONS OF OUR 2008 EQUITY INCENTIVE PLAN IN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ACCORDANCE WITH SECTION 162(M) OF THE INTERNAL REVENUE CODE</w:t>
      </w:r>
    </w:p>
    <w:p>
      <w:pPr>
        <w:spacing w:after="0" w:line="211"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Our stockholders have previously approved our 2008 Equity Incentive Plan (the “Equity Incentive Plan”), under which employees, officers, directors and consultants may be granted equity-based and cash-based awards. The stockholders now are being asked to approve certain provisions of the Equity Incentive Plan solely for the purpose of preserving the Company’s ability to deduct in full for federal income tax purposes the compensation recognized by certain of our executive officers in connection with performance-based awards that may be granted to them in the future under the Equity Incentive Plan.</w:t>
      </w:r>
    </w:p>
    <w:p>
      <w:pPr>
        <w:spacing w:after="0" w:line="15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described in Proposal No. 2, under Section 162(m) of the Code and related guidance, we generally may not deduct for federal income tax purposes compensation paid to certain executive officers to the extent of any amounts of compensation received by any of these persons that exceeds $1.0 million in any single year. However, if the compensation qualifies as “performance-based” for Section 162(m) purposes, we may deduct it for federal income tax purposes even if it exceeds $1.0 million in a single year. In general, for a grant under the Equity Incentive Plan to qualify as “performance-based,” certain material terms of the Equity Incentive Plan must have been approved by our stockholders in a separate vote. The continued availability of the exemption for awards of performance-based compensation therefore depends upon obtaining approval of certain provisions of the Equity Incentive Plan by our stockholders at the 2016 annual meeting.</w:t>
      </w:r>
    </w:p>
    <w:p>
      <w:pPr>
        <w:spacing w:after="0" w:line="189"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Board of Directors believes that it is in the best interests of the Company and its stockholders to continue to preserve the ability of the Company to deduct in full compensation related to stock options, stock appreciation rights and other performance-based awards granted under the Equity Incentive Plan. Therefore, solely for the purpose of qualifying such compensation as performance-based under Section 162(m), the stockholders are asked to approve the following provisions of the Equity Incentive Plan (the “Section 162(m) Qualifying Provisions”):</w:t>
      </w:r>
    </w:p>
    <w:p>
      <w:pPr>
        <w:spacing w:after="0" w:line="77" w:lineRule="exact"/>
        <w:rPr>
          <w:sz w:val="20"/>
          <w:szCs w:val="20"/>
          <w:color w:val="auto"/>
        </w:rPr>
      </w:pPr>
    </w:p>
    <w:p>
      <w:pPr>
        <w:ind w:left="900" w:right="100" w:hanging="446"/>
        <w:spacing w:after="0" w:line="26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employees of the Company and any parent or subsidiary corporation of the Company or other affiliated entity are eligible to be granted stock options, stock appreciation rights, restricted stock, restricted stock units, performance shares, performance units, other stock-based awards and cash-based awards under the Equity Incentive Plan.</w:t>
      </w:r>
    </w:p>
    <w:p>
      <w:pPr>
        <w:spacing w:after="0" w:line="86"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participant may receive in any fiscal year under the Equity Incentive Plan equity-based awards intended to qualify as “performance-based” for more than 2,000,000 shares of our common stock, provided that this limit will be appropriately adjusted for stock splits, stock dividends and similar changes to the Company’s capital structure.</w:t>
      </w:r>
    </w:p>
    <w:p>
      <w:pPr>
        <w:spacing w:after="0" w:line="86"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participant may receive in any fiscal year under the Equity Incentive Plan cash-denominated awards intended to qualify as “performance-based” for more than $5,000,000 for each full fiscal year contained in the applicable performance period.</w:t>
      </w:r>
    </w:p>
    <w:p>
      <w:pPr>
        <w:spacing w:after="0" w:line="75" w:lineRule="exact"/>
        <w:rPr>
          <w:rFonts w:ascii="Arial" w:cs="Arial" w:eastAsia="Arial" w:hAnsi="Arial"/>
          <w:sz w:val="18"/>
          <w:szCs w:val="18"/>
          <w:color w:val="auto"/>
        </w:rPr>
      </w:pPr>
    </w:p>
    <w:p>
      <w:pPr>
        <w:ind w:left="900" w:right="80" w:hanging="446"/>
        <w:spacing w:after="0" w:line="284"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vesting of restricted stock, restricted stock units, performance share and performance unit awards and other stock-based awards and cash-based awards intended to qualify as “performance-based” may be made subject to the attainment of performance goals for a specified period of time relating to one or more of the following performance measures, either individually, alternatively or in any combination, applied to either the Company as a whole or to a business unit or subsidiary, either individually, alternatively or in any combination, and measured either annually or cumulatively over a period of years, on an absolute basis or relative to a pre-established target, to previous years’ results or to a designated comparison group or index, in each case as specified by the administrator in the award: (i) revenue, (ii) sales, (iii) expenses, (iv) operating income, (v) gross margin, (vi) operating margin, (vii) earnings before any one or more of: stock-based compensation expense, interest, taxes, depreciation and amortization, (viii) pre-tax profit, (ix) net operating income, (x) net income, (xi) economic value added, (xii) free cash flow,</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(xiii) operating cash flow, (xiv) balance of cash, cash equivalents and marketable securities, (xv) stock price, (xvi) earnings per share,</w:t>
      </w:r>
    </w:p>
    <w:p>
      <w:pPr>
        <w:spacing w:after="0" w:line="9" w:lineRule="exact"/>
        <w:rPr>
          <w:sz w:val="20"/>
          <w:szCs w:val="20"/>
          <w:color w:val="auto"/>
        </w:rPr>
      </w:pPr>
    </w:p>
    <w:p>
      <w:pPr>
        <w:ind w:left="900" w:right="220" w:hanging="1"/>
        <w:spacing w:after="0" w:line="281" w:lineRule="auto"/>
        <w:tabs>
          <w:tab w:leader="none" w:pos="1345"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return on stockholder equity, (xviii) return on capital, (xix) return on assets, (xx) return on investment, (xxi) employee satisfaction, (xxii) employee retention, (xxiii) market share, (xxiv) customer satisfaction, (xxv) product development, (xxvi) research and development expenses,</w:t>
      </w:r>
    </w:p>
    <w:p>
      <w:pPr>
        <w:spacing w:after="0" w:line="1" w:lineRule="exact"/>
        <w:rPr>
          <w:rFonts w:ascii="Arial" w:cs="Arial" w:eastAsia="Arial" w:hAnsi="Arial"/>
          <w:sz w:val="16"/>
          <w:szCs w:val="16"/>
          <w:color w:val="auto"/>
        </w:rPr>
      </w:pPr>
    </w:p>
    <w:p>
      <w:pPr>
        <w:ind w:left="1440" w:hanging="541"/>
        <w:spacing w:after="0"/>
        <w:tabs>
          <w:tab w:leader="none" w:pos="1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completion of an identified special project, or (xxviii) completion of a joint venture or other corporate transaction.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While we believe that compensation provided by such awards under the Equity Incentive Plan generally will be deductible by the Company for federal income tax purposes, under certain circumstances, such as a change in control of the Company, compensation paid in settlement of certain awards may not qualify as performance-based.</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believe that we must retain the flexibility to respond to changes in the market for top executive officers and offer compensation packages that are competitive with those offered by others in our industry. In the event we are motivated by competitive forces to offer compensation in excess of $1.0 million to executive officers, our Board of Directors believes it would be in our best interests and those of our stockholders to be able to deduct such compensation for federal income tax purposes.</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If stockholder approval of this proposal is not obtained, we will not make any further grants under the Equity Incentive Plan to our Chief Executive Officer and our other named executive officers who are “covered employees” as defined in Section 162(m), until such time, if any, as stockholder approval of a subsequent similar proposal is obtained.</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affirmative vote of a majority of shares of common stock present in person or represented by proxy and voting at the Annual Meeting and entitled to vote on the matter is required for approval of this proposal.</w:t>
      </w:r>
    </w:p>
    <w:p>
      <w:pPr>
        <w:spacing w:after="0" w:line="166"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b w:val="1"/>
          <w:bCs w:val="1"/>
          <w:color w:val="auto"/>
        </w:rPr>
        <w:t xml:space="preserve">Our Board of Directors unanimously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approval of the provisions of our 2008 equity incentive plan setting forth the material terms of the performance goals.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2008 Equity Incentive Plan</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following summary of the Equity Incentive Plan as currently in effect is qualified in its entirety by the specific language of the Equity Incentive Plan. Copies of the Equity Incentive Plan are available to any stockholder upon request addressed to Investor Relations, Grand Canyon Education, Inc., 3300 West Camelback Road, Phoenix, Arizona 85017. The Equity Incentive Plan may also be viewed without charge on the Securities and Exchange Commission website at www.sec.gov.</w:t>
      </w:r>
    </w:p>
    <w:p>
      <w:pPr>
        <w:spacing w:after="0" w:line="18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i w:val="1"/>
          <w:iCs w:val="1"/>
          <w:color w:val="auto"/>
        </w:rPr>
        <w:t>Purpose</w:t>
      </w:r>
      <w:r>
        <w:rPr>
          <w:rFonts w:ascii="Arial" w:cs="Arial" w:eastAsia="Arial" w:hAnsi="Arial"/>
          <w:sz w:val="16"/>
          <w:szCs w:val="16"/>
          <w:color w:val="auto"/>
        </w:rPr>
        <w:t>. Our Board of Directors and stockholders previously adopted the Equity Incentive Plan to enhance the link between the creation of stockholder</w:t>
      </w:r>
      <w:r>
        <w:rPr>
          <w:rFonts w:ascii="Arial" w:cs="Arial" w:eastAsia="Arial" w:hAnsi="Arial"/>
          <w:sz w:val="16"/>
          <w:szCs w:val="16"/>
          <w:i w:val="1"/>
          <w:iCs w:val="1"/>
          <w:color w:val="auto"/>
        </w:rPr>
        <w:t xml:space="preserve"> </w:t>
      </w:r>
      <w:r>
        <w:rPr>
          <w:rFonts w:ascii="Arial" w:cs="Arial" w:eastAsia="Arial" w:hAnsi="Arial"/>
          <w:sz w:val="16"/>
          <w:szCs w:val="16"/>
          <w:color w:val="auto"/>
        </w:rPr>
        <w:t>value and executive incentive compensation and to give our directors, executive officers and other employees appropriate motivation and rewards for achieving increases in share value. These incentives are provided through the grant of stock options, stock appreciation rights, restricted stock, restricted stock units, performance shares, performance units, other stock-based awards, cash-based awards, and nonemployee director awards.</w:t>
      </w:r>
    </w:p>
    <w:p>
      <w:pPr>
        <w:spacing w:after="0" w:line="154"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i w:val="1"/>
          <w:iCs w:val="1"/>
          <w:color w:val="auto"/>
        </w:rPr>
        <w:t>Shares reserved for issuance under the plan</w:t>
      </w:r>
      <w:r>
        <w:rPr>
          <w:rFonts w:ascii="Arial" w:cs="Arial" w:eastAsia="Arial" w:hAnsi="Arial"/>
          <w:sz w:val="17"/>
          <w:szCs w:val="17"/>
          <w:color w:val="auto"/>
        </w:rPr>
        <w:t>. As of February 29, 2016, we had authorized and reserved a total of 12,167,127 shares of our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for issuance under the Equity Incentive Plan. This reserve automatically increases on a cumulative basis on January 1 of each year through 2018, by an amount equal to the smaller of (a) 2.5% of the number of shares of common stock issued and outstanding on the immediately preceding December 31, or (b) an amount determined by our Board of Directors. The Compensation Committee of our Board of Directors elected to decline the increase that would have gone into effect as of January 1, 2016. We will make appropriate adjustments in the number of authorized shares and other numerical limits in the Equity Incentive Plan and in outstanding awards to prevent dilution or enlargement of participants’ rights in the event of a stock split or other change in our capital structure. Shares subject to awards that expire or are cancelled or forfeited will again become available for issuance under the Equity Incentive Plan. The shares available will not be reduced by awards settled in cash or by shares withheld to satisfy tax withholding obligations. Only the net number of shares issued upon the exercise of stock appreciation rights or options exercised by means of a net exercise or by tender of previously owned shares will be deducted from the shares available under the Equity Incentive Plan.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i w:val="1"/>
          <w:iCs w:val="1"/>
          <w:color w:val="auto"/>
        </w:rPr>
        <w:t>Certain award limits</w:t>
      </w:r>
      <w:r>
        <w:rPr>
          <w:rFonts w:ascii="Arial" w:cs="Arial" w:eastAsia="Arial" w:hAnsi="Arial"/>
          <w:sz w:val="18"/>
          <w:szCs w:val="18"/>
          <w:color w:val="auto"/>
        </w:rPr>
        <w:t>. To enable compensation provided in connection with certain types of awards intended to qualify as “performance-based”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meaning of Section 162(m) of the Code, the Equity Incentive Plan establishes limits on the maximum aggregate number of shares or dollar value for which such awards may be granted to an employee in any fiscal year, as follows:</w:t>
      </w:r>
    </w:p>
    <w:p>
      <w:pPr>
        <w:spacing w:after="0" w:line="87"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more than 2,000,000 shares under equity-based awards.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more than $5,000,000 for each full fiscal year contained in the performance period under cash-denominated awards.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comply with applicable tax rules, the Equity Incentive Plan also limits to 4,199,937 the number of shares that may be issued upon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exercise of incentive stock options granted under the Equity Incentive Plan, provided that this limit automatically increases on a cumulative basis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January 1 of each year through 2018, by an amount equal to the smaller of (a) the annual increase described above or (b) 4,199,937 shares. These award limits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are subject to appropriate adjustments in the event of a stock split or other change in our capital structure.</w:t>
      </w:r>
    </w:p>
    <w:p>
      <w:pPr>
        <w:spacing w:after="0" w:line="211" w:lineRule="exact"/>
        <w:rPr>
          <w:sz w:val="20"/>
          <w:szCs w:val="20"/>
          <w:color w:val="auto"/>
        </w:rPr>
      </w:pPr>
    </w:p>
    <w:p>
      <w:pPr>
        <w:jc w:val="both"/>
        <w:ind w:right="260" w:firstLine="456"/>
        <w:spacing w:after="0" w:line="312"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The Equity Incentive Plan is administered by our Compensation Committee or, if there is no Compensation Committee, by our</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acting as the Compensation Committee. The Compensation Committee has the complete discretion to make all decisions relating to the Equity Incentive Plan, including modifying outstanding awards. All such decisions shall be final and binding unless fraudulent or made in bad faith.</w:t>
      </w:r>
    </w:p>
    <w:p>
      <w:pPr>
        <w:spacing w:after="0" w:line="14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We may grant awards under the Equity Incentive Plan to our employees, officers, directors, or consultants, or those of any future parent or</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corporation or other affiliated entity. While we may grant incentive stock options only to employees, we may grant nonstatutory stock options, stock appreciation rights, restricted stock purchase rights or bonuses, restricted stock units, performance shares, performance units, and cash-based awards or other stock-based awards to any eligible participant.</w:t>
      </w:r>
    </w:p>
    <w:p>
      <w:pPr>
        <w:spacing w:after="0" w:line="187"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i w:val="1"/>
          <w:iCs w:val="1"/>
          <w:color w:val="auto"/>
        </w:rPr>
        <w:t>Description of options</w:t>
      </w:r>
      <w:r>
        <w:rPr>
          <w:rFonts w:ascii="Arial" w:cs="Arial" w:eastAsia="Arial" w:hAnsi="Arial"/>
          <w:sz w:val="16"/>
          <w:szCs w:val="16"/>
          <w:color w:val="auto"/>
        </w:rPr>
        <w:t>. Subject to plan limits, the Compensation Committee has discretion to determine the terms of each option and the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covered by each option, and the vesting term for each option. In most cases, options will expire not more than 10 years after they are granted, though options generally expire earlier if the participant’s service terminates earlier. The total fair market value of the shares (as of the date of grant) with respect to which incentive stock options are exercisable for the first time by any participant during any calendar year may not exceed $100,000.</w:t>
      </w:r>
    </w:p>
    <w:p>
      <w:pPr>
        <w:spacing w:after="0" w:line="154"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i w:val="1"/>
          <w:iCs w:val="1"/>
          <w:color w:val="auto"/>
        </w:rPr>
        <w:t>Type of stock option grants permitted</w:t>
      </w:r>
      <w:r>
        <w:rPr>
          <w:rFonts w:ascii="Arial" w:cs="Arial" w:eastAsia="Arial" w:hAnsi="Arial"/>
          <w:sz w:val="18"/>
          <w:szCs w:val="18"/>
          <w:color w:val="auto"/>
        </w:rPr>
        <w:t>. The Equity Incentive Plan permits us to grant incentive stock options and nonstatutory stock options. After we</w:t>
      </w:r>
      <w:r>
        <w:rPr>
          <w:rFonts w:ascii="Arial" w:cs="Arial" w:eastAsia="Arial" w:hAnsi="Arial"/>
          <w:sz w:val="18"/>
          <w:szCs w:val="18"/>
          <w:i w:val="1"/>
          <w:iCs w:val="1"/>
          <w:color w:val="auto"/>
        </w:rPr>
        <w:t xml:space="preserve"> </w:t>
      </w:r>
      <w:r>
        <w:rPr>
          <w:rFonts w:ascii="Arial" w:cs="Arial" w:eastAsia="Arial" w:hAnsi="Arial"/>
          <w:sz w:val="18"/>
          <w:szCs w:val="18"/>
          <w:color w:val="auto"/>
        </w:rPr>
        <w:t>grant an option, the principal differences to the participant between an incentive stock option and a nonstatutory stock option relate to federal income tax consequences, which are described below.</w:t>
      </w:r>
    </w:p>
    <w:p>
      <w:pPr>
        <w:spacing w:after="0" w:line="18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i w:val="1"/>
          <w:iCs w:val="1"/>
          <w:color w:val="auto"/>
        </w:rPr>
        <w:t>Exercise price of stock options</w:t>
      </w:r>
      <w:r>
        <w:rPr>
          <w:rFonts w:ascii="Arial" w:cs="Arial" w:eastAsia="Arial" w:hAnsi="Arial"/>
          <w:sz w:val="16"/>
          <w:szCs w:val="16"/>
          <w:color w:val="auto"/>
        </w:rPr>
        <w:t>. The Compensation Committee determines the option exercise price of each option. However, the exercise price may not</w:t>
      </w:r>
      <w:r>
        <w:rPr>
          <w:rFonts w:ascii="Arial" w:cs="Arial" w:eastAsia="Arial" w:hAnsi="Arial"/>
          <w:sz w:val="16"/>
          <w:szCs w:val="16"/>
          <w:i w:val="1"/>
          <w:iCs w:val="1"/>
          <w:color w:val="auto"/>
        </w:rPr>
        <w:t xml:space="preserve"> </w:t>
      </w:r>
      <w:r>
        <w:rPr>
          <w:rFonts w:ascii="Arial" w:cs="Arial" w:eastAsia="Arial" w:hAnsi="Arial"/>
          <w:sz w:val="16"/>
          <w:szCs w:val="16"/>
          <w:color w:val="auto"/>
        </w:rPr>
        <w:t>be less than the fair market value of the shares on the date of grant; provided however, that exercise price of any incentive stock option granted to a person who is also a 10% stockholder of our common stock will not be less than 110% of the fair market value of the shares on the date of grant.</w:t>
      </w:r>
    </w:p>
    <w:p>
      <w:pPr>
        <w:spacing w:after="0" w:line="14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Each option is exercisable at the time or times and under the restrictions and conditions that the Compensation Committee determines in its discretion; provided, however, that no option will be exercisable after the expiration of 10 years from the date the option is granted; and provided, further, that no incentive stock option granted to a person who directly or by attribution owns more than 10% of the total combined voting power of all classes of our stock or any parent or subsidiary of ours will be exercisable after the expiration of five years from the date the incentive stock option is granted.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i w:val="1"/>
          <w:iCs w:val="1"/>
          <w:color w:val="auto"/>
        </w:rPr>
        <w:t>Description of stock appreciation rights</w:t>
      </w:r>
      <w:r>
        <w:rPr>
          <w:rFonts w:ascii="Arial" w:cs="Arial" w:eastAsia="Arial" w:hAnsi="Arial"/>
          <w:sz w:val="16"/>
          <w:szCs w:val="16"/>
          <w:color w:val="auto"/>
        </w:rPr>
        <w:t>. Stock appreciation rights provide for payment of any appreciation in the market price of a specified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our common stock between the grant date and the date on which a stock appreciation right is exercised after it has vested. The amount of any payments received under a stock appreciation right will fluctuate up and down with changes in our share price. The amount of stock price appreciation may be paid in cash, in shares of our common stock having a fair market value equal to the amount of appreciation to be paid, or in a combination of cash and shares of stock. The form of payment will be determined by the Compensation Committee, in its discretion. Stock appreciation rights may be awarded in combination with options, and such an award may provide that the stock appreciation rights will not be exercisable unless the related options are forfeited.</w:t>
      </w:r>
    </w:p>
    <w:p>
      <w:pPr>
        <w:spacing w:after="0" w:line="165"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Each stock appreciation right is exercisable at the time or times and under the restrictions and conditions that the Compensation Committee determines in its discretion; provided, however, that no stock appreciation right will be exercisable after the expiration of 10 years from the date the stock appreciation right is granted. Stock appreciation rights granted in combination with options shall expire on the date the related options expire.</w:t>
      </w:r>
    </w:p>
    <w:p>
      <w:pPr>
        <w:spacing w:after="0" w:line="16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Exercise price of stock appreciation rights</w:t>
      </w:r>
      <w:r>
        <w:rPr>
          <w:rFonts w:ascii="Arial" w:cs="Arial" w:eastAsia="Arial" w:hAnsi="Arial"/>
          <w:sz w:val="18"/>
          <w:szCs w:val="18"/>
          <w:color w:val="auto"/>
        </w:rPr>
        <w:t>. The Compensation Committee determines the exercise price of each stock appreciation right. However, the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price for each stock appreciation right granted in combination with a stock option will be the same as the exercise price of the related stock option. The exercise price per share of a freestanding stock appreciation right will not be less than the fair market value of a share of stock on the date the right is granted.</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i w:val="1"/>
          <w:iCs w:val="1"/>
          <w:color w:val="auto"/>
        </w:rPr>
        <w:t>Description of restricted stock awards</w:t>
      </w:r>
      <w:r>
        <w:rPr>
          <w:rFonts w:ascii="Arial" w:cs="Arial" w:eastAsia="Arial" w:hAnsi="Arial"/>
          <w:sz w:val="18"/>
          <w:szCs w:val="18"/>
          <w:color w:val="auto"/>
        </w:rPr>
        <w:t>. The Compensation Committee may approve a restricted stock award in the form of either a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bonus, restricted stock purchase right or restricted stock unit. A restricted stock bonus is a grant of stock which does not generally require payment of any monetary purchase price, a restricted stock purchase right is an award which permits the Equity Incentive Plan participant to elect during a short period of time to purchase a specified number of shares at a specified price, and a restricted stock unit is simply a promise by us to issue shares at or after vesting of the units.</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purchase price for shares of stock issuable under a restricted stock purchase right is established by the Compensation Committee in its discretion. Generally, no monetary payment is required for the issuance of shares under a restricted stock bonus award or a restricted stock unit award, the consideration for which will be services already rendered by the Equity Incentive Plan participant. However, a participant granted a restricted stock bonus or a restricted stock unit award may be required to furnish consideration in the form of cash or past services rendered in the amount of the par value of the shares subject to the award. Generally, the vesting of restricted stock awards will cease upon termination of the participant. The Compensation Committee, in its discretion, can determine the period during which a participant may exercise its restricted stock purchase right, though such period cannot exceed 30 days from the date of grant of the award.</w:t>
      </w:r>
    </w:p>
    <w:p>
      <w:pPr>
        <w:spacing w:after="0" w:line="189"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i w:val="1"/>
          <w:iCs w:val="1"/>
          <w:color w:val="auto"/>
        </w:rPr>
        <w:t>Description of performance awards</w:t>
      </w:r>
      <w:r>
        <w:rPr>
          <w:rFonts w:ascii="Arial" w:cs="Arial" w:eastAsia="Arial" w:hAnsi="Arial"/>
          <w:sz w:val="16"/>
          <w:szCs w:val="16"/>
          <w:color w:val="auto"/>
        </w:rPr>
        <w:t>. Performance awards may be granted in the form of either performance shares or performance units. These awards</w:t>
      </w:r>
      <w:r>
        <w:rPr>
          <w:rFonts w:ascii="Arial" w:cs="Arial" w:eastAsia="Arial" w:hAnsi="Arial"/>
          <w:sz w:val="16"/>
          <w:szCs w:val="16"/>
          <w:i w:val="1"/>
          <w:iCs w:val="1"/>
          <w:color w:val="auto"/>
        </w:rPr>
        <w:t xml:space="preserve"> </w:t>
      </w:r>
      <w:r>
        <w:rPr>
          <w:rFonts w:ascii="Arial" w:cs="Arial" w:eastAsia="Arial" w:hAnsi="Arial"/>
          <w:sz w:val="16"/>
          <w:szCs w:val="16"/>
          <w:color w:val="auto"/>
        </w:rPr>
        <w:t>are contractual rights that provide the holder with a payment in shares or cash if certain performance goals established by the Compensation Committee are attained within a specified time period. The Compensation Committee decides, in its discretion, whether or not a participant will be granted a performance award, and if so, the type of award, the number of performance shares or units subject to the award, the applicable performance goals and the performance period. The number of performance shares or performance units a participant is awarded is set forth in an award agreement.</w:t>
      </w:r>
    </w:p>
    <w:p>
      <w:pPr>
        <w:spacing w:after="0" w:line="158"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initial value of each performance share and performance unit will be determined by the Compensation Committee. Generally, the initial value of a performance share will be equal to the fair market value of one share of our common stock on the date of grant and the initial value of each performance unit will be a monetary value established by the Compensation Committee at the time of grant. The ultimate value of a performance award depends on the extent to which performance goals established by the Compensation Committee are attained and, in the case of performance shares, the fair market value of our common stock at the time payment is made under the award.</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Performance goals are established by the Compensation Committee based on targets to be obtained with respect to one or more measures of business or financial performance during the performance period specified by the Compensation Committee. Once a performance goal is established, it cannot be changed during the performance period.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Measurement of performance goals. </w:t>
      </w:r>
      <w:r>
        <w:rPr>
          <w:rFonts w:ascii="Arial" w:cs="Arial" w:eastAsia="Arial" w:hAnsi="Arial"/>
          <w:sz w:val="16"/>
          <w:szCs w:val="16"/>
          <w:color w:val="auto"/>
        </w:rPr>
        <w:t>The Equity Incentive Plan sets forth performance measures used in the case of an award intended to qualify as</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“performance-based” under Section 162(m). To qualify as a “performance-based,” the number of shares or other benefits granted, issued, retainable or vested under an award may be made subject to the attainment of performance goals for a specified period of time relating to one or more of the following performance measures, either individually, alternatively or in any combination, applied to either us as a whole or to a business unit or subsidiary, either individually, alternatively or in any combination, and measured either annually or cumulatively over a period of years, on an absolute basis or relative to a pre-established target, to previous years’ results or to a designated comparison group or index, in each case as specified by the Compensation Committee in the award: (i) revenue, (ii) sales, (iii) expenses, (iv) operating income, (v) gross margin, (vi) operating margin, (vii) earnings before any one or more of: stock-based compensation expense, interest, taxes, depreciation and amortization, (viii) pre-tax profit, (ix) net operating income, (x) net income, (xi) economic value added, (xii) free cash flow, (xiii) operating cash flow, (xiv) balance of cash, cash equivalents and marketable securities, (xv) stock price, (xvi) earnings per share, (xvii) return on stockholder equity, (xviii) return on capital, (xix) return on assets, (xx) return on investment, (xxi) employee satisfaction, (xxii) employee retention, (xxiii) market share, (xxiv) customer satisfaction, (xxv) product development, (xxvi) research and development expenses, (xxvii) completion of an identified special project, or (xxviii) completion of a joint venture or other corporate transaction.</w:t>
      </w:r>
    </w:p>
    <w:p>
      <w:pPr>
        <w:spacing w:after="0" w:line="169"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 xml:space="preserve">Cash-based awards and other stock-based awards. </w:t>
      </w:r>
      <w:r>
        <w:rPr>
          <w:rFonts w:ascii="Arial" w:cs="Arial" w:eastAsia="Arial" w:hAnsi="Arial"/>
          <w:sz w:val="16"/>
          <w:szCs w:val="16"/>
          <w:color w:val="auto"/>
        </w:rPr>
        <w:t>The Compensation Committee may grant cash-based awards or other stock-based awards in such</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and subject to such terms and conditions as the Compensation Committee determines. Cash-based awards will specify a monetary payment or range of payments, while other stock-based awards will specify a number of shares or units based on shares or other equity-related awards. Such awards may be subject to vesting conditions based on continued performance of service or subject to the attainment of one or more performance goals similar to those described above in connection with performance awards. Settlement of awards may be in cash or shares of common stock, as determined by the Compensation Committee. A participant will have no voting rights with respect to any such award unless and until shares are issued pursuant to the award. The Compensation Committee may grant dividend equivalent rights with respect to other stock-based awards. The effect on such awards of the participant’s termination of service will be determined by the Compensation Committee and set forth in the participant’s award agreement.</w:t>
      </w:r>
    </w:p>
    <w:p>
      <w:pPr>
        <w:spacing w:after="0" w:line="16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Nonemployee director awards</w:t>
      </w:r>
      <w:r>
        <w:rPr>
          <w:rFonts w:ascii="Arial" w:cs="Arial" w:eastAsia="Arial" w:hAnsi="Arial"/>
          <w:sz w:val="16"/>
          <w:szCs w:val="16"/>
          <w:color w:val="auto"/>
        </w:rPr>
        <w:t>. The Equity Incentive Plan authorizes the Compensation Committee to establish a program of periodic awards to our</w:t>
      </w:r>
      <w:r>
        <w:rPr>
          <w:rFonts w:ascii="Arial" w:cs="Arial" w:eastAsia="Arial" w:hAnsi="Arial"/>
          <w:sz w:val="16"/>
          <w:szCs w:val="16"/>
          <w:i w:val="1"/>
          <w:iCs w:val="1"/>
          <w:color w:val="auto"/>
        </w:rPr>
        <w:t xml:space="preserve"> </w:t>
      </w:r>
      <w:r>
        <w:rPr>
          <w:rFonts w:ascii="Arial" w:cs="Arial" w:eastAsia="Arial" w:hAnsi="Arial"/>
          <w:sz w:val="16"/>
          <w:szCs w:val="16"/>
          <w:color w:val="auto"/>
        </w:rPr>
        <w:t>nonemployee directors. These awards may take the form of nonstatutory stock options, stock appreciation rights, restricted stock awards or restricted stock unit awards. Nonemployee director awards are to be granted on a periodic, nondiscriminatory basis. They may consist of a basic award granted to all nonemployee directors, with additions for one or more of the following: (i) initial election or appointment to our Board of Directors; (ii) service on a committee of our Board of Directors; and (iii) service as chairman of our Board of Directors. Only members of the Board of Directors who are not employees at the time of grant will be eligible to participate in the non-employee director awards component of the Equity Incentive Plan. The Board of Directors or the Compensation Committee will set the amount and type of non-employee director awards to be awarded on a periodic, non-discriminatory basis. Under our current nonemployee director compensation plan, upon joining our Board of Directors, new non-employee directors receive an award of restricted stock under the Equity Incentive Plan valued at $20,000, which vests on the one year anniversary of the date of grant, subject to accelerated vesting in the event of a change in control. For serving on the Board of Directors, our non-employee directors also receive an annual retainer of $50,000 in cash and an award of restricted stock under the Equity Incentive Plan valued at $75,000 on the date of grant. The restricted stock grants to our non-employee directors are made after our annual meeting of stockholders each year and vest on the earlier of the one year anniversary of the date of grant or immediately prior to the next year’s annual meeting of stockholders, subject to acceleration in the event of a change in control.</w:t>
      </w:r>
    </w:p>
    <w:p>
      <w:pPr>
        <w:spacing w:after="0" w:line="175"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i w:val="1"/>
          <w:iCs w:val="1"/>
          <w:color w:val="auto"/>
        </w:rPr>
        <w:t>Effect of change in control</w:t>
      </w:r>
      <w:r>
        <w:rPr>
          <w:rFonts w:ascii="Arial" w:cs="Arial" w:eastAsia="Arial" w:hAnsi="Arial"/>
          <w:sz w:val="18"/>
          <w:szCs w:val="18"/>
          <w:color w:val="auto"/>
        </w:rPr>
        <w:t>. In the event of a change in control, as described in the Equity Incentive Plan, the acquiring or successor entity may assume</w:t>
      </w:r>
      <w:r>
        <w:rPr>
          <w:rFonts w:ascii="Arial" w:cs="Arial" w:eastAsia="Arial" w:hAnsi="Arial"/>
          <w:sz w:val="18"/>
          <w:szCs w:val="18"/>
          <w:i w:val="1"/>
          <w:iCs w:val="1"/>
          <w:color w:val="auto"/>
        </w:rPr>
        <w:t xml:space="preserve"> </w:t>
      </w:r>
      <w:r>
        <w:rPr>
          <w:rFonts w:ascii="Arial" w:cs="Arial" w:eastAsia="Arial" w:hAnsi="Arial"/>
          <w:sz w:val="18"/>
          <w:szCs w:val="18"/>
          <w:color w:val="auto"/>
        </w:rPr>
        <w:t>or continue all or any awards outstanding under the Equity Incentive Plan or substitute substantially equivalent awards. Any awards that are not assumed or continued in connection with a change in control or are not exercised or settled prior to the change in control will terminate effective as of the time of the change in control. The Compensation Committee may provide for the acceleration of vesting of any or all outstanding awards upon such terms and to such extent as it determines, except that the vesting of all non-employee director awards will automatically be accelerated in full. The Equity Incentive Plan also authorizes the Compensation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The Equity Incentive Plan will continue in effect until its termination by the Compensation Committee, provided that no</w:t>
      </w:r>
      <w:r>
        <w:rPr>
          <w:rFonts w:ascii="Arial" w:cs="Arial" w:eastAsia="Arial" w:hAnsi="Arial"/>
          <w:sz w:val="16"/>
          <w:szCs w:val="16"/>
          <w:i w:val="1"/>
          <w:iCs w:val="1"/>
          <w:color w:val="auto"/>
        </w:rPr>
        <w:t xml:space="preserve"> </w:t>
      </w:r>
      <w:r>
        <w:rPr>
          <w:rFonts w:ascii="Arial" w:cs="Arial" w:eastAsia="Arial" w:hAnsi="Arial"/>
          <w:sz w:val="16"/>
          <w:szCs w:val="16"/>
          <w:color w:val="auto"/>
        </w:rPr>
        <w:t>awards may be granted under the Equity Incentive Plan following September 26, 2018, the tenth anniversary of the Equity Incentive Plan’s effective date. The Compensation Committee may amend, suspend or terminate the Equity Incentive Plan at any time, provided that no amendment may be made without stockholder approval that would increase the maximum aggregate number of shares of stock authorized for issuance under the Equity Incentive Plan, change the class of persons eligible to receive incentive stock options or require stockholder approval under any applicable law. No amendment, suspension or termination of the Equity Incentive Plan may affect any outstanding award unless expressly provided by the administrator, and, in any event, may not have a materially adverse effect an outstanding award without the consent of the participant unless necessary to comply with applicable law.</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w:t>
      </w:r>
    </w:p>
    <w:p>
      <w:pPr>
        <w:spacing w:after="0" w:line="121" w:lineRule="exact"/>
        <w:rPr>
          <w:sz w:val="20"/>
          <w:szCs w:val="20"/>
          <w:color w:val="auto"/>
        </w:rPr>
      </w:pPr>
    </w:p>
    <w:p>
      <w:pPr>
        <w:jc w:val="both"/>
        <w:ind w:right="240" w:firstLine="456"/>
        <w:spacing w:after="0" w:line="342" w:lineRule="auto"/>
        <w:rPr>
          <w:sz w:val="20"/>
          <w:szCs w:val="20"/>
          <w:color w:val="auto"/>
        </w:rPr>
      </w:pPr>
      <w:r>
        <w:rPr>
          <w:rFonts w:ascii="Arial" w:cs="Arial" w:eastAsia="Arial" w:hAnsi="Arial"/>
          <w:sz w:val="16"/>
          <w:szCs w:val="16"/>
          <w:color w:val="auto"/>
        </w:rPr>
        <w:t>The following summary is intended only as a general guide to the U.S. federal income tax consequences of participation in the Equity Incentive Plan and does not attempt to describe all possible federal or other tax consequences of such participation or tax consequences based on particular circumstances.</w:t>
      </w:r>
    </w:p>
    <w:p>
      <w:pPr>
        <w:spacing w:after="0" w:line="124"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i w:val="1"/>
          <w:iCs w:val="1"/>
          <w:color w:val="auto"/>
        </w:rPr>
        <w:t xml:space="preserve">Incentive stock options. </w:t>
      </w:r>
      <w:r>
        <w:rPr>
          <w:rFonts w:ascii="Arial" w:cs="Arial" w:eastAsia="Arial" w:hAnsi="Arial"/>
          <w:sz w:val="17"/>
          <w:szCs w:val="17"/>
          <w:color w:val="auto"/>
        </w:rPr>
        <w:t>An optionee who is granted an incentive stock option does not recognize taxable income at the time the option is granted or</w:t>
      </w:r>
      <w:r>
        <w:rPr>
          <w:rFonts w:ascii="Arial" w:cs="Arial" w:eastAsia="Arial" w:hAnsi="Arial"/>
          <w:sz w:val="17"/>
          <w:szCs w:val="17"/>
          <w:i w:val="1"/>
          <w:iCs w:val="1"/>
          <w:color w:val="auto"/>
        </w:rPr>
        <w:t xml:space="preserve"> </w:t>
      </w:r>
      <w:r>
        <w:rPr>
          <w:rFonts w:ascii="Arial" w:cs="Arial" w:eastAsia="Arial" w:hAnsi="Arial"/>
          <w:sz w:val="17"/>
          <w:szCs w:val="17"/>
          <w:color w:val="auto"/>
        </w:rPr>
        <w:t>upon its exercise, although the exercise may subject the optionee to the alternative minimum tax. Upon a disposition of the shares more than two years after grant of the option and one year after exercise of the option, any gain or loss is treated as long-term capital gain or loss. If these holding periods are not satisfied, the optionee recognizes ordinary income at the time of disposition equal to the difference between the exercise price and the lower of (i) the fair market value of the shares at the date of the option exercise or (ii) the sale price of the shares. Any gain or loss recognized on such a premature disposition of the shares in excess of the amount treated as ordinary income is treated as long-term or short-term capital gain or loss, depending on the holding period. We are entitled to a deduction in the same amount as the ordinary income recognized by the optionee.</w:t>
      </w:r>
    </w:p>
    <w:p>
      <w:pPr>
        <w:spacing w:after="0" w:line="178"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i w:val="1"/>
          <w:iCs w:val="1"/>
          <w:color w:val="auto"/>
        </w:rPr>
        <w:t>Nonstatutory stock options</w:t>
      </w:r>
      <w:r>
        <w:rPr>
          <w:rFonts w:ascii="Arial" w:cs="Arial" w:eastAsia="Arial" w:hAnsi="Arial"/>
          <w:sz w:val="16"/>
          <w:szCs w:val="16"/>
          <w:color w:val="auto"/>
        </w:rPr>
        <w:t>. An optionee does not recognize any taxable income at the time he or she is granted a nonstatutory stock option. Upon</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the optionee recognizes taxable income generally measured by the excess of the then fair market value of the shares over the exercise price. Any taxable income recognized in connection with an option exercise by our employee is subject to tax withholding by us. We are generally entitled to a deduction in the same amount as the ordinary income recognized by the optionee, except to the extent such deduction is limited by applicable provisions of the Code. Upon a disposition of such shares by the optionee, any difference between the sale price and the optionee’s exercise price, to the extent not recognized as taxable income as provided above, is treated as long-term or short-term capital gain or loss, depending on the holding period.</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No taxable income is reportable when a stock appreciation right is granted to a participant. Upon exercise, the participant will</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 ordinary income in an amount equal to the amount of cash received and the fair market value of any shares received. If the participant is an employee, such ordinary income generally is subject to withholding of income and employment taxes. Any additional gain or loss recognized upon any later disposition of the shares would be capital gain or loss. We generally should be entitled to a deduction equal to the amount of ordinary income recognized by the participant in connection with the exercise of the stock appreciation right, except to the extent such deduction is limited by applicable provisions of the Code.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i w:val="1"/>
          <w:iCs w:val="1"/>
          <w:color w:val="auto"/>
        </w:rPr>
        <w:t>Restricted stock awards</w:t>
      </w:r>
      <w:r>
        <w:rPr>
          <w:rFonts w:ascii="Arial" w:cs="Arial" w:eastAsia="Arial" w:hAnsi="Arial"/>
          <w:sz w:val="17"/>
          <w:szCs w:val="17"/>
          <w:color w:val="auto"/>
        </w:rPr>
        <w:t>. A participant acquiring restricted stock generally will recognize ordinary income equal to the excess of the fair market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shares on the “determination date” over the price paid, if any, for such shares. The “determination date” is the date on which the participant acquires the shares unless the shares are subject to a substantial risk of forfeiture and are not transferable, in which case the determination date is the earlier of (i) the date on which the shares become transferable or (ii) the date on which the shares are no longer subject to a substantial risk of forfeiture (e.g., when they become vested). If the determination date follows the date on which the participant acquires the shares, the participant may elect, pursuant to Section 83(b) of the Code, to designate the date of acquisition as the determination date by filing an election with the Internal Revenue Service no later than 30 days after the date on which the shares are acquired. If the participant is an employee, such ordinary income generally is subject to withholding of income and employment taxes. Upon the sale of shares acquired pursuant to a restricted stock award, any gain or loss, based on the difference between the sale price and the fair market value of the shares on the determination date, will be taxed as capital gain or loss. We generally should be entitled to a deduction equal to the amount of ordinary income recognized by the participant on the determination date, except to the extent such deduction is limited by applicable provisions of the Code.</w:t>
      </w:r>
    </w:p>
    <w:p>
      <w:pPr>
        <w:spacing w:after="0" w:line="18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Restricted stock unit, performance shares and units, cash-based and other stock-based awards</w:t>
      </w:r>
      <w:r>
        <w:rPr>
          <w:rFonts w:ascii="Arial" w:cs="Arial" w:eastAsia="Arial" w:hAnsi="Arial"/>
          <w:sz w:val="17"/>
          <w:szCs w:val="17"/>
          <w:color w:val="auto"/>
        </w:rPr>
        <w:t>. A participant generally will recognize no income upon</w:t>
      </w:r>
      <w:r>
        <w:rPr>
          <w:rFonts w:ascii="Arial" w:cs="Arial" w:eastAsia="Arial" w:hAnsi="Arial"/>
          <w:sz w:val="17"/>
          <w:szCs w:val="17"/>
          <w:i w:val="1"/>
          <w:iCs w:val="1"/>
          <w:color w:val="auto"/>
        </w:rPr>
        <w:t xml:space="preserve"> </w:t>
      </w:r>
      <w:r>
        <w:rPr>
          <w:rFonts w:ascii="Arial" w:cs="Arial" w:eastAsia="Arial" w:hAnsi="Arial"/>
          <w:sz w:val="17"/>
          <w:szCs w:val="17"/>
          <w:color w:val="auto"/>
        </w:rPr>
        <w:t>the receipt of a restricted stock unit, performance share, performance unit, unpaid cash-based or other stock-based award. Upon the settlement of such awards, participants normally will recognize ordinary income in the year of settlement in an amount equal to the cash received and the fair market value of any substantially vested shares of stock received. If the participant is an employee, such ordinary income generally is subject to withholding of income and employment taxes. If the participant receives shares of restricted stock, the participant generally will be taxed in the same manner as described above under “Restricted stock awards.” Upon the sale of any shares received, any gain or loss, based on the difference between the sale price and the fair market value of the shares on the determination date (as defined above under “Restricted stock awards”), will be taxed as capital gain or loss. We generally should be entitled to a deduction equal to the amount of ordinary income recognized by the participant on the determination date, except to the extent such deduction is limited by applicable provisions of the Code.</w:t>
      </w:r>
    </w:p>
    <w:p>
      <w:pPr>
        <w:spacing w:after="0" w:line="182"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A participant will recognize taxable income upon receipt of the payment of a dividend equivalent in cash or substantially vested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stock.</w:t>
      </w:r>
    </w:p>
    <w:p>
      <w:pPr>
        <w:spacing w:after="0" w:line="17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i w:val="1"/>
          <w:iCs w:val="1"/>
          <w:color w:val="auto"/>
        </w:rPr>
        <w:t xml:space="preserve">Section 162(m). </w:t>
      </w:r>
      <w:r>
        <w:rPr>
          <w:rFonts w:ascii="Arial" w:cs="Arial" w:eastAsia="Arial" w:hAnsi="Arial"/>
          <w:sz w:val="17"/>
          <w:szCs w:val="17"/>
          <w:color w:val="auto"/>
        </w:rPr>
        <w:t>Section 162(m) of the Code would render non-deductible to us certain compensation in excess of $1,000,000 received in any year by</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executive officers unless such excess is “performance-based compensation” (as defined in the Code) or is otherwise exempt from Section 162(m). The availability of the exemption for awards of performance-based compensation depends upon obtaining approval of certain material terms of the Equity Incentive Plan by our stockholders. Provided we obtain the approval of our stockholders of this proposal, grants of options and stock appreciation rights, and grants of restricted stock awards, restricted stock units and performance awards conditioned on attainment of one or more performance goals set forth in the Equity Incentive Plan, may qualify as performance-based compensation exempt from Section 162(m).</w:t>
      </w:r>
    </w:p>
    <w:p>
      <w:pPr>
        <w:spacing w:after="0" w:line="17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Section 409A</w:t>
      </w:r>
      <w:r>
        <w:rPr>
          <w:rFonts w:ascii="Arial" w:cs="Arial" w:eastAsia="Arial" w:hAnsi="Arial"/>
          <w:sz w:val="18"/>
          <w:szCs w:val="18"/>
          <w:color w:val="auto"/>
        </w:rPr>
        <w:t>. Certain awards granted under the Equity Incentive Plan may be deemed to constitute deferred compensation within the meaning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409A of the Code and must satisfy the requirements of Section 409A to avoid adverse tax consequences to participants who receive such awards. These requirements include limitations on election timing, acceleration of payments, and distributions. We intend to structure any deferrals and awards under the Equity Incentive Plan to meet the applicable tax law requirements.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NO. 4</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APPROVAL OF AMENDMENT TO AMENDED AND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CERTIFICATE OF INCORPORATION</w:t>
      </w:r>
    </w:p>
    <w:p>
      <w:pPr>
        <w:spacing w:after="0" w:line="211"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 xml:space="preserve">On December 21, 2015, the Delaware Court of Chancery issued an opinion in </w:t>
      </w:r>
      <w:r>
        <w:rPr>
          <w:rFonts w:ascii="Arial" w:cs="Arial" w:eastAsia="Arial" w:hAnsi="Arial"/>
          <w:sz w:val="17"/>
          <w:szCs w:val="17"/>
          <w:i w:val="1"/>
          <w:iCs w:val="1"/>
          <w:color w:val="auto"/>
        </w:rPr>
        <w:t>In re VAALCO Energy, Inc. Stockholder Litigation</w:t>
      </w:r>
      <w:r>
        <w:rPr>
          <w:rFonts w:ascii="Arial" w:cs="Arial" w:eastAsia="Arial" w:hAnsi="Arial"/>
          <w:sz w:val="17"/>
          <w:szCs w:val="17"/>
          <w:color w:val="auto"/>
        </w:rPr>
        <w:t>, Consol. C.A.</w:t>
      </w:r>
    </w:p>
    <w:p>
      <w:pPr>
        <w:spacing w:after="0" w:line="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No. 11775-VCL, invalidating as a matter of law provisions of the certificate of incorporation and bylaws of VAALCO Energy, Inc., a Delaware corporation, that permitted the removal of VAALCO’s directors by its stockholders only for cause. The Court of Chancery held that, in the absence of a classified board or cumulative voting, VAALCO’s “only for cause” director removal provisions conflicted with Section 141(k) of the Delaware General Corporation Law and were therefore invalid.</w:t>
      </w:r>
    </w:p>
    <w:p>
      <w:pPr>
        <w:spacing w:after="0" w:line="190"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We do not currently have a classified board or provide for cumulative voting. Currently, Article III, Section 3.5 of the Company’s Third Amended and Restated Bylaws (the “Bylaws”) thus properly provides that directors may be removed by the stockholders “with or without cause.” To the contrary, Article VI, Section C of the Company’s Amended and Restated Certificate of Incorporation (the “Certificate of Incorporation”) provides that directors may be removed by the stockholders only “for cause.” In light of the Court of Chancery’s decision, and in order to eliminate this inconsistency in the Company’s governing documents, the Board has determined that it is advisable and in the best interests of the Company and its stockholders to amend Article VI of the Certificate of Incorporation to eliminate Section C (the “Amendment”).</w:t>
      </w:r>
    </w:p>
    <w:p>
      <w:pPr>
        <w:spacing w:after="0" w:line="178" w:lineRule="exact"/>
        <w:rPr>
          <w:sz w:val="20"/>
          <w:szCs w:val="20"/>
          <w:color w:val="auto"/>
        </w:rPr>
      </w:pPr>
    </w:p>
    <w:p>
      <w:pPr>
        <w:ind w:right="540" w:firstLine="456"/>
        <w:spacing w:after="0" w:line="342" w:lineRule="auto"/>
        <w:rPr>
          <w:sz w:val="20"/>
          <w:szCs w:val="20"/>
          <w:color w:val="auto"/>
        </w:rPr>
      </w:pPr>
      <w:r>
        <w:rPr>
          <w:rFonts w:ascii="Arial" w:cs="Arial" w:eastAsia="Arial" w:hAnsi="Arial"/>
          <w:sz w:val="16"/>
          <w:szCs w:val="16"/>
          <w:color w:val="auto"/>
        </w:rPr>
        <w:t>We have never attempted to enforce and, in light of the VAALCO decision, we have determined that we will not attempt to enforce, the director removal provision in the Certificate of Incorporation to the extent that it purports to limit removal of directors by stockholders only for cause.</w:t>
      </w:r>
    </w:p>
    <w:p>
      <w:pPr>
        <w:spacing w:after="0" w:line="124"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 xml:space="preserve">If the stockholders approve the proposed Amendment, it will become effective upon the filing of a certificate of amendment setting forth the Amendment with the Secretary of State of the State of Delaware (the “State Office”). For convenience, a marked copy of the certificate of amendment, showing the elimination of Section C from the existing language in Article VI is attached to this Proxy Statement as </w:t>
      </w:r>
      <w:r>
        <w:rPr>
          <w:rFonts w:ascii="Arial" w:cs="Arial" w:eastAsia="Arial" w:hAnsi="Arial"/>
          <w:sz w:val="18"/>
          <w:szCs w:val="18"/>
          <w:b w:val="1"/>
          <w:bCs w:val="1"/>
          <w:u w:val="single" w:color="auto"/>
          <w:color w:val="auto"/>
        </w:rPr>
        <w:t>Appendix A</w:t>
      </w:r>
      <w:r>
        <w:rPr>
          <w:rFonts w:ascii="Arial" w:cs="Arial" w:eastAsia="Arial" w:hAnsi="Arial"/>
          <w:sz w:val="18"/>
          <w:szCs w:val="18"/>
          <w:color w:val="auto"/>
        </w:rPr>
        <w:t>. The Board reserves the right to abandon or delay the filing of the Amendment even if it is approved by our stockholders.</w:t>
      </w:r>
    </w:p>
    <w:p>
      <w:pPr>
        <w:spacing w:after="0" w:line="18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If the Amendment is approved and filed, the Company will file a Second Amended and Restated Certificate of Incorporation, which only restates and integrates but does not further amend the provisions of the Certificate of Incorporation, with the State Office.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recommends a vote “FOR” approval of the Amendment.</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TO APPROVE NAMED EXECUTIVE OFFICER COMPENSATION</w:t>
      </w:r>
    </w:p>
    <w:p>
      <w:pPr>
        <w:spacing w:after="0" w:line="21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Dodd-Frank Wall Street Reform and Consumer Protection Act, or the Dodd-Frank Act, enacted in 2010, requires that companies provide their stockholders with the opportunity to vote, on an advisory basis, whether to approve the compensation of companies’ named executive officers, commonly referred to as a “Say-on-Pay” vote, at least once every three years. In a vote held at our 2011 Annual Meeting, our stockholders voted in favor of holding Say-On-Pay votes annually. In light of this result and other factors considered by the Board, the Board has determined that the Company will hold Say-On-Pay votes on an annual basis until the next required vote on the frequency of such Say-On-Pay votes.</w:t>
      </w:r>
    </w:p>
    <w:p>
      <w:pPr>
        <w:spacing w:after="0" w:line="17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Say-on-Pay vote is a non-binding advisory vote on the compensation of our named executive officers as described in the Compensation Discussion and Analysis section, including the tabular disclosure and accompanying narrative disclosure regarding such compensation, set forth in this proxy statement. It is not a vote to approve our general compensation policies, the compensation of our Board of Directors, or our compensation policies as they relate to risk management. Please read the Compensation Discussion and Analysis section starting on page 29 of this proxy statement for a detailed discussion about our executive compensation programs, including information about the fiscal year 2015 compensation of our named executive officers.</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objectives of our compensation program are to attract, motivate, retain, and reward our executive officers by relating compensation to performance and making our compensation package competitive and cost-effective. We pay our executive officers based on business performance and individual performance, and, in setting compensation levels, we take into consideration our past practices, our current and anticipated future needs, and the relative skills and experience of each individual executive officer. The Compensation Discussion and Analysis section starting on page 29 of this proxy statement provides a more detailed discussion of our executive compensation program. We believe that the compensation program we follow helps us achieve our principal compensation objectives.</w:t>
      </w:r>
    </w:p>
    <w:p>
      <w:pPr>
        <w:spacing w:after="0" w:line="193"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vote solicited by this Proposal No. 5 is advisory, and therefore is not binding on us, our Board of Directors or our Compensation Committee, nor will its outcome require us, our Board of Directors or our Compensation Committee to take any action. Moreover, the outcome of the vote will not be construed as overruling any decision by us or our Board of Directors. Furthermore, because this non-binding, advisory vote primarily relates to the compensation of our named executive officers that we have already paid or are otherwise contractually committed to pay, there is generally no opportunity for us to revisit these decisions. However, our Board of Directors, including our Compensation Committee, values the opinions of our stockholders and, to the extent there is any significant vote against the named executive officer compensation as disclosed in this proxy statement, we will consider our stockholders’ concerns and evaluate what actions, if any, may be appropriate for us to take in the future to address those concerns.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Stockholders will be asked at the Annual Meeting to approve the following resolution pursuant to this Proposal No. 5:</w:t>
      </w:r>
    </w:p>
    <w:p>
      <w:pPr>
        <w:spacing w:after="0" w:line="225" w:lineRule="exact"/>
        <w:rPr>
          <w:sz w:val="20"/>
          <w:szCs w:val="20"/>
          <w:color w:val="auto"/>
        </w:rPr>
      </w:pPr>
    </w:p>
    <w:p>
      <w:pPr>
        <w:ind w:right="560" w:firstLine="456"/>
        <w:spacing w:after="0" w:line="264" w:lineRule="auto"/>
        <w:rPr>
          <w:sz w:val="20"/>
          <w:szCs w:val="20"/>
          <w:color w:val="auto"/>
        </w:rPr>
      </w:pPr>
      <w:r>
        <w:rPr>
          <w:rFonts w:ascii="Arial" w:cs="Arial" w:eastAsia="Arial" w:hAnsi="Arial"/>
          <w:sz w:val="18"/>
          <w:szCs w:val="18"/>
          <w:color w:val="auto"/>
        </w:rPr>
        <w:t>“RESOLVED, that the stockholders of Grand Canyon Education, Inc. approve, on an advisory basis, the compensation of the Company’s named executive officers, disclosed pursuant to Item 402 of Regulation S-K in the Company’s definitive proxy statement for the 2016 Annual Meeting of Stockholders.”</w:t>
      </w:r>
    </w:p>
    <w:p>
      <w:pPr>
        <w:spacing w:after="0" w:line="177" w:lineRule="exact"/>
        <w:rPr>
          <w:sz w:val="20"/>
          <w:szCs w:val="20"/>
          <w:color w:val="auto"/>
        </w:rPr>
      </w:pPr>
    </w:p>
    <w:p>
      <w:pPr>
        <w:ind w:right="480" w:firstLine="456"/>
        <w:spacing w:after="0" w:line="282" w:lineRule="auto"/>
        <w:rPr>
          <w:sz w:val="20"/>
          <w:szCs w:val="20"/>
          <w:color w:val="auto"/>
        </w:rPr>
      </w:pPr>
      <w:r>
        <w:rPr>
          <w:rFonts w:ascii="Arial" w:cs="Arial" w:eastAsia="Arial" w:hAnsi="Arial"/>
          <w:sz w:val="18"/>
          <w:szCs w:val="18"/>
          <w:b w:val="1"/>
          <w:bCs w:val="1"/>
          <w:color w:val="auto"/>
        </w:rPr>
        <w:t xml:space="preserve">Our Board of Directors unanimously recommends that you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resolution approving the compensation of our named executive officers as disclosed in this proxy statement.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21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Audit Committee of the Board of Directors has selected KPMG LLP (“KPMG”), an independent registered public accounting firm, to audit our consolidated financial statements for the year ending December 31, 2016. While it is not required to do so, our Audit Committee is submitting the selection of that firm for ratification in order to ascertain the view of our stockholders. In the event the stockholders fail to ratify the selection of KPMG, the adverse vote will be considered a direction to the Audit Committee to consider other auditors for next year. However, because of the difficulty in making any substitution so long after the beginning of the current year, the appointment of KPMG for fiscal 2016 will stand, unless the Audit Committee finds other good reason for making a change. Even if the selection is ratified, the Audit Committee, in its discretion, may direct the appointment of a different independent registered public accounting firm at any time during the year if the Audit Committee determines that such a change would be in the Company’s and its stockholders’ best interests. Proxies solicited by our Board of Directors will, unless otherwise directed, be voted to ratify the appointment of KPMG as our independent registered public accounting firm for the fiscal year ending December 31, 2016.</w:t>
      </w:r>
    </w:p>
    <w:p>
      <w:pPr>
        <w:spacing w:after="0" w:line="18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 representative of KPMG will be present at the meeting, will be afforded an opportunity to make a statement if the representative so desires, and will be available to respond to appropriate questions during the meeting.</w:t>
      </w:r>
    </w:p>
    <w:p>
      <w:pPr>
        <w:spacing w:after="0" w:line="166"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 xml:space="preserve">Our Board of Directors unanimously recommends that the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ratification of the appointment of KPMG LLP as our independent registered public accounting firm for the fiscal year ending December 31, 2016.</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w:t>
      </w:r>
    </w:p>
    <w:p>
      <w:pPr>
        <w:spacing w:after="0" w:line="12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For the years ended December 31, 2015 and 2014, KPMG billed us the amounts set forth below for professional services rendered in connection with audit, audit-related, tax and other professional services. All of the fees for audit, audit-related, tax and other services performed by KPMG were pre-approved by the Audit Committee in accordance with the pre-approval policies and procedures described below.</w:t>
      </w:r>
    </w:p>
    <w:p>
      <w:pPr>
        <w:spacing w:after="0" w:line="184"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4080" w:type="dxa"/>
            <w:vAlign w:val="bottom"/>
            <w:gridSpan w:val="3"/>
          </w:tcPr>
          <w:p>
            <w:pPr>
              <w:spacing w:after="0"/>
              <w:rPr>
                <w:sz w:val="20"/>
                <w:szCs w:val="20"/>
                <w:color w:val="auto"/>
              </w:rPr>
            </w:pPr>
            <w:r>
              <w:rPr>
                <w:rFonts w:ascii="Arial" w:cs="Arial" w:eastAsia="Arial" w:hAnsi="Arial"/>
                <w:sz w:val="14"/>
                <w:szCs w:val="14"/>
                <w:b w:val="1"/>
                <w:bCs w:val="1"/>
                <w:color w:val="auto"/>
              </w:rPr>
              <w:t>Services Rendered</w:t>
            </w:r>
          </w:p>
        </w:tc>
        <w:tc>
          <w:tcPr>
            <w:tcW w:w="33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2015</w:t>
            </w:r>
          </w:p>
        </w:tc>
        <w:tc>
          <w:tcPr>
            <w:tcW w:w="11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29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$560,000</w:t>
            </w: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$497,181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270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27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2700" w:type="dxa"/>
            <w:vAlign w:val="bottom"/>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Fees</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497,181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40" w:hanging="452"/>
        <w:spacing w:after="0" w:line="34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Audit Fees in 2015 and 2014 relate to services rendered for the audits of our annual consolidated financial statements, for the review of our quarterly financial statements, and for services that are normally provided by the auditor in connection with statutory and regulatory filings or engagements.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Independent Registered Public Accounting Firm Services and Fees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Audit Committee has adopted a policy regarding pre-approval of audit and non-audit services performed by our independent registered public accounting firm. The Audit Committee is responsible for pre-approving all engagements of our independent registered public accounting firm. The policy also highlights services the Audit Committee will and will not approve for audit and non-audit services. The policy requires that written documentation be provided by the independent registered accounting firm to the Audit Committee for all tax services.</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Audit Committee may, annually or from time to time, set fee levels for certain non-audit services, as defined in the policy, or for all non-audit services. Any engagements that exceed those fee levels must receive specific pre-approval from the Audit Committee. The Audit Committee may delegate to the Audit Committee chair authority to grant pre-approvals of permissible audit and non-audit services, provided that any pre-approvals by the chair must be reported to the full Audit Committee at the next scheduled meeting.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On a regular basis, management provides written updates to the Audit Committee regarding the amount of audit and non-audit service fees incurred to date. All of the services described above for fiscal years 2015 and 2014 were approved by our Audit Committee.</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Our Audit Committee is composed of three members, each of whom the Board has determined to be an independent director as defined by the listing standards of the Nasdaq Stock Market and the federal securities laws. The duties of the Audit Committee are summarized in this proxy statement under “Committees of Our Board of Directors” on page 4 and are more fully described in the Audit Committee charter adopted by the Board of Directors.</w:t>
      </w:r>
    </w:p>
    <w:p>
      <w:pPr>
        <w:spacing w:after="0" w:line="14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One of the Audit Committee’s primary responsibilities is to assist the Board in overseeing the Company’s management and independent registered public accounting firm in regard to our financial reporting and internal controls over financial reporting. In performing our oversight function, we relied upon advice and information received in our discussions with management and the independent registered public accounting firm.</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 reviewed and discussed our Company’s audited financial statements for the fiscal year ended December 31, 2015, with management;</w:t>
      </w:r>
    </w:p>
    <w:p>
      <w:pPr>
        <w:spacing w:after="0" w:line="46" w:lineRule="exact"/>
        <w:rPr>
          <w:sz w:val="20"/>
          <w:szCs w:val="20"/>
          <w:color w:val="auto"/>
        </w:rPr>
      </w:pPr>
    </w:p>
    <w:p>
      <w:pPr>
        <w:ind w:right="200" w:firstLine="8"/>
        <w:spacing w:after="0" w:line="253"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discussed with our Company’s independent registered public accounting firm the matters required to be discussed by Public Company Oversight Board (PCAOB) Auditing Standard Number 16,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(c)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(d) discussed with the independent registered public accounting firm its independence.</w:t>
      </w:r>
    </w:p>
    <w:p>
      <w:pPr>
        <w:spacing w:after="0" w:line="19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Based on the review and discussions with management and our independent registered public accounting firm referred to above, we recommended to our Board of Directors that the audited financial statements be included in our Company’s Annual Report on Form 10-K for the fiscal year ended December 31, 2015, for filing with the Securities and Exchange Commission.</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Audit Committee:</w:t>
      </w:r>
    </w:p>
    <w:p>
      <w:pPr>
        <w:spacing w:after="0" w:line="117"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Jack A. Henry (Chair)</w:t>
      </w:r>
    </w:p>
    <w:p>
      <w:pPr>
        <w:spacing w:after="0" w:line="23"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Bradley A. Casper</w:t>
      </w:r>
    </w:p>
    <w:p>
      <w:pPr>
        <w:spacing w:after="0" w:line="9"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Kevin F. Warren</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 xml:space="preserve">The following sets forth information regarding our non-director executive officers as of the date of this proxy statement. For information regarding Brent D. Richardson, our Chairman, and Brian E. Mueller, a director and our Chief Executive Officer and President of Grand Canyon University, see “Proposal No. 1 </w:t>
      </w:r>
      <w:r>
        <w:rPr>
          <w:rFonts w:ascii="Arial" w:cs="Arial" w:eastAsia="Arial" w:hAnsi="Arial"/>
          <w:sz w:val="18"/>
          <w:szCs w:val="18"/>
          <w:b w:val="1"/>
          <w:bCs w:val="1"/>
          <w:color w:val="auto"/>
        </w:rPr>
        <w:t>—</w:t>
      </w:r>
      <w:r>
        <w:rPr>
          <w:rFonts w:ascii="Arial" w:cs="Arial" w:eastAsia="Arial" w:hAnsi="Arial"/>
          <w:sz w:val="18"/>
          <w:szCs w:val="18"/>
          <w:color w:val="auto"/>
        </w:rPr>
        <w:t xml:space="preserve"> Election of Directors </w:t>
      </w:r>
      <w:r>
        <w:rPr>
          <w:rFonts w:ascii="Arial" w:cs="Arial" w:eastAsia="Arial" w:hAnsi="Arial"/>
          <w:sz w:val="18"/>
          <w:szCs w:val="18"/>
          <w:b w:val="1"/>
          <w:bCs w:val="1"/>
          <w:color w:val="auto"/>
        </w:rPr>
        <w:t>—</w:t>
      </w:r>
      <w:r>
        <w:rPr>
          <w:rFonts w:ascii="Arial" w:cs="Arial" w:eastAsia="Arial" w:hAnsi="Arial"/>
          <w:sz w:val="18"/>
          <w:szCs w:val="18"/>
          <w:color w:val="auto"/>
        </w:rPr>
        <w:t xml:space="preserve"> Directors and Director Nominees.”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120" w:type="dxa"/>
            <w:vAlign w:val="bottom"/>
          </w:tcPr>
          <w:p>
            <w:pPr>
              <w:jc w:val="center"/>
              <w:ind w:left="1034"/>
              <w:spacing w:after="0"/>
              <w:rPr>
                <w:sz w:val="20"/>
                <w:szCs w:val="20"/>
                <w:color w:val="auto"/>
              </w:rPr>
            </w:pPr>
            <w:r>
              <w:rPr>
                <w:rFonts w:ascii="Arial" w:cs="Arial" w:eastAsia="Arial" w:hAnsi="Arial"/>
                <w:sz w:val="14"/>
                <w:szCs w:val="14"/>
                <w:b w:val="1"/>
                <w:bCs w:val="1"/>
                <w:color w:val="auto"/>
                <w:w w:val="90"/>
              </w:rPr>
              <w:t>Age</w:t>
            </w:r>
          </w:p>
        </w:tc>
        <w:tc>
          <w:tcPr>
            <w:tcW w:w="4760" w:type="dxa"/>
            <w:vAlign w:val="bottom"/>
          </w:tcPr>
          <w:p>
            <w:pPr>
              <w:ind w:left="880"/>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Dr. W. Stan Meyer</w:t>
            </w:r>
          </w:p>
        </w:tc>
        <w:tc>
          <w:tcPr>
            <w:tcW w:w="3120" w:type="dxa"/>
            <w:vAlign w:val="bottom"/>
            <w:shd w:val="clear" w:color="auto" w:fill="CCEEFF"/>
          </w:tcPr>
          <w:p>
            <w:pPr>
              <w:jc w:val="center"/>
              <w:ind w:left="1054"/>
              <w:spacing w:after="0"/>
              <w:rPr>
                <w:sz w:val="20"/>
                <w:szCs w:val="20"/>
                <w:color w:val="auto"/>
              </w:rPr>
            </w:pPr>
            <w:r>
              <w:rPr>
                <w:rFonts w:ascii="Arial" w:cs="Arial" w:eastAsia="Arial" w:hAnsi="Arial"/>
                <w:sz w:val="18"/>
                <w:szCs w:val="18"/>
                <w:color w:val="auto"/>
                <w:w w:val="89"/>
              </w:rPr>
              <w:t>55</w:t>
            </w:r>
          </w:p>
        </w:tc>
        <w:tc>
          <w:tcPr>
            <w:tcW w:w="4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Chief Operating Officer</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Daniel E. Bachus</w:t>
            </w:r>
          </w:p>
        </w:tc>
        <w:tc>
          <w:tcPr>
            <w:tcW w:w="3120" w:type="dxa"/>
            <w:vAlign w:val="bottom"/>
          </w:tcPr>
          <w:p>
            <w:pPr>
              <w:jc w:val="center"/>
              <w:ind w:left="1054"/>
              <w:spacing w:after="0"/>
              <w:rPr>
                <w:sz w:val="20"/>
                <w:szCs w:val="20"/>
                <w:color w:val="auto"/>
              </w:rPr>
            </w:pPr>
            <w:r>
              <w:rPr>
                <w:rFonts w:ascii="Arial" w:cs="Arial" w:eastAsia="Arial" w:hAnsi="Arial"/>
                <w:sz w:val="18"/>
                <w:szCs w:val="18"/>
                <w:color w:val="auto"/>
                <w:w w:val="89"/>
              </w:rPr>
              <w:t>45</w:t>
            </w:r>
          </w:p>
        </w:tc>
        <w:tc>
          <w:tcPr>
            <w:tcW w:w="4760" w:type="dxa"/>
            <w:vAlign w:val="bottom"/>
          </w:tcPr>
          <w:p>
            <w:pPr>
              <w:ind w:left="880"/>
              <w:spacing w:after="0"/>
              <w:rPr>
                <w:sz w:val="20"/>
                <w:szCs w:val="20"/>
                <w:color w:val="auto"/>
              </w:rPr>
            </w:pPr>
            <w:r>
              <w:rPr>
                <w:rFonts w:ascii="Arial" w:cs="Arial" w:eastAsia="Arial" w:hAnsi="Arial"/>
                <w:sz w:val="18"/>
                <w:szCs w:val="18"/>
                <w:color w:val="auto"/>
              </w:rPr>
              <w:t>Chief Financial Officer</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Joseph N. Mildenhall</w:t>
            </w:r>
          </w:p>
        </w:tc>
        <w:tc>
          <w:tcPr>
            <w:tcW w:w="3120" w:type="dxa"/>
            <w:vAlign w:val="bottom"/>
            <w:shd w:val="clear" w:color="auto" w:fill="CCEEFF"/>
          </w:tcPr>
          <w:p>
            <w:pPr>
              <w:jc w:val="center"/>
              <w:ind w:left="1054"/>
              <w:spacing w:after="0"/>
              <w:rPr>
                <w:sz w:val="20"/>
                <w:szCs w:val="20"/>
                <w:color w:val="auto"/>
              </w:rPr>
            </w:pPr>
            <w:r>
              <w:rPr>
                <w:rFonts w:ascii="Arial" w:cs="Arial" w:eastAsia="Arial" w:hAnsi="Arial"/>
                <w:sz w:val="18"/>
                <w:szCs w:val="18"/>
                <w:color w:val="auto"/>
                <w:w w:val="89"/>
              </w:rPr>
              <w:t>62</w:t>
            </w:r>
          </w:p>
        </w:tc>
        <w:tc>
          <w:tcPr>
            <w:tcW w:w="4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Chief Information Officer</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Brian M. Roberts</w:t>
            </w:r>
          </w:p>
        </w:tc>
        <w:tc>
          <w:tcPr>
            <w:tcW w:w="3120" w:type="dxa"/>
            <w:vAlign w:val="bottom"/>
          </w:tcPr>
          <w:p>
            <w:pPr>
              <w:jc w:val="center"/>
              <w:ind w:left="1054"/>
              <w:spacing w:after="0"/>
              <w:rPr>
                <w:sz w:val="20"/>
                <w:szCs w:val="20"/>
                <w:color w:val="auto"/>
              </w:rPr>
            </w:pPr>
            <w:r>
              <w:rPr>
                <w:rFonts w:ascii="Arial" w:cs="Arial" w:eastAsia="Arial" w:hAnsi="Arial"/>
                <w:sz w:val="18"/>
                <w:szCs w:val="18"/>
                <w:color w:val="auto"/>
                <w:w w:val="89"/>
              </w:rPr>
              <w:t>43</w:t>
            </w:r>
          </w:p>
        </w:tc>
        <w:tc>
          <w:tcPr>
            <w:tcW w:w="4760" w:type="dxa"/>
            <w:vAlign w:val="bottom"/>
          </w:tcPr>
          <w:p>
            <w:pPr>
              <w:ind w:left="880"/>
              <w:spacing w:after="0"/>
              <w:rPr>
                <w:sz w:val="20"/>
                <w:szCs w:val="20"/>
                <w:color w:val="auto"/>
              </w:rPr>
            </w:pPr>
            <w:r>
              <w:rPr>
                <w:rFonts w:ascii="Arial" w:cs="Arial" w:eastAsia="Arial" w:hAnsi="Arial"/>
                <w:sz w:val="18"/>
                <w:szCs w:val="18"/>
                <w:color w:val="auto"/>
                <w:w w:val="88"/>
              </w:rPr>
              <w:t>Senior Vice President, General Counsel and Secretary</w:t>
            </w:r>
          </w:p>
        </w:tc>
      </w:tr>
    </w:tbl>
    <w:p>
      <w:pPr>
        <w:spacing w:after="0" w:line="18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i w:val="1"/>
          <w:iCs w:val="1"/>
          <w:color w:val="auto"/>
        </w:rPr>
        <w:t xml:space="preserve">Dr. W. Stan Meyer </w:t>
      </w:r>
      <w:r>
        <w:rPr>
          <w:rFonts w:ascii="Arial" w:cs="Arial" w:eastAsia="Arial" w:hAnsi="Arial"/>
          <w:sz w:val="17"/>
          <w:szCs w:val="17"/>
          <w:color w:val="auto"/>
        </w:rPr>
        <w:t>has been serving as our Chief Operating Officer since July 26, 2012, having previously served in the position of Executive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from June 2008 to July 2012. Dr. Meyer has been serving as a Director of the Grand Canyon University Foundation, a foundation formed to benefit public charities, since its formation in 2010 and as a director of LOPE Kingdom Fund, an entity formed to provide seed funding for entrepreneurial ventures initiated by Grand Canyon University students, since its formation in 2014. From August 2002 to June 2008, Dr. Meyer was employed by Apollo Education Group, Inc., a for-profit, postsecondary education company and the parent company of the University of Phoenix, serving between June 2006 to June 2008 as its executive vice president of marketing and enrollment. Dr. Meyer previously served as a regional vice president of the University of Phoenix Online, a unit of the University of Phoenix, and division director of Axia College and of the School of Advanced Studies, also units of the University of Phoenix. From 1983 to 2002, Dr. Meyer held several positions with the Concordia University system, including director of operations for Concordia University’s education network. Dr. Meyer received a Bachelor of Arts in Communications degree from Concordia University and a Master of Business Administration degree and a Doctor of Education in Institutional Management degree from Pepperdine University.</w:t>
      </w:r>
    </w:p>
    <w:p>
      <w:pPr>
        <w:spacing w:after="0" w:line="17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Daniel E. Bachus </w:t>
      </w:r>
      <w:r>
        <w:rPr>
          <w:rFonts w:ascii="Arial" w:cs="Arial" w:eastAsia="Arial" w:hAnsi="Arial"/>
          <w:sz w:val="16"/>
          <w:szCs w:val="16"/>
          <w:color w:val="auto"/>
        </w:rPr>
        <w:t>has been serving as our Chief Financial Officer since July 1, 2008. Mr. Bachus has been serving as a Director of the Grand Canyon</w:t>
      </w:r>
      <w:r>
        <w:rPr>
          <w:rFonts w:ascii="Arial" w:cs="Arial" w:eastAsia="Arial" w:hAnsi="Arial"/>
          <w:sz w:val="16"/>
          <w:szCs w:val="16"/>
          <w:i w:val="1"/>
          <w:iCs w:val="1"/>
          <w:color w:val="auto"/>
        </w:rPr>
        <w:t xml:space="preserve"> </w:t>
      </w:r>
      <w:r>
        <w:rPr>
          <w:rFonts w:ascii="Arial" w:cs="Arial" w:eastAsia="Arial" w:hAnsi="Arial"/>
          <w:sz w:val="16"/>
          <w:szCs w:val="16"/>
          <w:color w:val="auto"/>
        </w:rPr>
        <w:t>University Foundation since its formation in 2010 and as a director of LOPE Kingdom Fund, an entity formed to provide seed funding for entrepreneurial ventures initiated by Grand Canyon University students, since its formation in 2014. From January 2007 until June 2008, Mr. Bachus served as chief financial officer for Loreto Bay Company, a real estate developer. From 2000 to 2006, Mr. Bachus served as the chief accounting officer and controller of Apollo Education Group, Inc., a for-profit, postsecondary education company and the parent company of the University of Phoenix. From 1992 to 2000, Mr. Bachus was employed by Deloitte &amp; Touche LLP, most recently as an audit senior manager. Mr. Bachus received a Bachelor of Science degree in Accountancy from the University of Arizona and a Master of Business Administration degree from the University of Phoenix. Mr. Bachus is also a certified public accountant.</w:t>
      </w:r>
    </w:p>
    <w:p>
      <w:pPr>
        <w:spacing w:after="0" w:line="16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i w:val="1"/>
          <w:iCs w:val="1"/>
          <w:color w:val="auto"/>
        </w:rPr>
        <w:t xml:space="preserve">Joseph N. Mildenhall </w:t>
      </w:r>
      <w:r>
        <w:rPr>
          <w:rFonts w:ascii="Arial" w:cs="Arial" w:eastAsia="Arial" w:hAnsi="Arial"/>
          <w:sz w:val="17"/>
          <w:szCs w:val="17"/>
          <w:color w:val="auto"/>
        </w:rPr>
        <w:t>has been serving as our Chief Information Officer since September 2009. From 1998 to September 2009, Mr. Mildenhall was</w:t>
      </w:r>
      <w:r>
        <w:rPr>
          <w:rFonts w:ascii="Arial" w:cs="Arial" w:eastAsia="Arial" w:hAnsi="Arial"/>
          <w:sz w:val="17"/>
          <w:szCs w:val="17"/>
          <w:i w:val="1"/>
          <w:iCs w:val="1"/>
          <w:color w:val="auto"/>
        </w:rPr>
        <w:t xml:space="preserve"> </w:t>
      </w:r>
      <w:r>
        <w:rPr>
          <w:rFonts w:ascii="Arial" w:cs="Arial" w:eastAsia="Arial" w:hAnsi="Arial"/>
          <w:sz w:val="17"/>
          <w:szCs w:val="17"/>
          <w:color w:val="auto"/>
        </w:rPr>
        <w:t>employed by Apollo Education Group, Inc., a for-profit, postsecondary education company and the parent company of the University of Phoenix, serving between June 2006 and September 2009 as its chief information officer. From 1998 to 2006, Mr. Mildenhall directed the design, development and deployment of the University of Phoenix online education environment and the student and faculty Internet portal supporting the rapid growth of the online campus beginning in 1998. From 1979 to 1988, Mr. Mildenhall held increasingly responsible roles in software development at J&amp;K Computer Systems, eventually becoming vice president and co-owner. When J&amp;K Computer Systems was acquired by National Computer Systems, Mr. Mildenhall continued in senior software development and technology leadership roles through 1998. Mr. Mildenhall holds a Bachelor of Science degree in Accounting from Brigham Young University and a Master of Business Administration from the University of Phoenix.</w:t>
      </w:r>
    </w:p>
    <w:p>
      <w:pPr>
        <w:spacing w:after="0" w:line="17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Brian M. Roberts </w:t>
      </w:r>
      <w:r>
        <w:rPr>
          <w:rFonts w:ascii="Arial" w:cs="Arial" w:eastAsia="Arial" w:hAnsi="Arial"/>
          <w:sz w:val="18"/>
          <w:szCs w:val="18"/>
          <w:color w:val="auto"/>
        </w:rPr>
        <w:t>has been serving as our Senior Vice President and General Counsel since May 2012 and as our Secretary since July 2012. Mr.</w:t>
      </w:r>
      <w:r>
        <w:rPr>
          <w:rFonts w:ascii="Arial" w:cs="Arial" w:eastAsia="Arial" w:hAnsi="Arial"/>
          <w:sz w:val="18"/>
          <w:szCs w:val="18"/>
          <w:i w:val="1"/>
          <w:iCs w:val="1"/>
          <w:color w:val="auto"/>
        </w:rPr>
        <w:t xml:space="preserve"> </w:t>
      </w:r>
      <w:r>
        <w:rPr>
          <w:rFonts w:ascii="Arial" w:cs="Arial" w:eastAsia="Arial" w:hAnsi="Arial"/>
          <w:sz w:val="18"/>
          <w:szCs w:val="18"/>
          <w:color w:val="auto"/>
        </w:rPr>
        <w:t>Roberts has been serving as a director of LOPE Kingdom Fund, an entity formed to provide seed funding for entrepreneurial ventures initiated by Grand Canyon University students, since its formation in 2014. From August 2003 to May 2012, Mr. Roberts was employed by iGo, Inc., a publicly traded developer of electronics accessories, including serving as general counsel and secretary in charge of all legal functions since May 2005. From September 1998 to August 2003, Mr. Roberts was an attorney with the law firm of Snell &amp; Wilmer L.L.P. Mr. Roberts received a Bachelor of Science degree in Business Administration and a Juris Doctorate from the University of Kansas.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i w:val="1"/>
          <w:iCs w:val="1"/>
          <w:color w:val="auto"/>
        </w:rPr>
        <w:t>The following discussion and analysis should be read in conjunction with “Compensation of Named Executive Officers” and the related tables that follow.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a comprehensive regionally accredited university that offers approximately 200 graduate and undergraduate degree programs and certificates across eight colleges both online and on ground at our approximately 250-acre campus in Phoenix, Arizona, at leased facilities and at facilities owned by third party employers of our students. We are committed to providing an academically rigorous educational experience with a focus on professionally relevant programs that meet the objectives of our students. Our undergraduate programs are designed to be innovative and meet the future needs of employers, while providing students with the needed critical thinking and effective communication skills developed through a Christian-oriented, liberal arts foundation. We offer master and doctoral degrees in contemporary fields that are designed to provide students with the capacity for transformational leadership in their chosen industry, emphasizing the immediate relevance of theory, application, and evaluation to promote personal and organizational change. We utilize an integrated, innovative approach to marketing, recruiting, and retaining both traditional-aged students attending on our campus in Phoenix, Arizona and working adult students attending on our campus or at off-site locations in cohorts (referred to by us as professional studies students) or online, which has enabled us to increase enrollment to approximately 74,500 students at December 31, 2015. At December 31, 2015, 79.6% of our students were enrolled in our online programs, and, of our working adult students (online and professional studies students), 47.8% were pursuing masters or doctoral degrees.</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2015, we continued to increase the number of students in attendance at our expanding traditional ground campus. Our Fall 2015 ground enrollment was 15,500 students. We attribute the significant growth in our enrollment to our increasing brand recognition and the value proposition that our ground traditional campus affords to traditional-aged students and their parents. After scholarships, our ground traditional students pay for tuition, room, board, and fees, often half to a third of what it costs to attend a private, traditional university in another state and an amount comparable to what it costs to attend a public university. We plan to increase enrollment growth for our traditional campus over the next few years, and seek to have 17,500 ground students in attendance at the beginning of our 2016-2017 academic year.</w:t>
      </w:r>
    </w:p>
    <w:p>
      <w:pPr>
        <w:spacing w:after="0" w:line="193"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In November 2012, we accepted an invitation to become a member of the Division I Western Athletic Conference beginning with the 2013-2014 academic year, and in 2013, we began the four-year process to reclassify our NCAA membership from Division II to Division I. During the reclassification process, we are considered a Division I university and are playing full conference schedules but are ineligible to compete for national championships which, for example, precludes us from playing in the end-of-year NCAA basketball tournament during that period of time.</w:t>
      </w:r>
    </w:p>
    <w:p>
      <w:pPr>
        <w:spacing w:after="0" w:line="17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Since 2010, our industry has faced a changing regulatory environment with new proposed and final rules being issued by the Department of Education and legislative hearings and initiatives in both the U.S. Senate and House of Representatives. For a complete description of these matters, please see “Business – Regulation” and “Management’s Discussion and Analysis of Financial Condition and Results of Operations” in our Annual Report on Form 10-K. At the same time, we believe that competition for students continues to increase, as an increasing number of traditional colleges and universities and community colleges, including many with well-established reputations for excellence, now offer distance learning and other online education programs, including programs that are geared towards the needs of working adult students. This trend has been accelerated by private companies that provide marketing, enrollment and student support services and/or manage online learning platforms for working adult students at traditional colleges and universities which we believe has resulted in declines in enrollment at most of the other publicly traded education companies.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senior management has guided our Company through these changes while still producing very positive financial results.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w:t>
      </w:r>
    </w:p>
    <w:p>
      <w:pPr>
        <w:spacing w:after="0" w:line="116"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6"/>
          <w:szCs w:val="16"/>
          <w:b w:val="1"/>
          <w:bCs w:val="1"/>
          <w:color w:val="auto"/>
        </w:rPr>
      </w:pPr>
      <w:r>
        <w:rPr>
          <w:rFonts w:ascii="Arial" w:cs="Arial" w:eastAsia="Arial" w:hAnsi="Arial"/>
          <w:sz w:val="16"/>
          <w:szCs w:val="16"/>
          <w:color w:val="auto"/>
        </w:rPr>
        <w:t>Net revenue increased 12.6% to $778.2 million for the year ended December 31, 2015, compared to $691.1 million for the same period in 2014.</w:t>
      </w:r>
    </w:p>
    <w:p>
      <w:pPr>
        <w:spacing w:after="0" w:line="153" w:lineRule="exact"/>
        <w:rPr>
          <w:rFonts w:ascii="Arial" w:cs="Arial" w:eastAsia="Arial" w:hAnsi="Arial"/>
          <w:sz w:val="16"/>
          <w:szCs w:val="16"/>
          <w:b w:val="1"/>
          <w:bCs w:val="1"/>
          <w:color w:val="auto"/>
        </w:rPr>
      </w:pPr>
    </w:p>
    <w:p>
      <w:pPr>
        <w:ind w:left="900" w:right="200" w:hanging="446"/>
        <w:spacing w:after="0" w:line="342" w:lineRule="auto"/>
        <w:tabs>
          <w:tab w:leader="none" w:pos="900" w:val="left"/>
        </w:tabs>
        <w:numPr>
          <w:ilvl w:val="0"/>
          <w:numId w:val="20"/>
        </w:numPr>
        <w:rPr>
          <w:rFonts w:ascii="Arial" w:cs="Arial" w:eastAsia="Arial" w:hAnsi="Arial"/>
          <w:sz w:val="16"/>
          <w:szCs w:val="16"/>
          <w:b w:val="1"/>
          <w:bCs w:val="1"/>
          <w:color w:val="auto"/>
        </w:rPr>
      </w:pPr>
      <w:r>
        <w:rPr>
          <w:rFonts w:ascii="Arial" w:cs="Arial" w:eastAsia="Arial" w:hAnsi="Arial"/>
          <w:sz w:val="16"/>
          <w:szCs w:val="16"/>
          <w:color w:val="auto"/>
        </w:rPr>
        <w:t>Operating income for the year ended December 31, 2015 was $210.4 million, an increase of 16.3% as compared to $180.8 million for the same period in 2014. The operating margin for the year ended December 31, 2015 was 27.0%, compared to 26.2% for the same period in 2014.</w:t>
      </w:r>
    </w:p>
    <w:p>
      <w:pPr>
        <w:spacing w:after="0" w:line="29" w:lineRule="exact"/>
        <w:rPr>
          <w:rFonts w:ascii="Arial" w:cs="Arial" w:eastAsia="Arial" w:hAnsi="Arial"/>
          <w:sz w:val="16"/>
          <w:szCs w:val="16"/>
          <w:b w:val="1"/>
          <w:bCs w:val="1"/>
          <w:color w:val="auto"/>
        </w:rPr>
      </w:pPr>
    </w:p>
    <w:p>
      <w:pPr>
        <w:ind w:left="900" w:right="100" w:hanging="446"/>
        <w:spacing w:after="0" w:line="277" w:lineRule="auto"/>
        <w:tabs>
          <w:tab w:leader="none" w:pos="90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Adjusted EBITDA increased 15.5% to $263.1 million for the year ended December 31, 2015, compared to $227.8 million for the same period in 2014.</w:t>
      </w:r>
    </w:p>
    <w:p>
      <w:pPr>
        <w:spacing w:after="0" w:line="75" w:lineRule="exact"/>
        <w:rPr>
          <w:rFonts w:ascii="Arial" w:cs="Arial" w:eastAsia="Arial" w:hAnsi="Arial"/>
          <w:sz w:val="18"/>
          <w:szCs w:val="18"/>
          <w:b w:val="1"/>
          <w:bCs w:val="1"/>
          <w:color w:val="auto"/>
        </w:rPr>
      </w:pPr>
    </w:p>
    <w:p>
      <w:pPr>
        <w:ind w:left="900" w:hanging="446"/>
        <w:spacing w:after="0" w:line="264" w:lineRule="auto"/>
        <w:tabs>
          <w:tab w:leader="none" w:pos="90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The tax rate in the year ended December 31, 2015 was 37.1% compared to 38.0% for the same period in 2014. The tax rate for 2015 is lower than the prior year due to state tax apportionment and rate changes. The tax rate for both periods is less than the annual effective tax rates due to the contributions made in lieu of state income taxes in the third quarter of both years.</w:t>
      </w:r>
    </w:p>
    <w:p>
      <w:pPr>
        <w:spacing w:after="0" w:line="86" w:lineRule="exact"/>
        <w:rPr>
          <w:rFonts w:ascii="Arial" w:cs="Arial" w:eastAsia="Arial" w:hAnsi="Arial"/>
          <w:sz w:val="18"/>
          <w:szCs w:val="18"/>
          <w:b w:val="1"/>
          <w:bCs w:val="1"/>
          <w:color w:val="auto"/>
        </w:rPr>
      </w:pPr>
    </w:p>
    <w:p>
      <w:pPr>
        <w:ind w:left="900" w:hanging="446"/>
        <w:spacing w:after="0"/>
        <w:tabs>
          <w:tab w:leader="none" w:pos="900" w:val="left"/>
        </w:tabs>
        <w:numPr>
          <w:ilvl w:val="0"/>
          <w:numId w:val="20"/>
        </w:numPr>
        <w:rPr>
          <w:rFonts w:ascii="Arial" w:cs="Arial" w:eastAsia="Arial" w:hAnsi="Arial"/>
          <w:sz w:val="16"/>
          <w:szCs w:val="16"/>
          <w:b w:val="1"/>
          <w:bCs w:val="1"/>
          <w:color w:val="auto"/>
        </w:rPr>
      </w:pPr>
      <w:r>
        <w:rPr>
          <w:rFonts w:ascii="Arial" w:cs="Arial" w:eastAsia="Arial" w:hAnsi="Arial"/>
          <w:sz w:val="16"/>
          <w:szCs w:val="16"/>
          <w:color w:val="auto"/>
        </w:rPr>
        <w:t>Net income increased 17.9% to $131.4 million for the year ended December 31, 2015, compared to $111.5 million for the same period in 2014.</w:t>
      </w:r>
    </w:p>
    <w:p>
      <w:pPr>
        <w:spacing w:after="0" w:line="153" w:lineRule="exact"/>
        <w:rPr>
          <w:rFonts w:ascii="Arial" w:cs="Arial" w:eastAsia="Arial" w:hAnsi="Arial"/>
          <w:sz w:val="16"/>
          <w:szCs w:val="16"/>
          <w:b w:val="1"/>
          <w:bCs w:val="1"/>
          <w:color w:val="auto"/>
        </w:rPr>
      </w:pPr>
    </w:p>
    <w:p>
      <w:pPr>
        <w:ind w:left="900" w:hanging="446"/>
        <w:spacing w:after="0"/>
        <w:tabs>
          <w:tab w:leader="none" w:pos="90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Diluted net income per share was $2.78 for the year ended December 31, 2015, compared to $2.37 for the same period in 2014.</w:t>
      </w:r>
    </w:p>
    <w:p>
      <w:pPr>
        <w:spacing w:after="0" w:line="225"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 xml:space="preserve">For a discussion of the manner in which we compute our Adjusted EBITDA and to view a table setting forth a reconciliation of our Adjusted EBITDA to our net income (as determined in accordance with U.S. generally accepted accounting principles), please see Item 6, </w:t>
      </w:r>
      <w:r>
        <w:rPr>
          <w:rFonts w:ascii="Arial" w:cs="Arial" w:eastAsia="Arial" w:hAnsi="Arial"/>
          <w:sz w:val="18"/>
          <w:szCs w:val="18"/>
          <w:i w:val="1"/>
          <w:iCs w:val="1"/>
          <w:color w:val="auto"/>
        </w:rPr>
        <w:t>Selected Consolidated Financial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Data, </w:t>
      </w:r>
      <w:r>
        <w:rPr>
          <w:rFonts w:ascii="Arial" w:cs="Arial" w:eastAsia="Arial" w:hAnsi="Arial"/>
          <w:sz w:val="18"/>
          <w:szCs w:val="18"/>
          <w:color w:val="auto"/>
        </w:rPr>
        <w:t>beginning on page 44 of our Annual Report on Form 10-K for the fiscal year ended December 31, 2015, filed with the Securities and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on February 17, 2016.</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had positive non-financial developments in 2015, including:</w:t>
      </w:r>
    </w:p>
    <w:p>
      <w:pPr>
        <w:spacing w:after="0" w:line="131" w:lineRule="exact"/>
        <w:rPr>
          <w:sz w:val="20"/>
          <w:szCs w:val="20"/>
          <w:color w:val="auto"/>
        </w:rPr>
      </w:pPr>
    </w:p>
    <w:p>
      <w:pPr>
        <w:ind w:left="900" w:right="160" w:hanging="446"/>
        <w:spacing w:after="0" w:line="30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i w:val="1"/>
          <w:iCs w:val="1"/>
          <w:u w:val="single" w:color="auto"/>
          <w:color w:val="auto"/>
        </w:rPr>
        <w:t>Continued Program Expansion.</w:t>
      </w:r>
      <w:r>
        <w:rPr>
          <w:rFonts w:ascii="Arial" w:cs="Arial" w:eastAsia="Arial" w:hAnsi="Arial"/>
          <w:sz w:val="16"/>
          <w:szCs w:val="16"/>
          <w:i w:val="1"/>
          <w:iCs w:val="1"/>
          <w:color w:val="auto"/>
        </w:rPr>
        <w:t xml:space="preserve"> </w:t>
      </w:r>
      <w:r>
        <w:rPr>
          <w:rFonts w:ascii="Arial" w:cs="Arial" w:eastAsia="Arial" w:hAnsi="Arial"/>
          <w:sz w:val="16"/>
          <w:szCs w:val="16"/>
          <w:color w:val="auto"/>
        </w:rPr>
        <w:t>In the Fall of 2014, Grand Canyon University launched the College of Science, Engineering and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rolling out programs in computer science and information technology. In the Fall of 2015, three engineering programs, Electrical Engineering, Bio-medical Engineering and Mechanical Engineering began. In total the University now offers approximately 200 graduate and undergraduate degree programs and certificates across eight colleges with over 30 new programs or emphases rolled out in 2015.</w:t>
      </w:r>
    </w:p>
    <w:p>
      <w:pPr>
        <w:spacing w:after="0" w:line="59" w:lineRule="exact"/>
        <w:rPr>
          <w:rFonts w:ascii="Arial" w:cs="Arial" w:eastAsia="Arial" w:hAnsi="Arial"/>
          <w:sz w:val="16"/>
          <w:szCs w:val="16"/>
          <w:color w:val="auto"/>
        </w:rPr>
      </w:pPr>
    </w:p>
    <w:p>
      <w:pPr>
        <w:ind w:left="900" w:hanging="446"/>
        <w:spacing w:after="0" w:line="286"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i w:val="1"/>
          <w:iCs w:val="1"/>
          <w:u w:val="single" w:color="auto"/>
          <w:color w:val="auto"/>
        </w:rPr>
        <w:t>Capital Expenditures.</w:t>
      </w:r>
      <w:r>
        <w:rPr>
          <w:rFonts w:ascii="Arial" w:cs="Arial" w:eastAsia="Arial" w:hAnsi="Arial"/>
          <w:sz w:val="16"/>
          <w:szCs w:val="16"/>
          <w:i w:val="1"/>
          <w:iCs w:val="1"/>
          <w:color w:val="auto"/>
        </w:rPr>
        <w:t xml:space="preserve"> </w:t>
      </w:r>
      <w:r>
        <w:rPr>
          <w:rFonts w:ascii="Arial" w:cs="Arial" w:eastAsia="Arial" w:hAnsi="Arial"/>
          <w:sz w:val="16"/>
          <w:szCs w:val="16"/>
          <w:color w:val="auto"/>
        </w:rPr>
        <w:t>Our capital expenditures in 2015 of $204.7 million were primarily related to the expansion of our approximately 250-acre</w:t>
      </w:r>
      <w:r>
        <w:rPr>
          <w:rFonts w:ascii="Arial" w:cs="Arial" w:eastAsia="Arial" w:hAnsi="Arial"/>
          <w:sz w:val="16"/>
          <w:szCs w:val="16"/>
          <w:i w:val="1"/>
          <w:iCs w:val="1"/>
          <w:color w:val="auto"/>
        </w:rPr>
        <w:t xml:space="preserve"> </w:t>
      </w:r>
      <w:r>
        <w:rPr>
          <w:rFonts w:ascii="Arial" w:cs="Arial" w:eastAsia="Arial" w:hAnsi="Arial"/>
          <w:sz w:val="16"/>
          <w:szCs w:val="16"/>
          <w:color w:val="auto"/>
        </w:rPr>
        <w:t>physical campus in Phoenix, Arizona and significant investments in technology innovation to support our students and staff. In order to accommodate the continued growth of the traditional ground population, we completed four additional dormitories, an additional classroom building for the College of Science, Engineering and Technology and a third parking structure for the 2015/2016 school year and recently started construction on three more apartment style residence halls, a 170,000 square foot classroom building for our College of Science, Engineering and Technology, a student service center and a fourth parking structure. In addition, we acquired approximately 25 acres of land adjacent to or near campus for future development. Included in off-site development during 2015 is $10.0 million we spent to revitalize what was formerly known as the Maryvale Golf Course under a partnership agreement with the City of Phoenix. The golf course is now known as Grand Canyon University Championship golf course. These investments are intended to support our growing on-campus student population as well as enhance the brand of Grand Canyon University. Also, in late 2015, we commenced construction on an off-site office building and parking garage that is in close proximity to our ground traditional campus. Employees that work in two leased office buildings in the Phoenix area will be consolidated into this new building when it’s expected to be completed in late 2016. Although we are funding the construction of the building and parking garage, we are marketing these, along with a recently refurbished office building in the same development, as part of a sale-leaseback transaction.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i w:val="1"/>
          <w:iCs w:val="1"/>
          <w:u w:val="single" w:color="auto"/>
          <w:color w:val="auto"/>
        </w:rPr>
        <w:t>Community Involvement and the Public Good</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 2014, we announced a five-point plan to restore west Phoenix through the following initiatives</w:t>
      </w:r>
    </w:p>
    <w:p>
      <w:pPr>
        <w:spacing w:after="0" w:line="46" w:lineRule="exact"/>
        <w:rPr>
          <w:rFonts w:ascii="Arial" w:cs="Arial" w:eastAsia="Arial" w:hAnsi="Arial"/>
          <w:sz w:val="16"/>
          <w:szCs w:val="16"/>
          <w:color w:val="auto"/>
        </w:rPr>
      </w:pPr>
    </w:p>
    <w:p>
      <w:pPr>
        <w:ind w:left="900" w:right="20"/>
        <w:spacing w:after="0" w:line="268" w:lineRule="auto"/>
        <w:rPr>
          <w:rFonts w:ascii="Arial" w:cs="Arial" w:eastAsia="Arial" w:hAnsi="Arial"/>
          <w:sz w:val="16"/>
          <w:szCs w:val="16"/>
          <w:color w:val="auto"/>
        </w:rPr>
      </w:pPr>
      <w:r>
        <w:rPr>
          <w:rFonts w:ascii="Arial" w:cs="Arial" w:eastAsia="Arial" w:hAnsi="Arial"/>
          <w:sz w:val="17"/>
          <w:szCs w:val="17"/>
          <w:color w:val="auto"/>
        </w:rPr>
        <w:t>(a) a unique partnership with Habitat for Humanity to repair hundreds of homes in our neighborhood; (b) an ongoing initiative with the Phoenix Police Department to improve public safety; (c) the creation of jobs and commerce on the main campus and along the Camelback Road corridor in West Phoenix; (d) the development of a trained workforce in the areas of science, technology, engineering and mathematics; and (e) the continued support of K-12 students at neighborhood schools via our Outreach Program. Our students are serving as tutors and mentors to these high school students and the results thus far have been extremely positive. We continue to be involved in more than 120 community events and projects throughout the year, helping organizations such as the Phoenix Dream Center, Feed My Starving Children, Hopefest, Arizona Foster Care, Phoenix Rescue Mission, Boy/Girl Scouts, Goodwill Arizona, Muscular Dystrophy Association, Young Life and Elevate Phoenix. We also put on popular gift drives at Christmas and Easter to help brighten those seasons for many underprivileged families. Our faculty, staff and students also go out into our surrounding neighborhoods to participate in University sponsored programs such as Serve the City, Canyon Kids, 12 Months of Service and the Run to Fight Children’s Cancer.</w:t>
      </w:r>
    </w:p>
    <w:p>
      <w:pPr>
        <w:spacing w:after="0" w:line="85" w:lineRule="exact"/>
        <w:rPr>
          <w:rFonts w:ascii="Arial" w:cs="Arial" w:eastAsia="Arial" w:hAnsi="Arial"/>
          <w:sz w:val="16"/>
          <w:szCs w:val="16"/>
          <w:color w:val="auto"/>
        </w:rPr>
      </w:pPr>
    </w:p>
    <w:p>
      <w:pPr>
        <w:ind w:left="900" w:right="120" w:hanging="446"/>
        <w:spacing w:after="0" w:line="273"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i w:val="1"/>
          <w:iCs w:val="1"/>
          <w:u w:val="single" w:color="auto"/>
          <w:color w:val="auto"/>
        </w:rPr>
        <w:t>Quality of Student Body</w:t>
      </w:r>
      <w:r>
        <w:rPr>
          <w:rFonts w:ascii="Arial" w:cs="Arial" w:eastAsia="Arial" w:hAnsi="Arial"/>
          <w:sz w:val="17"/>
          <w:szCs w:val="17"/>
          <w:color w:val="auto"/>
        </w:rPr>
        <w:t>. Not only has our enrollment grown over the past year, we believe the quality of our student body has as well. The</w:t>
      </w:r>
      <w:r>
        <w:rPr>
          <w:rFonts w:ascii="Arial" w:cs="Arial" w:eastAsia="Arial" w:hAnsi="Arial"/>
          <w:sz w:val="17"/>
          <w:szCs w:val="17"/>
          <w:i w:val="1"/>
          <w:iCs w:val="1"/>
          <w:color w:val="auto"/>
        </w:rPr>
        <w:t xml:space="preserve"> </w:t>
      </w:r>
      <w:r>
        <w:rPr>
          <w:rFonts w:ascii="Arial" w:cs="Arial" w:eastAsia="Arial" w:hAnsi="Arial"/>
          <w:sz w:val="17"/>
          <w:szCs w:val="17"/>
          <w:color w:val="auto"/>
        </w:rPr>
        <w:t>average incoming grade point average of our admitted traditional students was approximately 3.5. Approximately 70% of all traditional students are studying in our STEM and Colangelo College of Business programs. The pass rates of our nursing, health care professionals and teacher education students on national exams continue to be high. Our students are being accepted into prestigious medical, dental, veterinary and pharmacy schools around the country. In addition, the percentage of our working adult students studying in graduate programs as well as degree completer bachelor programs such as the RN-BSN program continues to grow.</w:t>
      </w:r>
    </w:p>
    <w:p>
      <w:pPr>
        <w:spacing w:after="0" w:line="178"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have held stockholder advisory votes on the compensation of our named executive officers, commonly referred to as a Say-on-Pay vote, at each of our past five annual meetings of stockholders and, in each case, our stockholders approved the compensation of our named executive officers by wide margins. As we evaluated our compensation practices for 2015 and into 2016 in light of such votes, we gave great consideration to the strong support our stockholders expressed for our current compensation philosophy and practices. As a result, our Compensation Committee retained our general approach to executive compensation in 2015 and into 2016, as discussed below.</w:t>
      </w:r>
    </w:p>
    <w:p>
      <w:pPr>
        <w:spacing w:after="0" w:line="18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believe our executive pay is reasonable and provides appropriate incentives to our executives to achieve our financial and strategic goals without encouraging them to take excessive risks in their business decisions. We regularly evaluate the major risks to our business, including how risks taken by management could impact the amount and value of the compensation that our executives receive. To this end, we continued practices that are considered standard for good corporate governance and executive compensation, including:</w:t>
      </w:r>
    </w:p>
    <w:p>
      <w:pPr>
        <w:spacing w:after="0" w:line="92"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Strong alignment between company-wide performance and payouts under our annual cash incentive plan (“Annual Cash Incentive Plan”);</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absence of any guaranteed bonuses;</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stock-based awards are subject to five-year vesting periods, with 20% of each grant vesting annually on each of the first five anniversaries of the date of grant;</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Severance arrangements with our named executive officers that are limited to one year of compensation (base salary and target bonus) and benefits and limited acceleration of vesting;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Double-trigger change-in-control arrangements with our named executive officers.</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light of the foregoing factors and practices, we believe our executive compensation in fiscal year 2015 appropriately reflected the economic and regulatory environments, the performance of the Company and the relationship with market compensation necessary to retain and motivate our executives, and that the continuation of these practices in 2016 is appropriate given the continued regulatory, economic and competitive challenges that we expect to face.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2015 Executive Compensation</w:t>
      </w:r>
    </w:p>
    <w:p>
      <w:pPr>
        <w:spacing w:after="0" w:line="117"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The purpose of this Compensation Discussion and Analysis is to provide information about each material element of compensation that we pay or award to, or that is earned by, the individuals set forth in the Summary Compensation Table set forth below (our “named executive officers”), including our principal executive officer, our principal financial officer, and our three other most highly compensated executive officers whose total compensation for the fiscal year ended December 31, 2015, was in excess of $100,000 and who were serving as executive officers at the end of that fiscal year.</w:t>
      </w:r>
    </w:p>
    <w:p>
      <w:pPr>
        <w:spacing w:after="0" w:line="154"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This Compensation Discussion and Analysis addresses and explains the compensation practices we followed in 2015, the numerical and related information contained in the summary compensation and related tables presented below, and actions we have taken regarding executive compensation since the end of our 2015 fiscal year. Specifically, this Compensation Discussion and Analysis addresses:</w:t>
      </w:r>
    </w:p>
    <w:p>
      <w:pPr>
        <w:spacing w:after="0" w:line="87"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objectives of our compensation program (found in the section entitled “Objectives of Compensation Programs”);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what our compensation program is designed to reward (also described in the section entitled “Objectives of Compensation Programs”);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element of compensation (set forth in the section entitled “Compensation Program Design and Elements of Compensation”);</w:t>
      </w:r>
    </w:p>
    <w:p>
      <w:pPr>
        <w:spacing w:after="0" w:line="130" w:lineRule="exact"/>
        <w:rPr>
          <w:rFonts w:ascii="Arial" w:cs="Arial" w:eastAsia="Arial" w:hAnsi="Arial"/>
          <w:sz w:val="18"/>
          <w:szCs w:val="18"/>
          <w:color w:val="auto"/>
        </w:rPr>
      </w:pPr>
    </w:p>
    <w:p>
      <w:pPr>
        <w:ind w:left="900" w:right="84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why each element was chosen (described with each element of compensation, including base pay, short-term incentives and long-term incentives);</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how amounts and formulas for pay are calculated and determined (also described with each element of compensation, including base pay, short-term incentives and long-term incentives); and</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how each compensation element and our decisions regarding that element fit into our overall compensation objectives and affect decisions regarding other elements (described with each element of compensation).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Determinations</w:t>
      </w:r>
    </w:p>
    <w:p>
      <w:pPr>
        <w:spacing w:after="0" w:line="117"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All of our named executive officers who appear in the Summary Compensation Table are parties to employment agreements. With respect to each named executive officer, the level of base salary to be paid to those officers over the term of their respective employment agreements and their individual target bonus percentages were initially determined as part of the negotiation process relating to such agreements, and are subject to annual review by the Compensation Committee.</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Compensation Committee’s charter empowers it to set all compensation, including, but not limited to, salary, bonus, incentive compensation, equity awards, benefits and perquisites, for our named executive officers. Our Compensation Committee makes such determinations with respect to our Chief Executive Officer and, for all other named executives, makes such determinations in consultation with our Chief Executive Officer. For additional information regarding the Compensation Committee, please see “Corporate Governance and Board Matters — Committees of Our Board of Directors — Compensation Committee.”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 of Compensation Programs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pay our executive officers based on company-wide business performance, subject to adjustment based on their achievement of individual performance goals, and, in setting compensation levels, we take into consideration our past practices, our current and anticipated future needs, and the relative skills and experience of each individual executive.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i w:val="1"/>
          <w:iCs w:val="1"/>
          <w:color w:val="auto"/>
        </w:rPr>
        <w:t xml:space="preserve">Compensation philosophy. </w:t>
      </w:r>
      <w:r>
        <w:rPr>
          <w:rFonts w:ascii="Arial" w:cs="Arial" w:eastAsia="Arial" w:hAnsi="Arial"/>
          <w:sz w:val="18"/>
          <w:szCs w:val="18"/>
          <w:color w:val="auto"/>
        </w:rPr>
        <w:t>Under our compensation philosophy, a named executive officer’s total compensation will vary based on our overall</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as well as the Compensation Committee’s assessment of the particular named executive officer’s personal performance and contribution to our overall results. This philosophy generally applies to all of our employees, although the degree of variability and compensation at risk increases as an employee’s function and level of responsibility increases. Our overall goals in implementing this philosophy are to attract, motivate, and retain highly qualified individuals responsible for guiding us and creating value for our investors.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Compensation objectives. </w:t>
      </w:r>
      <w:r>
        <w:rPr>
          <w:rFonts w:ascii="Arial" w:cs="Arial" w:eastAsia="Arial" w:hAnsi="Arial"/>
          <w:sz w:val="18"/>
          <w:szCs w:val="18"/>
          <w:color w:val="auto"/>
        </w:rPr>
        <w:t>We believe that the compensation program we follow helps us achieve the following objectives:</w:t>
      </w:r>
    </w:p>
    <w:p>
      <w:pPr>
        <w:spacing w:after="0" w:line="131" w:lineRule="exact"/>
        <w:rPr>
          <w:sz w:val="20"/>
          <w:szCs w:val="20"/>
          <w:color w:val="auto"/>
        </w:rPr>
      </w:pPr>
    </w:p>
    <w:p>
      <w:pPr>
        <w:ind w:left="900" w:right="340" w:hanging="446"/>
        <w:spacing w:after="0" w:line="286"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Compensation should be related to performance. </w:t>
      </w:r>
      <w:r>
        <w:rPr>
          <w:rFonts w:ascii="Arial" w:cs="Arial" w:eastAsia="Arial" w:hAnsi="Arial"/>
          <w:sz w:val="17"/>
          <w:szCs w:val="17"/>
          <w:color w:val="auto"/>
        </w:rPr>
        <w:t>We believe that the performance-based portion of an individual’s total compensation should</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as the individual’s business responsibilities increase. Thus, a material portion of executive compensation is linked to our financial performance, which also serves to align the named executive officers’ interests with those of our stockholders.</w:t>
      </w:r>
    </w:p>
    <w:p>
      <w:pPr>
        <w:spacing w:after="0" w:line="70" w:lineRule="exact"/>
        <w:rPr>
          <w:rFonts w:ascii="Arial" w:cs="Arial" w:eastAsia="Arial" w:hAnsi="Arial"/>
          <w:sz w:val="17"/>
          <w:szCs w:val="17"/>
          <w:color w:val="auto"/>
        </w:rPr>
      </w:pPr>
    </w:p>
    <w:p>
      <w:pPr>
        <w:ind w:left="900" w:hanging="446"/>
        <w:spacing w:after="0" w:line="25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should be competitive and cost effective. </w:t>
      </w:r>
      <w:r>
        <w:rPr>
          <w:rFonts w:ascii="Arial" w:cs="Arial" w:eastAsia="Arial" w:hAnsi="Arial"/>
          <w:sz w:val="18"/>
          <w:szCs w:val="18"/>
          <w:color w:val="auto"/>
        </w:rPr>
        <w:t>We believe that our compensation program should foster an innovative, high integrity,</w:t>
      </w:r>
      <w:r>
        <w:rPr>
          <w:rFonts w:ascii="Arial" w:cs="Arial" w:eastAsia="Arial" w:hAnsi="Arial"/>
          <w:sz w:val="18"/>
          <w:szCs w:val="18"/>
          <w:i w:val="1"/>
          <w:iCs w:val="1"/>
          <w:color w:val="auto"/>
        </w:rPr>
        <w:t xml:space="preserve"> </w:t>
      </w:r>
      <w:r>
        <w:rPr>
          <w:rFonts w:ascii="Arial" w:cs="Arial" w:eastAsia="Arial" w:hAnsi="Arial"/>
          <w:sz w:val="18"/>
          <w:szCs w:val="18"/>
          <w:color w:val="auto"/>
        </w:rPr>
        <w:t>and performance-oriented culture that serves to attract, motivate, and retain executives and other key employees with the appropriate skill sets to lead us through expected future growth in a dynamic, competitive, and highly regulated environment. Accordingly, we seek to provide compensation, in amounts and based on performance targets, necessary to achieve these goals and which is of fair value relative to other positions at the Company</w:t>
      </w:r>
    </w:p>
    <w:p>
      <w:pPr>
        <w:spacing w:after="0" w:line="188"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i w:val="1"/>
          <w:iCs w:val="1"/>
          <w:color w:val="auto"/>
        </w:rPr>
        <w:t xml:space="preserve">Company compensation policies. </w:t>
      </w:r>
      <w:r>
        <w:rPr>
          <w:rFonts w:ascii="Arial" w:cs="Arial" w:eastAsia="Arial" w:hAnsi="Arial"/>
          <w:sz w:val="18"/>
          <w:szCs w:val="18"/>
          <w:color w:val="auto"/>
        </w:rPr>
        <w:t>During 2015, our named executive officers’ total in-service compensation consisted of base salaries, cash bonuses,</w:t>
      </w:r>
      <w:r>
        <w:rPr>
          <w:rFonts w:ascii="Arial" w:cs="Arial" w:eastAsia="Arial" w:hAnsi="Arial"/>
          <w:sz w:val="18"/>
          <w:szCs w:val="18"/>
          <w:i w:val="1"/>
          <w:iCs w:val="1"/>
          <w:color w:val="auto"/>
        </w:rPr>
        <w:t xml:space="preserve"> </w:t>
      </w:r>
      <w:r>
        <w:rPr>
          <w:rFonts w:ascii="Arial" w:cs="Arial" w:eastAsia="Arial" w:hAnsi="Arial"/>
          <w:sz w:val="18"/>
          <w:szCs w:val="18"/>
          <w:color w:val="auto"/>
        </w:rPr>
        <w:t>share-based compensation, and other benefits generally available to all employees. With regard to these components, we adhere to the following compensation policies:</w:t>
      </w:r>
    </w:p>
    <w:p>
      <w:pPr>
        <w:spacing w:after="0" w:line="87" w:lineRule="exact"/>
        <w:rPr>
          <w:sz w:val="20"/>
          <w:szCs w:val="20"/>
          <w:color w:val="auto"/>
        </w:rPr>
      </w:pPr>
    </w:p>
    <w:p>
      <w:pPr>
        <w:ind w:left="900" w:right="46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Cash should be a significant component of compensation. </w:t>
      </w:r>
      <w:r>
        <w:rPr>
          <w:rFonts w:ascii="Arial" w:cs="Arial" w:eastAsia="Arial" w:hAnsi="Arial"/>
          <w:sz w:val="18"/>
          <w:szCs w:val="18"/>
          <w:color w:val="auto"/>
        </w:rPr>
        <w:t>The Company’s compensation policy focuses on providing the opportunity for its</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officers to earn total cash compensation at levels that enable the Company to achieve the motivation and retention goals described above, and to provide equity incentives that are intended to reward superior performance rather than serve as a substitute for cash compensation.</w:t>
      </w:r>
    </w:p>
    <w:p>
      <w:pPr>
        <w:spacing w:after="0" w:line="92" w:lineRule="exact"/>
        <w:rPr>
          <w:rFonts w:ascii="Arial" w:cs="Arial" w:eastAsia="Arial" w:hAnsi="Arial"/>
          <w:sz w:val="18"/>
          <w:szCs w:val="18"/>
          <w:color w:val="auto"/>
        </w:rPr>
      </w:pPr>
    </w:p>
    <w:p>
      <w:pPr>
        <w:ind w:left="900" w:right="20" w:hanging="446"/>
        <w:spacing w:after="0" w:line="30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Base salaries should generally be the largest component of cash compensation</w:t>
      </w:r>
      <w:r>
        <w:rPr>
          <w:rFonts w:ascii="Arial" w:cs="Arial" w:eastAsia="Arial" w:hAnsi="Arial"/>
          <w:sz w:val="16"/>
          <w:szCs w:val="16"/>
          <w:color w:val="auto"/>
        </w:rPr>
        <w:t>. Our compensation programs generally reflect our view that base</w:t>
      </w:r>
      <w:r>
        <w:rPr>
          <w:rFonts w:ascii="Arial" w:cs="Arial" w:eastAsia="Arial" w:hAnsi="Arial"/>
          <w:sz w:val="16"/>
          <w:szCs w:val="16"/>
          <w:i w:val="1"/>
          <w:iCs w:val="1"/>
          <w:color w:val="auto"/>
        </w:rPr>
        <w:t xml:space="preserve"> </w:t>
      </w:r>
      <w:r>
        <w:rPr>
          <w:rFonts w:ascii="Arial" w:cs="Arial" w:eastAsia="Arial" w:hAnsi="Arial"/>
          <w:sz w:val="16"/>
          <w:szCs w:val="16"/>
          <w:color w:val="auto"/>
        </w:rPr>
        <w:t>salaries reflect compensation for the named executive officers to perform the essential elements of their respective jobs, and that cash bonuses are a reward for superior company performance. In this regard, absent clear outperformance of financial goals, for all of our named executive officers other than our Chief Executive Officer, base salary should generally be the largest component of cash compensation.</w:t>
      </w:r>
    </w:p>
    <w:p>
      <w:pPr>
        <w:spacing w:after="0" w:line="59" w:lineRule="exact"/>
        <w:rPr>
          <w:rFonts w:ascii="Arial" w:cs="Arial" w:eastAsia="Arial" w:hAnsi="Arial"/>
          <w:sz w:val="16"/>
          <w:szCs w:val="16"/>
          <w:color w:val="auto"/>
        </w:rPr>
      </w:pPr>
    </w:p>
    <w:p>
      <w:pPr>
        <w:ind w:left="900" w:right="60" w:hanging="446"/>
        <w:spacing w:after="0" w:line="264"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Cash incentives should be linked to performance. </w:t>
      </w:r>
      <w:r>
        <w:rPr>
          <w:rFonts w:ascii="Arial" w:cs="Arial" w:eastAsia="Arial" w:hAnsi="Arial"/>
          <w:sz w:val="18"/>
          <w:szCs w:val="18"/>
          <w:color w:val="auto"/>
        </w:rPr>
        <w:t>Under our Annual Cash Incentive Plan, bonuses paid to our named executive officers are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overall company financial performance, but are subject to reduction based on the Compensation Committee’s assessment of the particular named executive officer’s personal performance and contribution to our overall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policies have helped us achieve our compensation objectives of attracting, motivating, retaining, and rewarding our key officers.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Programs Design and Elements of Compensation</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We choose to pay each element of compensation to further the objectives of our compensation program, which, as noted, include the need to attract, motivate, retain, and reward key leaders critical to our success by providing competitive total compensation.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i w:val="1"/>
          <w:iCs w:val="1"/>
          <w:color w:val="auto"/>
        </w:rPr>
        <w:t xml:space="preserve">Elements of In-Service Compensation. </w:t>
      </w:r>
      <w:r>
        <w:rPr>
          <w:rFonts w:ascii="Arial" w:cs="Arial" w:eastAsia="Arial" w:hAnsi="Arial"/>
          <w:sz w:val="17"/>
          <w:szCs w:val="17"/>
          <w:color w:val="auto"/>
        </w:rPr>
        <w:t>For our 2015 fiscal year, our executive compensation mix included base salaries, cash bonuses, share-based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and other benefits generally available to all employees. We seek to compensate our named executive officers at levels that eliminate the need for material perquisites and enable each individual officer to provide for his or her own needs, and in 2015, we did not provide any perquisites to our named executive officers. We generally determine the nature and amount of each element of compensation as follows:</w:t>
      </w:r>
    </w:p>
    <w:p>
      <w:pPr>
        <w:spacing w:after="0" w:line="77" w:lineRule="exact"/>
        <w:rPr>
          <w:sz w:val="20"/>
          <w:szCs w:val="20"/>
          <w:color w:val="auto"/>
        </w:rPr>
      </w:pPr>
    </w:p>
    <w:p>
      <w:pPr>
        <w:ind w:left="900" w:hanging="446"/>
        <w:spacing w:after="0" w:line="25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We typically agree upon a base salary with a named executive officer at the time of initial employment. The amount of base salary</w:t>
      </w:r>
      <w:r>
        <w:rPr>
          <w:rFonts w:ascii="Arial" w:cs="Arial" w:eastAsia="Arial" w:hAnsi="Arial"/>
          <w:sz w:val="18"/>
          <w:szCs w:val="18"/>
          <w:i w:val="1"/>
          <w:iCs w:val="1"/>
          <w:color w:val="auto"/>
        </w:rPr>
        <w:t xml:space="preserve"> </w:t>
      </w:r>
      <w:r>
        <w:rPr>
          <w:rFonts w:ascii="Arial" w:cs="Arial" w:eastAsia="Arial" w:hAnsi="Arial"/>
          <w:sz w:val="18"/>
          <w:szCs w:val="18"/>
          <w:color w:val="auto"/>
        </w:rPr>
        <w:t>agreed upon, which is not at risk, reflects our views as to the individual executive’s past experience, future potential, knowledge, scope of anticipated responsibilities, skills, expertise, and potential to add value through performance, as well as competitive industry salary practices. Although minimum base salaries for each of our current named executive officers are set by their respective employment agreements, as described below, we review executive officer salaries annually and may increase them based on an evaluation of the Company’s performance for the year and the performance of the functional areas under a named executive officer’s scope of responsibility. We also consider qualitative criteria, such as education and experience requirements, complexity, and scope or impact of the position compared to other executive positions internally.</w:t>
      </w:r>
    </w:p>
    <w:p>
      <w:pPr>
        <w:spacing w:after="0" w:line="97" w:lineRule="exact"/>
        <w:rPr>
          <w:rFonts w:ascii="Arial" w:cs="Arial" w:eastAsia="Arial" w:hAnsi="Arial"/>
          <w:sz w:val="18"/>
          <w:szCs w:val="18"/>
          <w:color w:val="auto"/>
        </w:rPr>
      </w:pPr>
    </w:p>
    <w:p>
      <w:pPr>
        <w:jc w:val="both"/>
        <w:ind w:left="900" w:right="60" w:hanging="446"/>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Bonuses. </w:t>
      </w:r>
      <w:r>
        <w:rPr>
          <w:rFonts w:ascii="Arial" w:cs="Arial" w:eastAsia="Arial" w:hAnsi="Arial"/>
          <w:sz w:val="18"/>
          <w:szCs w:val="18"/>
          <w:color w:val="auto"/>
        </w:rPr>
        <w:t>We provide cash bonuses, which typically are at-risk, to recognize and reward our named executive officers based on our success in a</w:t>
      </w:r>
      <w:r>
        <w:rPr>
          <w:rFonts w:ascii="Arial" w:cs="Arial" w:eastAsia="Arial" w:hAnsi="Arial"/>
          <w:sz w:val="18"/>
          <w:szCs w:val="18"/>
          <w:i w:val="1"/>
          <w:iCs w:val="1"/>
          <w:color w:val="auto"/>
        </w:rPr>
        <w:t xml:space="preserve"> </w:t>
      </w:r>
      <w:r>
        <w:rPr>
          <w:rFonts w:ascii="Arial" w:cs="Arial" w:eastAsia="Arial" w:hAnsi="Arial"/>
          <w:sz w:val="18"/>
          <w:szCs w:val="18"/>
          <w:color w:val="auto"/>
        </w:rPr>
        <w:t>given year. For 2015, we awarded performance-related bonuses under our Annual Cash Incentive Plan. The operation of this plan as it relates to our named executive officers is described in more detail below.</w:t>
      </w:r>
    </w:p>
    <w:p>
      <w:pPr>
        <w:spacing w:after="0" w:line="86"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Share-based compensation</w:t>
      </w:r>
      <w:r>
        <w:rPr>
          <w:rFonts w:ascii="Arial" w:cs="Arial" w:eastAsia="Arial" w:hAnsi="Arial"/>
          <w:sz w:val="18"/>
          <w:szCs w:val="18"/>
          <w:color w:val="auto"/>
        </w:rPr>
        <w:t>. We currently have authorized a total of 12,167,127 shares of common stock for grants under our Equity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Plan. In 2015, our named executive officers received grants of restricted stock under this plan as part of an overall, annual equity incentive grant made to Company employees.</w:t>
      </w:r>
    </w:p>
    <w:p>
      <w:pPr>
        <w:spacing w:after="0" w:line="86" w:lineRule="exact"/>
        <w:rPr>
          <w:rFonts w:ascii="Arial" w:cs="Arial" w:eastAsia="Arial" w:hAnsi="Arial"/>
          <w:sz w:val="18"/>
          <w:szCs w:val="18"/>
          <w:color w:val="auto"/>
        </w:rPr>
      </w:pPr>
    </w:p>
    <w:p>
      <w:pPr>
        <w:ind w:left="900" w:hanging="446"/>
        <w:spacing w:after="0" w:line="272"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We offer other employee benefits to named executive officers for the purpose of meeting current and future health and security needs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executives and their families. These benefits, which we generally offer to all eligible employees, include medical, dental, and life insurance benefits; short-term disability pay; long-term disability insurance; flexible spending accounts for medical expense reimbursements; a 401(k) retirement savings plan; and free tuition for a spouse or up to two children with no more than two participants receiving the tuition benefit at any one time. The 401(k) retirement savings plan is a defined contribution plan under Section 401(a) of the Code, into which employees may make pre-tax contributions into the plan, expressed as a percentage of compensation, up to prescribed IRS annual limits, with such contributions subject to a matching Company contribution up to prescribed limits.</w:t>
      </w:r>
    </w:p>
    <w:p>
      <w:pPr>
        <w:spacing w:after="0" w:line="178"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i w:val="1"/>
          <w:iCs w:val="1"/>
          <w:color w:val="auto"/>
        </w:rPr>
        <w:t xml:space="preserve">Elements of Post-Termination Compensation and Benefits. </w:t>
      </w:r>
      <w:r>
        <w:rPr>
          <w:rFonts w:ascii="Arial" w:cs="Arial" w:eastAsia="Arial" w:hAnsi="Arial"/>
          <w:sz w:val="17"/>
          <w:szCs w:val="17"/>
          <w:color w:val="auto"/>
        </w:rPr>
        <w:t>The employment agreements of our named executive officers provide for post-termination</w:t>
      </w:r>
      <w:r>
        <w:rPr>
          <w:rFonts w:ascii="Arial" w:cs="Arial" w:eastAsia="Arial" w:hAnsi="Arial"/>
          <w:sz w:val="17"/>
          <w:szCs w:val="17"/>
          <w:i w:val="1"/>
          <w:iCs w:val="1"/>
          <w:color w:val="auto"/>
        </w:rPr>
        <w:t xml:space="preserve"> </w:t>
      </w:r>
      <w:r>
        <w:rPr>
          <w:rFonts w:ascii="Arial" w:cs="Arial" w:eastAsia="Arial" w:hAnsi="Arial"/>
          <w:sz w:val="17"/>
          <w:szCs w:val="17"/>
          <w:color w:val="auto"/>
        </w:rPr>
        <w:t>salary and benefit continuation in the event of a termination by us without Cause (as defined below) or by the executive for Good Reason (as defined below) or in the event of any such termination within 12 months following a Change in Control (as defined below), and for so long as the named executive officer abides by customary confidentiality, non-competition, and non-solicitation covenants and executes a full release of all claims, known or unknown, that the executive may have against the Company. We believe that the amounts of these payments and benefits and the periods of time during which they would be provided are fair and reasonable, and we have not historically taken into account any amounts that may be received by a named executive officer following termination when establishing current compensation levels. The elements of post-termination compensation that were in effect during 2015 pursuant to the written employment agreements consisted of the following:</w:t>
      </w:r>
    </w:p>
    <w:p>
      <w:pPr>
        <w:spacing w:after="0" w:line="84" w:lineRule="exact"/>
        <w:rPr>
          <w:sz w:val="20"/>
          <w:szCs w:val="20"/>
          <w:color w:val="auto"/>
        </w:rPr>
      </w:pPr>
    </w:p>
    <w:p>
      <w:pPr>
        <w:ind w:left="900" w:right="8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Salary continuation. </w:t>
      </w:r>
      <w:r>
        <w:rPr>
          <w:rFonts w:ascii="Arial" w:cs="Arial" w:eastAsia="Arial" w:hAnsi="Arial"/>
          <w:sz w:val="18"/>
          <w:szCs w:val="18"/>
          <w:color w:val="auto"/>
        </w:rPr>
        <w:t>Each named executive officer would continue to receive salary payments for a period of twelve (12) months following any</w:t>
      </w:r>
      <w:r>
        <w:rPr>
          <w:rFonts w:ascii="Arial" w:cs="Arial" w:eastAsia="Arial" w:hAnsi="Arial"/>
          <w:sz w:val="18"/>
          <w:szCs w:val="18"/>
          <w:i w:val="1"/>
          <w:iCs w:val="1"/>
          <w:color w:val="auto"/>
        </w:rPr>
        <w:t xml:space="preserve"> </w:t>
      </w:r>
      <w:r>
        <w:rPr>
          <w:rFonts w:ascii="Arial" w:cs="Arial" w:eastAsia="Arial" w:hAnsi="Arial"/>
          <w:sz w:val="18"/>
          <w:szCs w:val="18"/>
          <w:color w:val="auto"/>
        </w:rPr>
        <w:t>qualifying termination of employment.</w:t>
      </w:r>
    </w:p>
    <w:p>
      <w:pPr>
        <w:spacing w:after="0" w:line="75" w:lineRule="exact"/>
        <w:rPr>
          <w:rFonts w:ascii="Arial" w:cs="Arial" w:eastAsia="Arial" w:hAnsi="Arial"/>
          <w:sz w:val="18"/>
          <w:szCs w:val="18"/>
          <w:color w:val="auto"/>
        </w:rPr>
      </w:pPr>
    </w:p>
    <w:p>
      <w:pPr>
        <w:ind w:left="900" w:right="360" w:hanging="446"/>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Payment of target bonus</w:t>
      </w:r>
      <w:r>
        <w:rPr>
          <w:rFonts w:ascii="Arial" w:cs="Arial" w:eastAsia="Arial" w:hAnsi="Arial"/>
          <w:sz w:val="18"/>
          <w:szCs w:val="18"/>
          <w:color w:val="auto"/>
        </w:rPr>
        <w:t>. Each named executive officer would receive an additional amount equal to 100% of the named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annual target bonus for the year in which such termination occurs, with such amount also payable over twelve (12) months following any qualifying termination of employment.</w:t>
      </w:r>
    </w:p>
    <w:p>
      <w:pPr>
        <w:spacing w:after="0" w:line="86"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Benefits continuation. </w:t>
      </w:r>
      <w:r>
        <w:rPr>
          <w:rFonts w:ascii="Arial" w:cs="Arial" w:eastAsia="Arial" w:hAnsi="Arial"/>
          <w:sz w:val="18"/>
          <w:szCs w:val="18"/>
          <w:color w:val="auto"/>
        </w:rPr>
        <w:t>Each named executive officer would continue to receive Company-paid premiums for continued group health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under COBRA during the salary continuation period.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20"/>
          </w:cols>
          <w:pgMar w:left="240" w:top="459"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64"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Partially accelerated vesting of equity incentives</w:t>
      </w:r>
      <w:r>
        <w:rPr>
          <w:rFonts w:ascii="Arial" w:cs="Arial" w:eastAsia="Arial" w:hAnsi="Arial"/>
          <w:sz w:val="18"/>
          <w:szCs w:val="18"/>
          <w:color w:val="auto"/>
        </w:rPr>
        <w:t>. Certain of our named executive officers would receive partial acceleration of the vesting of any</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stock options or restricted stock awards to the next vesting date immediately following the date of termination, in the event of a termination by us without Cause or by the executive for Good Reason.</w:t>
      </w:r>
    </w:p>
    <w:p>
      <w:pPr>
        <w:spacing w:after="0" w:line="86" w:lineRule="exact"/>
        <w:rPr>
          <w:rFonts w:ascii="Arial" w:cs="Arial" w:eastAsia="Arial" w:hAnsi="Arial"/>
          <w:sz w:val="18"/>
          <w:szCs w:val="18"/>
          <w:color w:val="auto"/>
        </w:rPr>
      </w:pPr>
    </w:p>
    <w:p>
      <w:pPr>
        <w:ind w:left="900" w:right="320" w:hanging="446"/>
        <w:spacing w:after="0" w:line="264"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Fully accelerated vesting of stock options</w:t>
      </w:r>
      <w:r>
        <w:rPr>
          <w:rFonts w:ascii="Arial" w:cs="Arial" w:eastAsia="Arial" w:hAnsi="Arial"/>
          <w:sz w:val="18"/>
          <w:szCs w:val="18"/>
          <w:color w:val="auto"/>
        </w:rPr>
        <w:t>. In the event of a termination by us without Cause or by the executive for Good Reason within 12</w:t>
      </w:r>
      <w:r>
        <w:rPr>
          <w:rFonts w:ascii="Arial" w:cs="Arial" w:eastAsia="Arial" w:hAnsi="Arial"/>
          <w:sz w:val="18"/>
          <w:szCs w:val="18"/>
          <w:i w:val="1"/>
          <w:iCs w:val="1"/>
          <w:color w:val="auto"/>
        </w:rPr>
        <w:t xml:space="preserve"> </w:t>
      </w:r>
      <w:r>
        <w:rPr>
          <w:rFonts w:ascii="Arial" w:cs="Arial" w:eastAsia="Arial" w:hAnsi="Arial"/>
          <w:sz w:val="18"/>
          <w:szCs w:val="18"/>
          <w:color w:val="auto"/>
        </w:rPr>
        <w:t>months following a Change in Control, each named executive officer would receive full acceleration of the vesting of their outstanding stock options or restricted stock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See “Executive Employment Agreements” and “Potential Payments Upon Termination or Change in Control” for additional detail.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Performance on Compensation</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 xml:space="preserve">Under the Annual Cash Incentive Plan as in effect for 2015, a named executive officer’s bonus is based on the Company’s achievement of revenue and Adjusted EBITDA targets, with the resulting amount subject to reduction based on the Compensation Committee’s assessment of the particular named executive officer’s personal performance and contribution to our overall results. For 2015, we defined Adjusted EBITDA for purposes of the Annual Cash Incentive Plan in a manner consistent with the definition we use when reporting our financial results. See Item 6, </w:t>
      </w:r>
      <w:r>
        <w:rPr>
          <w:rFonts w:ascii="Arial" w:cs="Arial" w:eastAsia="Arial" w:hAnsi="Arial"/>
          <w:sz w:val="17"/>
          <w:szCs w:val="17"/>
          <w:i w:val="1"/>
          <w:iCs w:val="1"/>
          <w:color w:val="auto"/>
        </w:rPr>
        <w:t>Selected Consolidated Financial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Data, </w:t>
      </w:r>
      <w:r>
        <w:rPr>
          <w:rFonts w:ascii="Arial" w:cs="Arial" w:eastAsia="Arial" w:hAnsi="Arial"/>
          <w:sz w:val="17"/>
          <w:szCs w:val="17"/>
          <w:color w:val="auto"/>
        </w:rPr>
        <w:t>beginning on page 44 of our Annual Report on Form 10-K for the fiscal year ended December 31, 2015 for information regarding our use and</w:t>
      </w:r>
      <w:r>
        <w:rPr>
          <w:rFonts w:ascii="Arial" w:cs="Arial" w:eastAsia="Arial" w:hAnsi="Arial"/>
          <w:sz w:val="17"/>
          <w:szCs w:val="17"/>
          <w:i w:val="1"/>
          <w:iCs w:val="1"/>
          <w:color w:val="auto"/>
        </w:rPr>
        <w:t xml:space="preserve"> </w:t>
      </w:r>
      <w:r>
        <w:rPr>
          <w:rFonts w:ascii="Arial" w:cs="Arial" w:eastAsia="Arial" w:hAnsi="Arial"/>
          <w:sz w:val="17"/>
          <w:szCs w:val="17"/>
          <w:color w:val="auto"/>
        </w:rPr>
        <w:t>calculation of Adjusted EBITDA. As such, we believe it is fair and reasonable to our executives to assess their individual performance on the same basis as our performance is assessed by our Board of Directors and investors.</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Company performance</w:t>
      </w:r>
      <w:r>
        <w:rPr>
          <w:rFonts w:ascii="Arial" w:cs="Arial" w:eastAsia="Arial" w:hAnsi="Arial"/>
          <w:sz w:val="18"/>
          <w:szCs w:val="18"/>
          <w:color w:val="auto"/>
        </w:rPr>
        <w:t>. For our named executive officers, the financial metrics account for 100% of the target bonus, with the resulting amount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reduction based on the Compensation Committee’s assessment of the particular named executive officer’s personal performance and contribution to our overall results. For other plan participants, the financial metrics account for 60% of the target bonus and specific individual performance goals account for 40% of the target bonus.</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i w:val="1"/>
          <w:iCs w:val="1"/>
          <w:color w:val="auto"/>
        </w:rPr>
        <w:t>Individual performance</w:t>
      </w:r>
      <w:r>
        <w:rPr>
          <w:rFonts w:ascii="Arial" w:cs="Arial" w:eastAsia="Arial" w:hAnsi="Arial"/>
          <w:sz w:val="18"/>
          <w:szCs w:val="18"/>
          <w:color w:val="auto"/>
        </w:rPr>
        <w:t>. In reviewing individual performance, we look at an executive’s achievement of non-financial objectives that, with respect to a</w:t>
      </w:r>
      <w:r>
        <w:rPr>
          <w:rFonts w:ascii="Arial" w:cs="Arial" w:eastAsia="Arial" w:hAnsi="Arial"/>
          <w:sz w:val="18"/>
          <w:szCs w:val="18"/>
          <w:i w:val="1"/>
          <w:iCs w:val="1"/>
          <w:color w:val="auto"/>
        </w:rPr>
        <w:t xml:space="preserve"> </w:t>
      </w:r>
      <w:r>
        <w:rPr>
          <w:rFonts w:ascii="Arial" w:cs="Arial" w:eastAsia="Arial" w:hAnsi="Arial"/>
          <w:sz w:val="18"/>
          <w:szCs w:val="18"/>
          <w:color w:val="auto"/>
        </w:rPr>
        <w:t>given participant, may include achieving objectives related to, among other things, program development and expansion, regulatory compliance, student retention and academic outcomes.</w:t>
      </w:r>
    </w:p>
    <w:p>
      <w:pPr>
        <w:spacing w:after="0" w:line="181"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i w:val="1"/>
          <w:iCs w:val="1"/>
          <w:color w:val="auto"/>
        </w:rPr>
        <w:t>Calculation of bonuses</w:t>
      </w:r>
      <w:r>
        <w:rPr>
          <w:rFonts w:ascii="Arial" w:cs="Arial" w:eastAsia="Arial" w:hAnsi="Arial"/>
          <w:sz w:val="17"/>
          <w:szCs w:val="17"/>
          <w:color w:val="auto"/>
        </w:rPr>
        <w:t>. For each named executive officer, the Compensation Committee establishes a target bonus, which is stated as a percentage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named executive officer’s base salary. For 2015, the target bonus percentages for the named executive officers were as follows:</w:t>
      </w:r>
    </w:p>
    <w:p>
      <w:pPr>
        <w:spacing w:after="0" w:line="15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100" w:type="dxa"/>
            <w:vAlign w:val="bottom"/>
            <w:gridSpan w:val="3"/>
          </w:tcPr>
          <w:p>
            <w:pPr>
              <w:jc w:val="center"/>
              <w:ind w:left="3473"/>
              <w:spacing w:after="0"/>
              <w:rPr>
                <w:sz w:val="20"/>
                <w:szCs w:val="20"/>
                <w:color w:val="auto"/>
              </w:rPr>
            </w:pPr>
            <w:r>
              <w:rPr>
                <w:rFonts w:ascii="Arial" w:cs="Arial" w:eastAsia="Arial" w:hAnsi="Arial"/>
                <w:sz w:val="14"/>
                <w:szCs w:val="14"/>
                <w:b w:val="1"/>
                <w:bCs w:val="1"/>
                <w:color w:val="auto"/>
                <w:w w:val="90"/>
              </w:rPr>
              <w:t>Target Bonus as a</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300" w:type="dxa"/>
            <w:vAlign w:val="bottom"/>
            <w:vMerge w:val="restart"/>
          </w:tcPr>
          <w:p>
            <w:pPr>
              <w:spacing w:after="0"/>
              <w:rPr>
                <w:sz w:val="12"/>
                <w:szCs w:val="12"/>
                <w:color w:val="auto"/>
              </w:rPr>
            </w:pPr>
          </w:p>
        </w:tc>
        <w:tc>
          <w:tcPr>
            <w:tcW w:w="378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71"/>
        </w:trPr>
        <w:tc>
          <w:tcPr>
            <w:tcW w:w="360" w:type="dxa"/>
            <w:vAlign w:val="bottom"/>
            <w:tcBorders>
              <w:bottom w:val="single" w:sz="8" w:color="auto"/>
            </w:tcBorders>
            <w:vMerge w:val="continue"/>
          </w:tcPr>
          <w:p>
            <w:pPr>
              <w:spacing w:after="0"/>
              <w:rPr>
                <w:sz w:val="14"/>
                <w:szCs w:val="14"/>
                <w:color w:val="auto"/>
              </w:rPr>
            </w:pPr>
          </w:p>
        </w:tc>
        <w:tc>
          <w:tcPr>
            <w:tcW w:w="2300" w:type="dxa"/>
            <w:vAlign w:val="bottom"/>
            <w:tcBorders>
              <w:bottom w:val="single" w:sz="8" w:color="CCEEFF"/>
            </w:tcBorders>
            <w:vMerge w:val="continue"/>
          </w:tcPr>
          <w:p>
            <w:pPr>
              <w:spacing w:after="0"/>
              <w:rPr>
                <w:sz w:val="14"/>
                <w:szCs w:val="14"/>
                <w:color w:val="auto"/>
              </w:rPr>
            </w:pPr>
          </w:p>
        </w:tc>
        <w:tc>
          <w:tcPr>
            <w:tcW w:w="37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Base Salary</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0"/>
              </w:rPr>
              <w:t>Brian</w:t>
            </w:r>
          </w:p>
        </w:tc>
        <w:tc>
          <w:tcPr>
            <w:tcW w:w="2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E. Mueller</w:t>
            </w:r>
          </w:p>
        </w:tc>
        <w:tc>
          <w:tcPr>
            <w:tcW w:w="37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Dr. W. Stan Meyer</w:t>
            </w:r>
          </w:p>
        </w:tc>
        <w:tc>
          <w:tcPr>
            <w:tcW w:w="5100" w:type="dxa"/>
            <w:vAlign w:val="bottom"/>
            <w:gridSpan w:val="3"/>
          </w:tcPr>
          <w:p>
            <w:pPr>
              <w:jc w:val="right"/>
              <w:ind w:right="6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5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Joseph N. Mildenhall</w:t>
            </w:r>
          </w:p>
        </w:tc>
        <w:tc>
          <w:tcPr>
            <w:tcW w:w="5100" w:type="dxa"/>
            <w:vAlign w:val="bottom"/>
            <w:gridSpan w:val="3"/>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M. Roberts</w:t>
            </w:r>
          </w:p>
        </w:tc>
        <w:tc>
          <w:tcPr>
            <w:tcW w:w="5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780" w:type="dxa"/>
            <w:vAlign w:val="bottom"/>
          </w:tcPr>
          <w:p>
            <w:pPr>
              <w:jc w:val="right"/>
              <w:ind w:right="2393"/>
              <w:spacing w:after="0"/>
              <w:rPr>
                <w:sz w:val="20"/>
                <w:szCs w:val="20"/>
                <w:color w:val="auto"/>
              </w:rPr>
            </w:pPr>
            <w:r>
              <w:rPr>
                <w:rFonts w:ascii="Arial" w:cs="Arial" w:eastAsia="Arial" w:hAnsi="Arial"/>
                <w:sz w:val="18"/>
                <w:szCs w:val="18"/>
                <w:color w:val="auto"/>
              </w:rPr>
              <w:t>35</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For each named executive officer, the financial metrics account for 100% of the target bonus, with the revenue target and the Adjusted EBITDA target accounting for 50% each. The actual percentage is determined on the basis of the Company’s achievement of the revenue and Adjusted EBITDA targets that the Compensation Committee establishes for the applicable fiscal year. For participants to earn any payout under the plan, the Company must achieve at least 95% of both the revenue and Adjusted EBITDA goals. Assuming both of these thresholds are achieved, payouts are made based on the Company’s achievement of a minimum of 95% of both the revenue goal and Adjusted EBITDA goal (resulting in a bonus of 50% of the target bonus) and a maximum of 105% of the revenue goal and 107% of the Adjusted EBITDA goal (resulting in a bonus of 150% of the target bonus). Performance between minimum and maximum levels results in prorated payments using straight-line interpolation.</w:t>
      </w:r>
    </w:p>
    <w:p>
      <w:pPr>
        <w:sectPr>
          <w:pgSz w:w="11900" w:h="16838" w:orient="portrait"/>
          <w:cols w:equalWidth="0" w:num="1">
            <w:col w:w="11420"/>
          </w:cols>
          <w:pgMar w:left="240" w:top="459" w:right="239" w:bottom="1440" w:gutter="0" w:footer="0" w:header="0"/>
        </w:sectPr>
      </w:pP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Shown below is a summary of the matrix described above:</w:t>
      </w:r>
    </w:p>
    <w:p>
      <w:pPr>
        <w:spacing w:after="0" w:line="267" w:lineRule="exact"/>
        <w:rPr>
          <w:sz w:val="20"/>
          <w:szCs w:val="20"/>
          <w:color w:val="auto"/>
        </w:rPr>
      </w:pPr>
    </w:p>
    <w:p>
      <w:pPr>
        <w:ind w:left="920"/>
        <w:spacing w:after="0"/>
        <w:rPr>
          <w:sz w:val="20"/>
          <w:szCs w:val="20"/>
          <w:color w:val="auto"/>
        </w:rPr>
      </w:pPr>
      <w:r>
        <w:rPr>
          <w:rFonts w:ascii="Arial" w:cs="Arial" w:eastAsia="Arial" w:hAnsi="Arial"/>
          <w:sz w:val="14"/>
          <w:szCs w:val="14"/>
          <w:b w:val="1"/>
          <w:bCs w:val="1"/>
          <w:u w:val="single" w:color="auto"/>
          <w:color w:val="auto"/>
        </w:rPr>
        <w:t>Goal</w:t>
      </w:r>
    </w:p>
    <w:p>
      <w:pPr>
        <w:spacing w:after="0" w:line="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Revenue goal</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(50.0% of financial metric)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Adjusted EBITDA</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(50.0% of financial metric)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Bonus payout as a % of target bonus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Threshold</w:t>
            </w:r>
          </w:p>
        </w:tc>
        <w:tc>
          <w:tcPr>
            <w:tcW w:w="54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Target</w:t>
            </w:r>
          </w:p>
        </w:tc>
        <w:tc>
          <w:tcPr>
            <w:tcW w:w="54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Maximum</w:t>
            </w:r>
          </w:p>
        </w:tc>
      </w:tr>
      <w:tr>
        <w:trPr>
          <w:trHeight w:val="426"/>
        </w:trPr>
        <w:tc>
          <w:tcPr>
            <w:tcW w:w="142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95% of goal</w:t>
            </w:r>
          </w:p>
        </w:tc>
        <w:tc>
          <w:tcPr>
            <w:tcW w:w="1520" w:type="dxa"/>
            <w:vAlign w:val="bottom"/>
            <w:gridSpan w:val="2"/>
          </w:tcPr>
          <w:p>
            <w:pPr>
              <w:jc w:val="center"/>
              <w:ind w:right="540"/>
              <w:spacing w:after="0"/>
              <w:rPr>
                <w:sz w:val="20"/>
                <w:szCs w:val="20"/>
                <w:color w:val="auto"/>
              </w:rPr>
            </w:pPr>
            <w:r>
              <w:rPr>
                <w:rFonts w:ascii="Arial" w:cs="Arial" w:eastAsia="Arial" w:hAnsi="Arial"/>
                <w:sz w:val="18"/>
                <w:szCs w:val="18"/>
                <w:color w:val="auto"/>
                <w:w w:val="93"/>
              </w:rPr>
              <w:t>100% of goal</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105% of goal</w:t>
            </w:r>
          </w:p>
        </w:tc>
      </w:tr>
      <w:tr>
        <w:trPr>
          <w:trHeight w:val="431"/>
        </w:trPr>
        <w:tc>
          <w:tcPr>
            <w:tcW w:w="142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95% of goal</w:t>
            </w:r>
          </w:p>
        </w:tc>
        <w:tc>
          <w:tcPr>
            <w:tcW w:w="1520" w:type="dxa"/>
            <w:vAlign w:val="bottom"/>
            <w:gridSpan w:val="2"/>
          </w:tcPr>
          <w:p>
            <w:pPr>
              <w:jc w:val="center"/>
              <w:ind w:right="540"/>
              <w:spacing w:after="0"/>
              <w:rPr>
                <w:sz w:val="20"/>
                <w:szCs w:val="20"/>
                <w:color w:val="auto"/>
              </w:rPr>
            </w:pPr>
            <w:r>
              <w:rPr>
                <w:rFonts w:ascii="Arial" w:cs="Arial" w:eastAsia="Arial" w:hAnsi="Arial"/>
                <w:sz w:val="18"/>
                <w:szCs w:val="18"/>
                <w:color w:val="auto"/>
                <w:w w:val="93"/>
              </w:rPr>
              <w:t>100% of goal</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107% of goal</w:t>
            </w:r>
          </w:p>
        </w:tc>
      </w:tr>
      <w:tr>
        <w:trPr>
          <w:trHeight w:val="230"/>
        </w:trPr>
        <w:tc>
          <w:tcPr>
            <w:tcW w:w="88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5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5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-702310</wp:posOffset>
            </wp:positionV>
            <wp:extent cx="6080125" cy="2832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80125" cy="28321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-136525</wp:posOffset>
            </wp:positionV>
            <wp:extent cx="608012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60" w:space="720"/>
            <w:col w:w="4840"/>
          </w:cols>
          <w:pgMar w:left="240" w:top="459" w:right="239" w:bottom="1440" w:gutter="0" w:footer="0" w:header="0"/>
          <w:type w:val="continuous"/>
        </w:sectPr>
      </w:pPr>
    </w:p>
    <w:p>
      <w:pPr>
        <w:spacing w:after="0" w:line="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Under the Annual Cash Incentive Plan, the actual bonus that a named executive officer could earn for a given fiscal year ranges from 0% to a maximum of 150% of his or her annual target bonus. To illustrate how the plan functions, assume that a named executive officer’s base salary for 2015 is $300,000 and that the target bonus is 50% of base salary. Of this target bonus of $150,000, $75,000 (or 50%) would be paid based upon the Company’s achievement of the revenue target and $75,000 (or 50%) would be paid based on the Company’s achievement of the Adjusted EBITDA target. If the revenue target is achieved at the threshold level (so only 50% of the revenue component is payable at that level) and the Adjusted EBITDA target is achieved at the target level (so that 100% of the Adjusted EBITDA component is payable at that level) the participant would be entitled to a potential bonus of $112,500, calculated as $37,500 (50% of the revenue component) plus $75,000 (100% of the Adjusted EBITDA component).</w:t>
      </w:r>
    </w:p>
    <w:p>
      <w:pPr>
        <w:spacing w:after="0" w:line="17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plan for eligible senior management other than the named executive officers differs in that it continues to include achievement of individual performance targets as a primary element of the bonus calculation, such that achievement of revenue and Adjusted EBITDA targets each account for 30% of target bonus and the achievement of individual performance targets accounts for 40% of target bonus. In addition, for eligible senior management other than the named executive officers, the bonus is calculated based on two six-month cycles, such that the determination of the bonus payable for each half of the applicable year is determined on the basis of the achievement of the revenue, Adjusted EBITDA and individual performance targets established for each such period.</w:t>
      </w:r>
    </w:p>
    <w:p>
      <w:pPr>
        <w:spacing w:after="0" w:line="19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Changes to performance goals and target awards</w:t>
      </w:r>
      <w:r>
        <w:rPr>
          <w:rFonts w:ascii="Arial" w:cs="Arial" w:eastAsia="Arial" w:hAnsi="Arial"/>
          <w:sz w:val="18"/>
          <w:szCs w:val="18"/>
          <w:color w:val="auto"/>
        </w:rPr>
        <w:t>. In accordance with the terms of the Annual Cash Incentive Plan, at any time prior to the final</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determination of bonuses earned, the Compensation Committee may adjust the performance goals and target awards to reflect a change in corporate capitalization (such as a stock split or stock dividend), or a corporate transaction (such as a merger, consolidation, separation, reorganization or partial or complete liquidation), or to reflect equitably the occurrence of any extraordinary event, any change in applicable accounting rules or principles, any change in the Company’s method of accounting, any change in applicable law, or any other change of a similar nature. In addition, under the Annual Cash Incentive Plan, the Compensation Committee may reduce (but not increase) the bonus amount for each named executive officer based on the committee’s determination of the participant’s achievement of personal and other performance goals established by the Compensation Committee and other factors as the committee determines.</w:t>
      </w:r>
    </w:p>
    <w:p>
      <w:pPr>
        <w:spacing w:after="0" w:line="192" w:lineRule="exact"/>
        <w:rPr>
          <w:sz w:val="20"/>
          <w:szCs w:val="20"/>
          <w:color w:val="auto"/>
        </w:rPr>
      </w:pPr>
    </w:p>
    <w:p>
      <w:pPr>
        <w:jc w:val="both"/>
        <w:ind w:right="560" w:firstLine="456"/>
        <w:spacing w:after="0" w:line="286" w:lineRule="auto"/>
        <w:rPr>
          <w:sz w:val="20"/>
          <w:szCs w:val="20"/>
          <w:color w:val="auto"/>
        </w:rPr>
      </w:pPr>
      <w:r>
        <w:rPr>
          <w:rFonts w:ascii="Arial" w:cs="Arial" w:eastAsia="Arial" w:hAnsi="Arial"/>
          <w:sz w:val="17"/>
          <w:szCs w:val="17"/>
          <w:i w:val="1"/>
          <w:iCs w:val="1"/>
          <w:color w:val="auto"/>
        </w:rPr>
        <w:t xml:space="preserve">2015 financial goals. </w:t>
      </w:r>
      <w:r>
        <w:rPr>
          <w:rFonts w:ascii="Arial" w:cs="Arial" w:eastAsia="Arial" w:hAnsi="Arial"/>
          <w:sz w:val="17"/>
          <w:szCs w:val="17"/>
          <w:color w:val="auto"/>
        </w:rPr>
        <w:t>The following table shows the company-wide financial goals established for the named executive officers for 2015. These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goals were selected based upon a combination of the Company’s internal budget and analyst estimates, which the Board of Directors believes establishes an appropriate level at which to set goals in order to maximize the incentive for superior performance.</w:t>
      </w:r>
    </w:p>
    <w:p>
      <w:pPr>
        <w:spacing w:after="0" w:line="17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Threshold</w:t>
            </w: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Target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8"/>
              </w:rPr>
              <w:t>(105% of Goal for</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93"/>
              </w:rPr>
              <w:t>Revenue/107% of Goal</w:t>
            </w: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(95% of Goal)</w:t>
            </w: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(100% of Goal)</w:t>
            </w:r>
          </w:p>
        </w:tc>
        <w:tc>
          <w:tcPr>
            <w:tcW w:w="280" w:type="dxa"/>
            <w:vAlign w:val="bottom"/>
          </w:tcPr>
          <w:p>
            <w:pPr>
              <w:spacing w:after="0"/>
              <w:rPr>
                <w:sz w:val="14"/>
                <w:szCs w:val="14"/>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7"/>
              </w:rPr>
              <w:t>for Adjusted EBITDA)</w:t>
            </w:r>
          </w:p>
        </w:tc>
        <w:tc>
          <w:tcPr>
            <w:tcW w:w="0" w:type="dxa"/>
            <w:vAlign w:val="bottom"/>
          </w:tcPr>
          <w:p>
            <w:pPr>
              <w:spacing w:after="0"/>
              <w:rPr>
                <w:sz w:val="1"/>
                <w:szCs w:val="1"/>
                <w:color w:val="auto"/>
              </w:rPr>
            </w:pPr>
          </w:p>
        </w:tc>
      </w:tr>
      <w:tr>
        <w:trPr>
          <w:trHeight w:val="210"/>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w:t>
            </w:r>
          </w:p>
        </w:tc>
        <w:tc>
          <w:tcPr>
            <w:tcW w:w="18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$732,450,000</w:t>
            </w:r>
          </w:p>
        </w:tc>
        <w:tc>
          <w:tcPr>
            <w:tcW w:w="6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$771,000,000</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809,550,000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b w:val="1"/>
                <w:bCs w:val="1"/>
                <w:i w:val="1"/>
                <w:iCs w:val="1"/>
                <w:color w:val="auto"/>
              </w:rPr>
              <w:t>Adjusted EBITDA</w:t>
            </w:r>
          </w:p>
        </w:tc>
        <w:tc>
          <w:tcPr>
            <w:tcW w:w="3440" w:type="dxa"/>
            <w:vAlign w:val="bottom"/>
            <w:gridSpan w:val="3"/>
          </w:tcPr>
          <w:p>
            <w:pPr>
              <w:jc w:val="right"/>
              <w:ind w:right="600"/>
              <w:spacing w:after="0"/>
              <w:rPr>
                <w:sz w:val="20"/>
                <w:szCs w:val="20"/>
                <w:color w:val="auto"/>
              </w:rPr>
            </w:pPr>
            <w:r>
              <w:rPr>
                <w:rFonts w:ascii="Arial" w:cs="Arial" w:eastAsia="Arial" w:hAnsi="Arial"/>
                <w:sz w:val="18"/>
                <w:szCs w:val="18"/>
                <w:color w:val="auto"/>
              </w:rPr>
              <w:t>241,256,300</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253,954,000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271,730,780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3040" w:type="dxa"/>
            <w:vAlign w:val="bottom"/>
          </w:tcPr>
          <w:p>
            <w:pPr>
              <w:spacing w:after="0"/>
              <w:rPr>
                <w:sz w:val="24"/>
                <w:szCs w:val="24"/>
                <w:color w:val="auto"/>
              </w:rPr>
            </w:pPr>
          </w:p>
        </w:tc>
        <w:tc>
          <w:tcPr>
            <w:tcW w:w="2840" w:type="dxa"/>
            <w:vAlign w:val="bottom"/>
            <w:gridSpan w:val="2"/>
          </w:tcPr>
          <w:p>
            <w:pPr>
              <w:jc w:val="right"/>
              <w:ind w:right="922"/>
              <w:spacing w:after="0"/>
              <w:rPr>
                <w:sz w:val="20"/>
                <w:szCs w:val="20"/>
                <w:color w:val="auto"/>
              </w:rPr>
            </w:pPr>
            <w:r>
              <w:rPr>
                <w:rFonts w:ascii="Arial" w:cs="Arial" w:eastAsia="Arial" w:hAnsi="Arial"/>
                <w:sz w:val="18"/>
                <w:szCs w:val="18"/>
                <w:color w:val="auto"/>
              </w:rPr>
              <w:t>36</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i w:val="1"/>
          <w:iCs w:val="1"/>
          <w:color w:val="auto"/>
        </w:rPr>
        <w:t>Actual performance vs. compensation paid for 2015</w:t>
      </w:r>
      <w:r>
        <w:rPr>
          <w:rFonts w:ascii="Arial" w:cs="Arial" w:eastAsia="Arial" w:hAnsi="Arial"/>
          <w:sz w:val="17"/>
          <w:szCs w:val="17"/>
          <w:color w:val="auto"/>
        </w:rPr>
        <w:t>. For 2015, the Company achieved revenue of $778.2 million, which is equal to 101.0% of target,</w:t>
      </w:r>
      <w:r>
        <w:rPr>
          <w:rFonts w:ascii="Arial" w:cs="Arial" w:eastAsia="Arial" w:hAnsi="Arial"/>
          <w:sz w:val="17"/>
          <w:szCs w:val="17"/>
          <w:i w:val="1"/>
          <w:iCs w:val="1"/>
          <w:color w:val="auto"/>
        </w:rPr>
        <w:t xml:space="preserve"> </w:t>
      </w:r>
      <w:r>
        <w:rPr>
          <w:rFonts w:ascii="Arial" w:cs="Arial" w:eastAsia="Arial" w:hAnsi="Arial"/>
          <w:sz w:val="17"/>
          <w:szCs w:val="17"/>
          <w:color w:val="auto"/>
        </w:rPr>
        <w:t>and Adjusted EBITDA of $265.0 million (excluding certain adjustments), which is equal to 104.4% of target, resulting in performance payout percentages equal to 109.3% for the revenue component of the target bonus and 131.0% for the Adjusted EBITDA component of the target bonus. Accordingly, the named executive officers achieved incentive bonuses equal to the following percentages of their base salaries: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3"/>
              </w:rPr>
              <w:t>Adjusted</w:t>
            </w:r>
          </w:p>
        </w:tc>
        <w:tc>
          <w:tcPr>
            <w:tcW w:w="146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87"/>
              </w:rPr>
              <w:t>2015 Bonus as</w:t>
            </w: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2015 Bonus</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42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2"/>
              </w:rPr>
              <w:t>Revenue</w:t>
            </w:r>
          </w:p>
        </w:tc>
        <w:tc>
          <w:tcPr>
            <w:tcW w:w="140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76"/>
              </w:rPr>
              <w:t>as</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rPr>
              <w:t>EBITDA</w:t>
            </w:r>
          </w:p>
        </w:tc>
        <w:tc>
          <w:tcPr>
            <w:tcW w:w="14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Percentage</w:t>
            </w:r>
          </w:p>
        </w:tc>
        <w:tc>
          <w:tcPr>
            <w:tcW w:w="900" w:type="dxa"/>
            <w:vAlign w:val="bottom"/>
            <w:gridSpan w:val="2"/>
            <w:vMerge w:val="restart"/>
          </w:tcPr>
          <w:p>
            <w:pPr>
              <w:jc w:val="center"/>
              <w:ind w:left="13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660" w:type="dxa"/>
            <w:vAlign w:val="bottom"/>
            <w:vMerge w:val="restart"/>
          </w:tcPr>
          <w:p>
            <w:pPr>
              <w:spacing w:after="0"/>
              <w:rPr>
                <w:sz w:val="12"/>
                <w:szCs w:val="12"/>
                <w:color w:val="auto"/>
              </w:rPr>
            </w:pPr>
          </w:p>
        </w:tc>
        <w:tc>
          <w:tcPr>
            <w:tcW w:w="14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4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Target Bonus</w:t>
            </w: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of Base</w:t>
            </w: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4660" w:type="dxa"/>
            <w:vAlign w:val="bottom"/>
            <w:tcBorders>
              <w:bottom w:val="single" w:sz="8" w:color="CCEEFF"/>
            </w:tcBorders>
            <w:vMerge w:val="continue"/>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Payout (%)</w:t>
            </w:r>
          </w:p>
        </w:tc>
        <w:tc>
          <w:tcPr>
            <w:tcW w:w="6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Payout (%)</w:t>
            </w:r>
          </w:p>
        </w:tc>
        <w:tc>
          <w:tcPr>
            <w:tcW w:w="6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Salary($)</w:t>
            </w:r>
          </w:p>
        </w:tc>
        <w:tc>
          <w:tcPr>
            <w:tcW w:w="3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5"/>
              </w:rPr>
              <w:t xml:space="preserve">Bonus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5"/>
              </w:rPr>
              <w:t>Brian</w:t>
            </w:r>
          </w:p>
        </w:tc>
        <w:tc>
          <w:tcPr>
            <w:tcW w:w="4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 Mueller</w:t>
            </w:r>
            <w:r>
              <w:rPr>
                <w:rFonts w:ascii="Arial" w:cs="Arial" w:eastAsia="Arial" w:hAnsi="Arial"/>
                <w:sz w:val="15"/>
                <w:szCs w:val="15"/>
                <w:color w:val="auto"/>
              </w:rPr>
              <w:t>(1)</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109.3%</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131.0%</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120.2%</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120.2%</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$771,363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Dr. W. Stan Meyer</w:t>
            </w:r>
            <w:r>
              <w:rPr>
                <w:rFonts w:ascii="Arial" w:cs="Arial" w:eastAsia="Arial" w:hAnsi="Arial"/>
                <w:sz w:val="15"/>
                <w:szCs w:val="15"/>
                <w:color w:val="auto"/>
              </w:rPr>
              <w:t>(1)</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109.3%</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131.0%</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120.2%</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90.1%</w:t>
            </w:r>
          </w:p>
        </w:tc>
        <w:tc>
          <w:tcPr>
            <w:tcW w:w="900" w:type="dxa"/>
            <w:vAlign w:val="bottom"/>
            <w:gridSpan w:val="2"/>
          </w:tcPr>
          <w:p>
            <w:pPr>
              <w:jc w:val="center"/>
              <w:ind w:left="134"/>
              <w:spacing w:after="0"/>
              <w:rPr>
                <w:sz w:val="20"/>
                <w:szCs w:val="20"/>
                <w:color w:val="auto"/>
              </w:rPr>
            </w:pPr>
            <w:r>
              <w:rPr>
                <w:rFonts w:ascii="Arial" w:cs="Arial" w:eastAsia="Arial" w:hAnsi="Arial"/>
                <w:sz w:val="18"/>
                <w:szCs w:val="18"/>
                <w:color w:val="auto"/>
                <w:w w:val="90"/>
              </w:rPr>
              <w:t>$337,922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E. Bachus</w:t>
            </w:r>
            <w:r>
              <w:rPr>
                <w:rFonts w:ascii="Arial" w:cs="Arial" w:eastAsia="Arial" w:hAnsi="Arial"/>
                <w:sz w:val="15"/>
                <w:szCs w:val="15"/>
                <w:color w:val="auto"/>
              </w:rPr>
              <w:t>(1)</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109.3%</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131.0%</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120.2%</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90.1%</w:t>
            </w:r>
          </w:p>
        </w:tc>
        <w:tc>
          <w:tcPr>
            <w:tcW w:w="90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90"/>
              </w:rPr>
              <w:t>$337,922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Joseph N. Mildenhall</w:t>
            </w:r>
            <w:r>
              <w:rPr>
                <w:rFonts w:ascii="Arial" w:cs="Arial" w:eastAsia="Arial" w:hAnsi="Arial"/>
                <w:sz w:val="15"/>
                <w:szCs w:val="15"/>
                <w:color w:val="auto"/>
              </w:rPr>
              <w:t>(1)</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109.3%</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131.0%</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120.2%</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60.1%</w:t>
            </w:r>
          </w:p>
        </w:tc>
        <w:tc>
          <w:tcPr>
            <w:tcW w:w="900" w:type="dxa"/>
            <w:vAlign w:val="bottom"/>
            <w:gridSpan w:val="2"/>
          </w:tcPr>
          <w:p>
            <w:pPr>
              <w:jc w:val="center"/>
              <w:ind w:left="134"/>
              <w:spacing w:after="0"/>
              <w:rPr>
                <w:sz w:val="20"/>
                <w:szCs w:val="20"/>
                <w:color w:val="auto"/>
              </w:rPr>
            </w:pPr>
            <w:r>
              <w:rPr>
                <w:rFonts w:ascii="Arial" w:cs="Arial" w:eastAsia="Arial" w:hAnsi="Arial"/>
                <w:sz w:val="18"/>
                <w:szCs w:val="18"/>
                <w:color w:val="auto"/>
                <w:w w:val="90"/>
              </w:rPr>
              <w:t>$192,841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M. Roberts</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109.3%</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131.0%</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120.2%</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w:t>
            </w:r>
          </w:p>
        </w:tc>
        <w:tc>
          <w:tcPr>
            <w:tcW w:w="90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90"/>
              </w:rPr>
              <w:t>$150,188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jc w:val="both"/>
        <w:ind w:left="460" w:right="100" w:hanging="452"/>
        <w:spacing w:after="0" w:line="286" w:lineRule="auto"/>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Compensation Committee’s historical practice has been to analyze named executive officer base salaries during the first half of the fiscal year and make adjustments, if any, with effect from July 1 of such year. Accordingly, the actual bonus paid as a percentage of fiscal year end base salary may be slightly lower than implied by the bonus percentage listed above, reflecting the fact that there were 27 pay periods in 2015.</w:t>
      </w:r>
    </w:p>
    <w:p>
      <w:pPr>
        <w:spacing w:after="0" w:line="166"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i w:val="1"/>
          <w:iCs w:val="1"/>
          <w:color w:val="auto"/>
        </w:rPr>
        <w:t>2015 individual goals</w:t>
      </w:r>
      <w:r>
        <w:rPr>
          <w:rFonts w:ascii="Arial" w:cs="Arial" w:eastAsia="Arial" w:hAnsi="Arial"/>
          <w:sz w:val="17"/>
          <w:szCs w:val="17"/>
          <w:color w:val="auto"/>
        </w:rPr>
        <w:t>. The individual performance goals applicable to the named executive officers in 2015 focused on each executive’s achievement</w:t>
      </w:r>
      <w:r>
        <w:rPr>
          <w:rFonts w:ascii="Arial" w:cs="Arial" w:eastAsia="Arial" w:hAnsi="Arial"/>
          <w:sz w:val="17"/>
          <w:szCs w:val="17"/>
          <w:i w:val="1"/>
          <w:iCs w:val="1"/>
          <w:color w:val="auto"/>
        </w:rPr>
        <w:t xml:space="preserve"> </w:t>
      </w:r>
      <w:r>
        <w:rPr>
          <w:rFonts w:ascii="Arial" w:cs="Arial" w:eastAsia="Arial" w:hAnsi="Arial"/>
          <w:sz w:val="17"/>
          <w:szCs w:val="17"/>
          <w:color w:val="auto"/>
        </w:rPr>
        <w:t>of one or more objectives that related to their specific duties and responsibilities on behalf of the Company. For Dr. Meyer, Mr. Bachus, Mr. Mildenhall, and Mr. Roberts, one individual performance goal was to manage their individual departments within budget. The individual performance goals for Mr. Mueller, Dr. Meyer, and Mr. Bachus included continuing to work on initiatives to increase the percentage of students studying in high retention rate programs, expanding public good projects in our surrounding neighborhoods and developing campus infrastructure. The individual performance goals for Mr. Mueller, Dr. Meyer and Mr. Bachus also included participation in a specified number of investor conferences and/or investor meetings. Dr. Meyer’s individual performance goals included demonstrating leadership over key functional areas such as facilities, security and the athletics department. Mr. Bachus’ individual performance goals included managing the financial and reporting functions to ensure that no material weaknesses occurred within the Company’s financial reporting structure. Mr. Mildenhall’s individual performance goals included improving and building additional software engineering capabilities to address key needs in student scheduling, demonstration of improvement in application availability, managing the learning management system and overseeing the relationship with CampusVue to ensure continued improvement are made to the product to eliminate manual processes. Mr. Roberts individual performance goals included Company compliance with regulatory and Securities and Exchange Commission rules and regulations and timely resolution to litigation matters. Based on each individual named executive officer’s achievement or substantial achievement of their individual performance goals, and in light of the superior financial performance achieved by the Company in 2015, the Compensation Committee determined that cash bonuses under the Annual Cash Incentive Plan should be paid out at the maximum level achieved as a result of the achievement of the company-wide financial goals, and that no reductions were otherwise merited.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Incentives</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2008, our Board of Directors and stockholders adopted the Equity Incentive Plan and authorized and reserved a total of 4,199,937 shares of our common stock for issuance thereunder. The number of shares authorized and reserved under the Equity Incentive Plan increases on each subsequent January 1 through 2018 by an amount equal to the smaller of (a) 2.5% of the number of shares of common stock issued and outstanding on the immediately preceding December 31, or (b) a lesser amount determined by our Board of Directors. As of January 1, 2015, we had authorized and reserved a total of 12,167,127 shares under the Equity Incentive Plan. The Compensation Committee elected to decline the increase that would have gone into effect as of January 1, 2016, leaving the number of shares of common stock authorized for issuance under the Incentive Plan at 12,167,127. Shares subject to awards that expire or are cancelled or forfeited are available for issuance under the Equity Incentive Plan. The shares available are not reduced by awards settled in cash or by shares withheld to satisfy tax withholding obligations. Only the net number of shares issued upon the exercise of options exercised by means of a net exercise or by tender of previously owned shares are deducted from the shares available under the Equity Incentive Plan.</w:t>
      </w:r>
    </w:p>
    <w:p>
      <w:pPr>
        <w:spacing w:after="0" w:line="16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following table provides information as of December 31, 2015, with respect to shares of our common stock that may be issued under our existing equity compensation plans: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080" w:type="dxa"/>
            <w:vAlign w:val="bottom"/>
            <w:gridSpan w:val="2"/>
            <w:vMerge w:val="restart"/>
          </w:tcPr>
          <w:p>
            <w:pPr>
              <w:jc w:val="center"/>
              <w:ind w:right="800"/>
              <w:spacing w:after="0"/>
              <w:rPr>
                <w:sz w:val="20"/>
                <w:szCs w:val="20"/>
                <w:color w:val="auto"/>
              </w:rPr>
            </w:pPr>
            <w:r>
              <w:rPr>
                <w:rFonts w:ascii="Arial" w:cs="Arial" w:eastAsia="Arial" w:hAnsi="Arial"/>
                <w:sz w:val="14"/>
                <w:szCs w:val="14"/>
                <w:b w:val="1"/>
                <w:bCs w:val="1"/>
                <w:color w:val="auto"/>
                <w:w w:val="91"/>
              </w:rPr>
              <w:t>Number of securities</w:t>
            </w:r>
          </w:p>
        </w:tc>
        <w:tc>
          <w:tcPr>
            <w:tcW w:w="1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available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0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9"/>
              </w:rPr>
              <w:t>to be</w:t>
            </w:r>
          </w:p>
        </w:tc>
        <w:tc>
          <w:tcPr>
            <w:tcW w:w="16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for future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0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issued upon exercise</w:t>
            </w:r>
          </w:p>
        </w:tc>
        <w:tc>
          <w:tcPr>
            <w:tcW w:w="100" w:type="dxa"/>
            <w:vAlign w:val="bottom"/>
          </w:tcPr>
          <w:p>
            <w:pPr>
              <w:spacing w:after="0"/>
              <w:rPr>
                <w:sz w:val="12"/>
                <w:szCs w:val="12"/>
                <w:color w:val="auto"/>
              </w:rPr>
            </w:pPr>
          </w:p>
        </w:tc>
        <w:tc>
          <w:tcPr>
            <w:tcW w:w="15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issuance under</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0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15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options,</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49"/>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0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16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warrants and</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71"/>
        </w:trPr>
        <w:tc>
          <w:tcPr>
            <w:tcW w:w="4700" w:type="dxa"/>
            <w:vAlign w:val="bottom"/>
            <w:gridSpan w:val="2"/>
            <w:vMerge w:val="continue"/>
          </w:tcPr>
          <w:p>
            <w:pPr>
              <w:spacing w:after="0"/>
              <w:rPr>
                <w:sz w:val="14"/>
                <w:szCs w:val="14"/>
                <w:color w:val="auto"/>
              </w:rPr>
            </w:pPr>
          </w:p>
        </w:tc>
        <w:tc>
          <w:tcPr>
            <w:tcW w:w="20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3"/>
              </w:rPr>
              <w:t>warrants and rights</w:t>
            </w:r>
          </w:p>
        </w:tc>
        <w:tc>
          <w:tcPr>
            <w:tcW w:w="100" w:type="dxa"/>
            <w:vAlign w:val="bottom"/>
          </w:tcPr>
          <w:p>
            <w:pPr>
              <w:spacing w:after="0"/>
              <w:rPr>
                <w:sz w:val="14"/>
                <w:szCs w:val="14"/>
                <w:color w:val="auto"/>
              </w:rPr>
            </w:pPr>
          </w:p>
        </w:tc>
        <w:tc>
          <w:tcPr>
            <w:tcW w:w="15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2"/>
              </w:rPr>
              <w:t>rights</w:t>
            </w: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plans</w:t>
            </w: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7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 by</w:t>
            </w:r>
          </w:p>
        </w:tc>
        <w:tc>
          <w:tcPr>
            <w:tcW w:w="1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Securityholders</w:t>
            </w:r>
          </w:p>
        </w:tc>
        <w:tc>
          <w:tcPr>
            <w:tcW w:w="2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2,219,522</w:t>
            </w:r>
            <w:r>
              <w:rPr>
                <w:rFonts w:ascii="Arial" w:cs="Arial" w:eastAsia="Arial" w:hAnsi="Arial"/>
                <w:sz w:val="15"/>
                <w:szCs w:val="15"/>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14.71</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5,331,140</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2"/>
        </w:trPr>
        <w:tc>
          <w:tcPr>
            <w:tcW w:w="470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Securityholders</w:t>
            </w:r>
          </w:p>
        </w:tc>
        <w:tc>
          <w:tcPr>
            <w:tcW w:w="2080" w:type="dxa"/>
            <w:vAlign w:val="bottom"/>
            <w:gridSpan w:val="2"/>
          </w:tcPr>
          <w:p>
            <w:pPr>
              <w:jc w:val="right"/>
              <w:ind w:right="80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20"/>
                <w:szCs w:val="20"/>
                <w:color w:val="auto"/>
              </w:rPr>
            </w:pPr>
          </w:p>
        </w:tc>
        <w:tc>
          <w:tcPr>
            <w:tcW w:w="15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2,219,522</w:t>
            </w:r>
            <w:r>
              <w:rPr>
                <w:rFonts w:ascii="Arial" w:cs="Arial" w:eastAsia="Arial" w:hAnsi="Arial"/>
                <w:sz w:val="15"/>
                <w:szCs w:val="15"/>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14.71</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5,331,140</w:t>
            </w:r>
            <w:r>
              <w:rPr>
                <w:rFonts w:ascii="Arial" w:cs="Arial" w:eastAsia="Arial" w:hAnsi="Arial"/>
                <w:sz w:val="15"/>
                <w:szCs w:val="15"/>
                <w:color w:val="auto"/>
              </w:rPr>
              <w:t>(2)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outstanding options to purchase shares of our common stock under our Equity Incentive Plan.</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shares available for future issuance under our Equity Incentive Plan.</w:t>
      </w:r>
    </w:p>
    <w:p>
      <w:pPr>
        <w:spacing w:after="0" w:line="21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grant awards under the Equity Incentive Plan to our employees, officers, directors, or consultants, or those of any future parent or subsidiary corporation or other affiliated entity. While we may grant incentive stock options only to employees, we may grant nonstatutory stock options, stock appreciation rights, restricted stock purchase rights or bonuses, restricted stock units, performance shares, performance units, and cash-based awards or other stock-based awards to any eligible participant.</w:t>
      </w:r>
    </w:p>
    <w:p>
      <w:pPr>
        <w:spacing w:after="0" w:line="18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Only members of the Board of Directors who are not employees at the time of grant are eligible to participate in the non-employee director awards component of the Equity Incentive Plan. The Board of Directors, based on the recommendation of the Compensation Committee, sets the amount and type of non-employee director awards to be awarded on a periodic, non-discriminatory basis. Non-employee director awards may be granted in the form of nonstatutory stock options, stock appreciation rights, restricted stock awards and restricted stock unit awards.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the event of a change in control, as described in the Equity Incentive Plan, the acquiring or successor entity may assume or continue all or any awards outstanding under the Equity Incentive Plan or substitute substantially equivalent awards. Any awards that are not assumed or continued in connection with a change in control or are not exercised or settled prior to the change in control will terminate effective as of the time of the change in control. In connection with a change in control, the Compensation Committee may provide for the acceleration of vesting of any or all outstanding awards upon such terms and to such extent as it determines, except that the vesting of all non-employee director awards will automatically be accelerated in full, and the vesting of awards held by each of our named executive officers who are parties to employment agreements will automatically be accelerated in full upon termination without cause or for good reason within 12 months following such change in control. The Equity Incentive Plan also authorizes the Compensation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has approved a policy relating to the granting of stock options and other equity-based awards. Under this policy:</w:t>
      </w:r>
    </w:p>
    <w:p>
      <w:pPr>
        <w:spacing w:after="0" w:line="131" w:lineRule="exact"/>
        <w:rPr>
          <w:sz w:val="20"/>
          <w:szCs w:val="20"/>
          <w:color w:val="auto"/>
        </w:rPr>
      </w:pPr>
    </w:p>
    <w:p>
      <w:pPr>
        <w:ind w:left="900" w:right="36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stock option grants, restricted stock awards, and other equity based awards, which we collectively refer to as stock-based awards, must be approved by the Compensation Committee;</w:t>
      </w:r>
    </w:p>
    <w:p>
      <w:pPr>
        <w:spacing w:after="0" w:line="75" w:lineRule="exact"/>
        <w:rPr>
          <w:rFonts w:ascii="Arial" w:cs="Arial" w:eastAsia="Arial" w:hAnsi="Arial"/>
          <w:sz w:val="18"/>
          <w:szCs w:val="18"/>
          <w:color w:val="auto"/>
        </w:rPr>
      </w:pPr>
    </w:p>
    <w:p>
      <w:pPr>
        <w:jc w:val="both"/>
        <w:ind w:left="900" w:right="100" w:hanging="446"/>
        <w:spacing w:after="0" w:line="264"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 for determining the strike price and similar measurements for stock-based awards will be the date of the meeting (or a date shortly after the meeting) or, in the case of an employee, director, or consultant not yet hired, appointed, or retained, respectively, the subsequent date of hire, appointment, or retention, as the case may be;</w:t>
      </w:r>
    </w:p>
    <w:p>
      <w:pPr>
        <w:spacing w:after="0" w:line="86"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will not intentionally grant stock-based awards before the anticipated announcement of materially favorable news or intentionally delay the grant of stock-based awards until after the announcement of materially unfavorable news;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Compensation Committee will approve stock-based grants only for persons specifically identified at the meeting by management.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the Compensation Consultant</w:t>
      </w:r>
    </w:p>
    <w:p>
      <w:pPr>
        <w:spacing w:after="0" w:line="117"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The Compensation Committee has the sole authority, delegated from the Board of Directors, to appoint, compensate and oversee the work of our outside compensation consultant. In prior years, the Compensation Committee has retained Mercer as its consultant to assist the Compensation Committee with its responsibilities related to our executive compensation programs. The executive compensation services that Mercer provided to the Compensation Committee included providing market benchmark information and advising on changes to executive officer and non-employee director compensation levels. Mercer did not perform any compensation consulting services during 2015, although they have been engaged to provide compensation consulting services for 2016.</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Accounting and Tax Treatment on Compensation Decisions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Internal Revenue Code Section 162(m) Policy</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Section 162(m) of the Code, as amended, imposes a $1 million limit on the amount that a public company may deduct for compensation paid to the company’s chief executive officer or any of the company’s four other most highly compensated executive officers who are employed as of the end of the year. This limitation does not apply to compensation that meets the requirements under Section 162(m) for “qualifying performance-based” compensation (i.e., compensation paid only if the individual’s performance meets pre-established objective goals based on performance criteria approved by stockholders). Our stockholders are being asked to approve the performance criteria within our Equity Incentive Plan and our Annual Cash Incentive Plan at our 2016 annual meeting in accordance with Section 162(m) (having previously approved such criteria at the 2011 annual meeting).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Internal Revenue Code Section 409A</w:t>
      </w:r>
    </w:p>
    <w:p>
      <w:pPr>
        <w:spacing w:after="0" w:line="11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Section 409A of the Code (“Section 409A”) requires that “nonqualified deferred compensation” be deferred and paid under plans or arrangements that satisfy the requirements of the statute with respect to the timing of deferral elections, timing of payments and certain other matters. Failure to satisfy these requirements can expose employees and other service providers to accelerated income tax liabilities and penalty taxes and interest on their vested compensation under such plans. Accordingly, as a general matter, it is our intention to design and administer our compensation and benefits plans and arrangements for all of our employees and other service providers, including our named executive officers, so that they are either exempt from, or satisfy the requirements of, Section 409A. With respect to our compensation and benefit plans that are subject to Section 409A, in accordance with Section 409A and regulatory guidance issued by the Internal Revenue Service, we believe we are currently operating such plans in compliance with Section 409A.</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Accounting Standards</w:t>
      </w:r>
    </w:p>
    <w:p>
      <w:pPr>
        <w:spacing w:after="0" w:line="117"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Grants of equity awards under the Equity Incentive Plan are recognized as compensation expense for the fair value of equity-based compensation awards. The Compensation Committee considers the accounting implications of significant compensation decisions, including in connection with decisions that relate to the Equity Incentive Plan and equity award programs thereunder. As accounting standards change, we may revise certain programs to appropriately align accounting expenses of our equity awards with our overall executive compensation philosophy and objectives.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believe that the compensation amounts paid to our named executive officers for their service in 2015 were reasonable and appropriate and in our best interests.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Policies and Practices as Related to Risk Management</w:t>
      </w:r>
    </w:p>
    <w:p>
      <w:pPr>
        <w:spacing w:after="0" w:line="117" w:lineRule="exact"/>
        <w:rPr>
          <w:sz w:val="20"/>
          <w:szCs w:val="20"/>
          <w:color w:val="auto"/>
        </w:rPr>
      </w:pPr>
    </w:p>
    <w:p>
      <w:pPr>
        <w:ind w:right="520" w:firstLine="456"/>
        <w:spacing w:after="0" w:line="342" w:lineRule="auto"/>
        <w:rPr>
          <w:sz w:val="20"/>
          <w:szCs w:val="20"/>
          <w:color w:val="auto"/>
        </w:rPr>
      </w:pPr>
      <w:r>
        <w:rPr>
          <w:rFonts w:ascii="Arial" w:cs="Arial" w:eastAsia="Arial" w:hAnsi="Arial"/>
          <w:sz w:val="16"/>
          <w:szCs w:val="16"/>
          <w:color w:val="auto"/>
        </w:rPr>
        <w:t>In connection with the preparation of this proxy statement, our Compensation Committee reviewed and discussed our compensation policies and practices for senior management, including our named executive officers. In this regard, the Compensation Committee took note of the fact that:</w:t>
      </w:r>
    </w:p>
    <w:p>
      <w:pPr>
        <w:spacing w:after="0" w:line="29" w:lineRule="exact"/>
        <w:rPr>
          <w:sz w:val="20"/>
          <w:szCs w:val="20"/>
          <w:color w:val="auto"/>
        </w:rPr>
      </w:pPr>
    </w:p>
    <w:p>
      <w:pPr>
        <w:ind w:left="900" w:right="280" w:hanging="446"/>
        <w:spacing w:after="0" w:line="34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pay base salaries we believe are competitive and that are generally intended to constitute the largest component of cash compensation. We believe that this emphasis on paying competitive base salaries that are not at risk for performance discourages inappropriate risk taking;</w:t>
      </w:r>
    </w:p>
    <w:p>
      <w:pPr>
        <w:spacing w:after="0" w:line="29" w:lineRule="exact"/>
        <w:rPr>
          <w:rFonts w:ascii="Arial" w:cs="Arial" w:eastAsia="Arial" w:hAnsi="Arial"/>
          <w:sz w:val="16"/>
          <w:szCs w:val="16"/>
          <w:color w:val="auto"/>
        </w:rPr>
      </w:pPr>
    </w:p>
    <w:p>
      <w:pPr>
        <w:ind w:left="900" w:right="840" w:hanging="446"/>
        <w:spacing w:after="0" w:line="308"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Annual Cash Incentive Plan focuses on the achievement of company-wide revenue and adjusted EBITDA targets, which prevents participants from being able to materially enhance their bonus prospects through excessive or inappropriate risk-taking;</w:t>
      </w:r>
    </w:p>
    <w:p>
      <w:pPr>
        <w:spacing w:after="0" w:line="51" w:lineRule="exact"/>
        <w:rPr>
          <w:rFonts w:ascii="Arial" w:cs="Arial" w:eastAsia="Arial" w:hAnsi="Arial"/>
          <w:sz w:val="17"/>
          <w:szCs w:val="17"/>
          <w:color w:val="auto"/>
        </w:rPr>
      </w:pPr>
    </w:p>
    <w:p>
      <w:pPr>
        <w:ind w:left="900" w:right="46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cash payments that may be made to our named executive officers under the Annual Cash Incentive Plan are subject to stated maximum limits, which we believe mitigates any risks that our named executive officers may take; and</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equity grants made to our named executive officers, and all other employees, under the Equity Incentive Plan all vest in annual increments over a period of five years, which we believe discourages excessive or inappropriate short-term risk taking.</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that review, and with input from management, the Compensation Committee has determined that there are no known potential risks arising from our compensation polices or practices that are reasonably likely to have a material adverse effect on us.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17"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The following table sets forth the total compensation earned for services rendered by our principal executive officer, our principal financial officer, and our three other most highly compensated executive officers whose total compensation for the fiscal year ended December 31, 2015 was in excess of $100,000 and who were serving as executive officers at the end of that fiscal year. The listed individuals are referred to herein as the “named executive officers.”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Stock</w:t>
            </w: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Non-Equity</w:t>
            </w:r>
          </w:p>
        </w:tc>
        <w:tc>
          <w:tcPr>
            <w:tcW w:w="11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rPr>
              <w:t>All Other</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Salary</w:t>
            </w:r>
          </w:p>
        </w:tc>
        <w:tc>
          <w:tcPr>
            <w:tcW w:w="1160" w:type="dxa"/>
            <w:vAlign w:val="bottom"/>
            <w:gridSpan w:val="2"/>
            <w:vMerge w:val="continue"/>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1180" w:type="dxa"/>
            <w:vAlign w:val="bottom"/>
            <w:gridSpan w:val="3"/>
            <w:vMerge w:val="continue"/>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Position</w:t>
            </w: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020" w:type="dxa"/>
            <w:vAlign w:val="bottom"/>
            <w:gridSpan w:val="2"/>
            <w:vMerge w:val="continue"/>
          </w:tcPr>
          <w:p>
            <w:pPr>
              <w:spacing w:after="0"/>
              <w:rPr>
                <w:sz w:val="12"/>
                <w:szCs w:val="12"/>
                <w:color w:val="auto"/>
              </w:rPr>
            </w:pPr>
          </w:p>
        </w:tc>
        <w:tc>
          <w:tcPr>
            <w:tcW w:w="116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Awards</w:t>
            </w: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1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9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18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20" w:type="dxa"/>
            <w:vAlign w:val="bottom"/>
          </w:tcPr>
          <w:p>
            <w:pPr>
              <w:jc w:val="right"/>
              <w:ind w:right="112"/>
              <w:spacing w:after="0"/>
              <w:rPr>
                <w:sz w:val="20"/>
                <w:szCs w:val="20"/>
                <w:color w:val="auto"/>
              </w:rPr>
            </w:pPr>
            <w:r>
              <w:rPr>
                <w:rFonts w:ascii="Arial" w:cs="Arial" w:eastAsia="Arial" w:hAnsi="Arial"/>
                <w:sz w:val="14"/>
                <w:szCs w:val="14"/>
                <w:b w:val="1"/>
                <w:bCs w:val="1"/>
                <w:color w:val="auto"/>
              </w:rPr>
              <w:t>($)(1)</w:t>
            </w:r>
          </w:p>
        </w:tc>
        <w:tc>
          <w:tcPr>
            <w:tcW w:w="30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Arial" w:cs="Arial" w:eastAsia="Arial" w:hAnsi="Arial"/>
                <w:sz w:val="14"/>
                <w:szCs w:val="14"/>
                <w:b w:val="1"/>
                <w:bCs w:val="1"/>
                <w:color w:val="auto"/>
              </w:rPr>
              <w:t>($)(2)</w:t>
            </w:r>
          </w:p>
        </w:tc>
        <w:tc>
          <w:tcPr>
            <w:tcW w:w="3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($)(3)</w:t>
            </w:r>
          </w:p>
        </w:tc>
        <w:tc>
          <w:tcPr>
            <w:tcW w:w="3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 (4)</w:t>
            </w:r>
          </w:p>
        </w:tc>
        <w:tc>
          <w:tcPr>
            <w:tcW w:w="3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16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8"/>
              </w:rPr>
              <w:t>Brian E. Mueller</w:t>
            </w:r>
          </w:p>
        </w:tc>
        <w:tc>
          <w:tcPr>
            <w:tcW w:w="40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ind w:left="60"/>
              <w:spacing w:after="0" w:line="182" w:lineRule="exact"/>
              <w:rPr>
                <w:sz w:val="20"/>
                <w:szCs w:val="20"/>
                <w:color w:val="auto"/>
              </w:rPr>
            </w:pPr>
            <w:r>
              <w:rPr>
                <w:rFonts w:ascii="Arial" w:cs="Arial" w:eastAsia="Arial" w:hAnsi="Arial"/>
                <w:sz w:val="18"/>
                <w:szCs w:val="18"/>
                <w:color w:val="auto"/>
                <w:w w:val="84"/>
              </w:rPr>
              <w:t>2015</w:t>
            </w:r>
          </w:p>
        </w:tc>
        <w:tc>
          <w:tcPr>
            <w:tcW w:w="3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3"/>
              </w:rPr>
              <w:t>$666,692</w:t>
            </w:r>
          </w:p>
        </w:tc>
        <w:tc>
          <w:tcPr>
            <w:tcW w:w="3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3"/>
              </w:rPr>
              <w:t>$1,578,375</w:t>
            </w:r>
          </w:p>
        </w:tc>
        <w:tc>
          <w:tcPr>
            <w:tcW w:w="3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$771,363</w:t>
            </w:r>
          </w:p>
        </w:tc>
        <w:tc>
          <w:tcPr>
            <w:tcW w:w="3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3,564</w:t>
            </w:r>
          </w:p>
        </w:tc>
        <w:tc>
          <w:tcPr>
            <w:tcW w:w="3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3"/>
              </w:rPr>
              <w:t>$3,019,994</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 and Director</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2014</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635,862</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1,592,520</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920,307</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3,564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(Principal Executive Officer)</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2013</w:t>
            </w:r>
          </w:p>
        </w:tc>
        <w:tc>
          <w:tcPr>
            <w:tcW w:w="3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621,000</w:t>
            </w:r>
          </w:p>
        </w:tc>
        <w:tc>
          <w:tcPr>
            <w:tcW w:w="3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1,622,025</w:t>
            </w:r>
          </w:p>
        </w:tc>
        <w:tc>
          <w:tcPr>
            <w:tcW w:w="3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906,660</w:t>
            </w:r>
          </w:p>
        </w:tc>
        <w:tc>
          <w:tcPr>
            <w:tcW w:w="4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11,443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3,161,128</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Dr. W. Stan Meyer</w:t>
            </w:r>
          </w:p>
        </w:tc>
        <w:tc>
          <w:tcPr>
            <w:tcW w:w="420" w:type="dxa"/>
            <w:vAlign w:val="bottom"/>
          </w:tcPr>
          <w:p>
            <w:pPr>
              <w:ind w:left="60"/>
              <w:spacing w:after="0" w:line="201" w:lineRule="exact"/>
              <w:rPr>
                <w:sz w:val="20"/>
                <w:szCs w:val="20"/>
                <w:color w:val="auto"/>
              </w:rPr>
            </w:pPr>
            <w:r>
              <w:rPr>
                <w:rFonts w:ascii="Arial" w:cs="Arial" w:eastAsia="Arial" w:hAnsi="Arial"/>
                <w:sz w:val="18"/>
                <w:szCs w:val="18"/>
                <w:color w:val="auto"/>
                <w:w w:val="84"/>
              </w:rPr>
              <w:t>2015</w:t>
            </w:r>
          </w:p>
        </w:tc>
        <w:tc>
          <w:tcPr>
            <w:tcW w:w="30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389,423</w:t>
            </w:r>
          </w:p>
        </w:tc>
        <w:tc>
          <w:tcPr>
            <w:tcW w:w="300" w:type="dxa"/>
            <w:vAlign w:val="bottom"/>
          </w:tcPr>
          <w:p>
            <w:pPr>
              <w:spacing w:after="0"/>
              <w:rPr>
                <w:sz w:val="17"/>
                <w:szCs w:val="17"/>
                <w:color w:val="auto"/>
              </w:rPr>
            </w:pPr>
          </w:p>
        </w:tc>
        <w:tc>
          <w:tcPr>
            <w:tcW w:w="116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841,800</w:t>
            </w:r>
          </w:p>
        </w:tc>
        <w:tc>
          <w:tcPr>
            <w:tcW w:w="120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337,922</w:t>
            </w:r>
          </w:p>
        </w:tc>
        <w:tc>
          <w:tcPr>
            <w:tcW w:w="400" w:type="dxa"/>
            <w:vAlign w:val="bottom"/>
          </w:tcPr>
          <w:p>
            <w:pPr>
              <w:spacing w:after="0"/>
              <w:rPr>
                <w:sz w:val="17"/>
                <w:szCs w:val="17"/>
                <w:color w:val="auto"/>
              </w:rPr>
            </w:pPr>
          </w:p>
        </w:tc>
        <w:tc>
          <w:tcPr>
            <w:tcW w:w="78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7,077</w:t>
            </w: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1,576,222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Operating Officer</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2014</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371,273</w:t>
            </w:r>
          </w:p>
        </w:tc>
        <w:tc>
          <w:tcPr>
            <w:tcW w:w="30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849,344</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403,172</w:t>
            </w:r>
          </w:p>
        </w:tc>
        <w:tc>
          <w:tcPr>
            <w:tcW w:w="4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7,797</w:t>
            </w:r>
          </w:p>
        </w:tc>
        <w:tc>
          <w:tcPr>
            <w:tcW w:w="860" w:type="dxa"/>
            <w:vAlign w:val="bottom"/>
          </w:tcPr>
          <w:p>
            <w:pPr>
              <w:jc w:val="right"/>
              <w:spacing w:after="0"/>
              <w:rPr>
                <w:sz w:val="20"/>
                <w:szCs w:val="20"/>
                <w:color w:val="auto"/>
              </w:rPr>
            </w:pPr>
            <w:r>
              <w:rPr>
                <w:rFonts w:ascii="Arial" w:cs="Arial" w:eastAsia="Arial" w:hAnsi="Arial"/>
                <w:sz w:val="18"/>
                <w:szCs w:val="18"/>
                <w:color w:val="auto"/>
              </w:rPr>
              <w:t>1,631,586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2013</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362,250</w:t>
            </w:r>
          </w:p>
        </w:tc>
        <w:tc>
          <w:tcPr>
            <w:tcW w:w="300" w:type="dxa"/>
            <w:vAlign w:val="bottom"/>
          </w:tcPr>
          <w:p>
            <w:pPr>
              <w:spacing w:after="0"/>
              <w:rPr>
                <w:sz w:val="20"/>
                <w:szCs w:val="20"/>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865,080</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396,664</w:t>
            </w:r>
          </w:p>
        </w:tc>
        <w:tc>
          <w:tcPr>
            <w:tcW w:w="400" w:type="dxa"/>
            <w:vAlign w:val="bottom"/>
          </w:tcPr>
          <w:p>
            <w:pPr>
              <w:spacing w:after="0"/>
              <w:rPr>
                <w:sz w:val="20"/>
                <w:szCs w:val="20"/>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15,511</w:t>
            </w:r>
          </w:p>
        </w:tc>
        <w:tc>
          <w:tcPr>
            <w:tcW w:w="860" w:type="dxa"/>
            <w:vAlign w:val="bottom"/>
          </w:tcPr>
          <w:p>
            <w:pPr>
              <w:jc w:val="right"/>
              <w:spacing w:after="0"/>
              <w:rPr>
                <w:sz w:val="20"/>
                <w:szCs w:val="20"/>
                <w:color w:val="auto"/>
              </w:rPr>
            </w:pPr>
            <w:r>
              <w:rPr>
                <w:rFonts w:ascii="Arial" w:cs="Arial" w:eastAsia="Arial" w:hAnsi="Arial"/>
                <w:sz w:val="18"/>
                <w:szCs w:val="18"/>
                <w:color w:val="auto"/>
              </w:rPr>
              <w:t>1,639,505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2015</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389,423</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841,800</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337,922</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2014</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371,273</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849,344</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403,172</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(Principal Financial Officer)</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2013</w:t>
            </w: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362,250</w:t>
            </w: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865,080</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396,664</w:t>
            </w:r>
          </w:p>
        </w:tc>
        <w:tc>
          <w:tcPr>
            <w:tcW w:w="4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1,624,370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Joseph N. Mildenhall</w:t>
            </w:r>
          </w:p>
        </w:tc>
        <w:tc>
          <w:tcPr>
            <w:tcW w:w="420" w:type="dxa"/>
            <w:vAlign w:val="bottom"/>
          </w:tcPr>
          <w:p>
            <w:pPr>
              <w:ind w:left="60"/>
              <w:spacing w:after="0" w:line="201" w:lineRule="exact"/>
              <w:rPr>
                <w:sz w:val="20"/>
                <w:szCs w:val="20"/>
                <w:color w:val="auto"/>
              </w:rPr>
            </w:pPr>
            <w:r>
              <w:rPr>
                <w:rFonts w:ascii="Arial" w:cs="Arial" w:eastAsia="Arial" w:hAnsi="Arial"/>
                <w:sz w:val="18"/>
                <w:szCs w:val="18"/>
                <w:color w:val="auto"/>
                <w:w w:val="84"/>
              </w:rPr>
              <w:t>2015</w:t>
            </w:r>
          </w:p>
        </w:tc>
        <w:tc>
          <w:tcPr>
            <w:tcW w:w="30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333,346</w:t>
            </w:r>
          </w:p>
        </w:tc>
        <w:tc>
          <w:tcPr>
            <w:tcW w:w="300" w:type="dxa"/>
            <w:vAlign w:val="bottom"/>
          </w:tcPr>
          <w:p>
            <w:pPr>
              <w:spacing w:after="0"/>
              <w:rPr>
                <w:sz w:val="17"/>
                <w:szCs w:val="17"/>
                <w:color w:val="auto"/>
              </w:rPr>
            </w:pPr>
          </w:p>
        </w:tc>
        <w:tc>
          <w:tcPr>
            <w:tcW w:w="116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841,800</w:t>
            </w:r>
          </w:p>
        </w:tc>
        <w:tc>
          <w:tcPr>
            <w:tcW w:w="120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192,841</w:t>
            </w:r>
          </w:p>
        </w:tc>
        <w:tc>
          <w:tcPr>
            <w:tcW w:w="400" w:type="dxa"/>
            <w:vAlign w:val="bottom"/>
          </w:tcPr>
          <w:p>
            <w:pPr>
              <w:spacing w:after="0"/>
              <w:rPr>
                <w:sz w:val="17"/>
                <w:szCs w:val="17"/>
                <w:color w:val="auto"/>
              </w:rPr>
            </w:pPr>
          </w:p>
        </w:tc>
        <w:tc>
          <w:tcPr>
            <w:tcW w:w="78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2,146</w:t>
            </w: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1,370,133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Information Officer</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2014</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317,931</w:t>
            </w:r>
          </w:p>
        </w:tc>
        <w:tc>
          <w:tcPr>
            <w:tcW w:w="30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849,344</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230,077</w:t>
            </w:r>
          </w:p>
        </w:tc>
        <w:tc>
          <w:tcPr>
            <w:tcW w:w="4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2,146</w:t>
            </w:r>
          </w:p>
        </w:tc>
        <w:tc>
          <w:tcPr>
            <w:tcW w:w="860" w:type="dxa"/>
            <w:vAlign w:val="bottom"/>
          </w:tcPr>
          <w:p>
            <w:pPr>
              <w:jc w:val="right"/>
              <w:spacing w:after="0"/>
              <w:rPr>
                <w:sz w:val="20"/>
                <w:szCs w:val="20"/>
                <w:color w:val="auto"/>
              </w:rPr>
            </w:pPr>
            <w:r>
              <w:rPr>
                <w:rFonts w:ascii="Arial" w:cs="Arial" w:eastAsia="Arial" w:hAnsi="Arial"/>
                <w:sz w:val="18"/>
                <w:szCs w:val="18"/>
                <w:color w:val="auto"/>
              </w:rPr>
              <w:t>1,399,498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2013</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310,500</w:t>
            </w:r>
          </w:p>
        </w:tc>
        <w:tc>
          <w:tcPr>
            <w:tcW w:w="300" w:type="dxa"/>
            <w:vAlign w:val="bottom"/>
          </w:tcPr>
          <w:p>
            <w:pPr>
              <w:spacing w:after="0"/>
              <w:rPr>
                <w:sz w:val="20"/>
                <w:szCs w:val="20"/>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865,050</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226,665</w:t>
            </w:r>
          </w:p>
        </w:tc>
        <w:tc>
          <w:tcPr>
            <w:tcW w:w="400" w:type="dxa"/>
            <w:vAlign w:val="bottom"/>
          </w:tcPr>
          <w:p>
            <w:pPr>
              <w:spacing w:after="0"/>
              <w:rPr>
                <w:sz w:val="20"/>
                <w:szCs w:val="20"/>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6,903</w:t>
            </w:r>
          </w:p>
        </w:tc>
        <w:tc>
          <w:tcPr>
            <w:tcW w:w="860" w:type="dxa"/>
            <w:vAlign w:val="bottom"/>
          </w:tcPr>
          <w:p>
            <w:pPr>
              <w:jc w:val="right"/>
              <w:spacing w:after="0"/>
              <w:rPr>
                <w:sz w:val="20"/>
                <w:szCs w:val="20"/>
                <w:color w:val="auto"/>
              </w:rPr>
            </w:pPr>
            <w:r>
              <w:rPr>
                <w:rFonts w:ascii="Arial" w:cs="Arial" w:eastAsia="Arial" w:hAnsi="Arial"/>
                <w:sz w:val="18"/>
                <w:szCs w:val="18"/>
                <w:color w:val="auto"/>
              </w:rPr>
              <w:t>1,409,148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M. Roberts</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2015</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285,577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841,800</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150,188</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4,454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General Counsel</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2014</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260,385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849,344</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179,367</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3,533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1,292,629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160" w:type="dxa"/>
            <w:vAlign w:val="bottom"/>
            <w:shd w:val="clear" w:color="auto" w:fill="CCEEFF"/>
          </w:tcPr>
          <w:p>
            <w:pPr>
              <w:spacing w:after="0"/>
              <w:rPr>
                <w:sz w:val="21"/>
                <w:szCs w:val="21"/>
                <w:color w:val="auto"/>
              </w:rPr>
            </w:pPr>
          </w:p>
        </w:tc>
        <w:tc>
          <w:tcPr>
            <w:tcW w:w="4020" w:type="dxa"/>
            <w:vAlign w:val="bottom"/>
            <w:shd w:val="clear" w:color="auto" w:fill="CCEEFF"/>
          </w:tcPr>
          <w:p>
            <w:pPr>
              <w:spacing w:after="0"/>
              <w:rPr>
                <w:sz w:val="21"/>
                <w:szCs w:val="21"/>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2013</w:t>
            </w: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480,600</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102,200</w:t>
            </w:r>
          </w:p>
        </w:tc>
        <w:tc>
          <w:tcPr>
            <w:tcW w:w="4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2,643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810,443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right="520" w:hanging="452"/>
        <w:spacing w:after="0" w:line="25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amounts in this column reflect the base salary cash payments made in each year. The named executive officers last pay increase was in April 2014. There were 27 payrolls in the 2015 calendar year, resulting in one additional pay period in 2015.</w:t>
      </w:r>
    </w:p>
    <w:p>
      <w:pPr>
        <w:spacing w:after="0" w:line="1"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amounts shown in this column reflect the compensation costs attributable to the restricted stock awards granted in 2015, 2014 and 2013. The compensation costs are based on the grant date fair value of each restricted stock award and do not take into account any estimated forfeitures related to service-based vesting conditions, if any. Assumptions used in the calculation of the grant date fair value of each restricted stock award granted during the 2015, 2014, and 2013 fiscal years are set forth in Notes 2 and 14 to our financial statements for the fiscal year ended December 31, 2015 included in our 2015 Annual Report on Form 10-K.</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amounts in this column reflect non-equity incentive payments earned pursuant to our Annual Cash Incentive Plan.</w:t>
      </w:r>
    </w:p>
    <w:p>
      <w:pPr>
        <w:spacing w:after="0" w:line="9" w:lineRule="exact"/>
        <w:rPr>
          <w:rFonts w:ascii="Arial" w:cs="Arial" w:eastAsia="Arial" w:hAnsi="Arial"/>
          <w:sz w:val="18"/>
          <w:szCs w:val="18"/>
          <w:color w:val="auto"/>
        </w:rPr>
      </w:pPr>
    </w:p>
    <w:p>
      <w:pPr>
        <w:ind w:left="460" w:right="260" w:hanging="452"/>
        <w:spacing w:after="0" w:line="323"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2015, 2014, and 2013, the amounts in this column include company paid life insurance premiums for all named executive officers. For Dr. Meyer, Mr. Mildenhall, and Mr. Roberts, the amounts in this column also reflect matching payments made by the Company under our 401(k) plan.</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Grants of Plan-Based Awards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following table sets forth certain information with respect to incentive plan awards under our Annual Cash Incentive Plan and our Equity Incentive Plan for the fiscal year ended December 31, 2015 to each of our named executive officers: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All Other</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0" w:type="dxa"/>
            <w:vAlign w:val="bottom"/>
            <w:gridSpan w:val="7"/>
            <w:vMerge w:val="restart"/>
          </w:tcPr>
          <w:p>
            <w:pPr>
              <w:jc w:val="center"/>
              <w:ind w:right="280"/>
              <w:spacing w:after="0"/>
              <w:rPr>
                <w:sz w:val="20"/>
                <w:szCs w:val="20"/>
                <w:color w:val="auto"/>
              </w:rPr>
            </w:pPr>
            <w:r>
              <w:rPr>
                <w:rFonts w:ascii="Arial" w:cs="Arial" w:eastAsia="Arial" w:hAnsi="Arial"/>
                <w:sz w:val="14"/>
                <w:szCs w:val="14"/>
                <w:b w:val="1"/>
                <w:bCs w:val="1"/>
                <w:color w:val="auto"/>
                <w:w w:val="93"/>
              </w:rPr>
              <w:t>Estimated Future Payouts Under Non-</w:t>
            </w: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2"/>
                <w:szCs w:val="12"/>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4"/>
        </w:trPr>
        <w:tc>
          <w:tcPr>
            <w:tcW w:w="3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0" w:type="dxa"/>
            <w:vAlign w:val="bottom"/>
            <w:gridSpan w:val="7"/>
            <w:vMerge w:val="continue"/>
          </w:tcPr>
          <w:p>
            <w:pPr>
              <w:spacing w:after="0"/>
              <w:rPr>
                <w:sz w:val="12"/>
                <w:szCs w:val="12"/>
                <w:color w:val="auto"/>
              </w:rPr>
            </w:pPr>
          </w:p>
        </w:tc>
        <w:tc>
          <w:tcPr>
            <w:tcW w:w="88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4"/>
              </w:rPr>
              <w:t>Awards:</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20" w:type="dxa"/>
            <w:vAlign w:val="bottom"/>
            <w:tcBorders>
              <w:bottom w:val="single" w:sz="8" w:color="auto"/>
            </w:tcBorders>
            <w:gridSpan w:val="6"/>
          </w:tcPr>
          <w:p>
            <w:pPr>
              <w:jc w:val="center"/>
              <w:spacing w:after="0" w:line="129" w:lineRule="exact"/>
              <w:rPr>
                <w:sz w:val="20"/>
                <w:szCs w:val="20"/>
                <w:color w:val="auto"/>
              </w:rPr>
            </w:pPr>
            <w:r>
              <w:rPr>
                <w:rFonts w:ascii="Arial" w:cs="Arial" w:eastAsia="Arial" w:hAnsi="Arial"/>
                <w:sz w:val="14"/>
                <w:szCs w:val="14"/>
                <w:b w:val="1"/>
                <w:bCs w:val="1"/>
                <w:color w:val="auto"/>
                <w:w w:val="94"/>
              </w:rPr>
              <w:t>Equity Incentive Plan Awards(1)</w:t>
            </w:r>
          </w:p>
        </w:tc>
        <w:tc>
          <w:tcPr>
            <w:tcW w:w="280" w:type="dxa"/>
            <w:vAlign w:val="bottom"/>
          </w:tcPr>
          <w:p>
            <w:pPr>
              <w:spacing w:after="0"/>
              <w:rPr>
                <w:sz w:val="12"/>
                <w:szCs w:val="12"/>
                <w:color w:val="auto"/>
              </w:rPr>
            </w:pPr>
          </w:p>
        </w:tc>
        <w:tc>
          <w:tcPr>
            <w:tcW w:w="88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92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33"/>
        </w:trPr>
        <w:tc>
          <w:tcPr>
            <w:tcW w:w="4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3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Grant Date</w:t>
            </w: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u w:val="single" w:color="auto"/>
                <w:color w:val="auto"/>
              </w:rPr>
              <w:t>Threshold($</w:t>
            </w:r>
            <w:r>
              <w:rPr>
                <w:rFonts w:ascii="Arial" w:cs="Arial" w:eastAsia="Arial" w:hAnsi="Arial"/>
                <w:sz w:val="14"/>
                <w:szCs w:val="14"/>
                <w:b w:val="1"/>
                <w:bCs w:val="1"/>
                <w:color w:val="auto"/>
              </w:rPr>
              <w:t>)</w:t>
            </w: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Target($)</w:t>
            </w:r>
          </w:p>
        </w:tc>
        <w:tc>
          <w:tcPr>
            <w:tcW w:w="140" w:type="dxa"/>
            <w:vAlign w:val="bottom"/>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Maximum($</w:t>
            </w:r>
            <w:r>
              <w:rPr>
                <w:rFonts w:ascii="Arial" w:cs="Arial" w:eastAsia="Arial" w:hAnsi="Arial"/>
                <w:sz w:val="14"/>
                <w:szCs w:val="14"/>
                <w:b w:val="1"/>
                <w:bCs w:val="1"/>
                <w:color w:val="auto"/>
              </w:rPr>
              <w:t>)</w:t>
            </w:r>
          </w:p>
        </w:tc>
        <w:tc>
          <w:tcPr>
            <w:tcW w:w="88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1"/>
                <w:szCs w:val="11"/>
                <w:color w:val="auto"/>
              </w:rPr>
            </w:pPr>
          </w:p>
        </w:tc>
        <w:tc>
          <w:tcPr>
            <w:tcW w:w="9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171"/>
        </w:trPr>
        <w:tc>
          <w:tcPr>
            <w:tcW w:w="492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of Stock (#)</w:t>
            </w:r>
          </w:p>
        </w:tc>
        <w:tc>
          <w:tcPr>
            <w:tcW w:w="14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Awards(2)</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Brian</w:t>
            </w:r>
          </w:p>
        </w:tc>
        <w:tc>
          <w:tcPr>
            <w:tcW w:w="454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 Mueller</w:t>
            </w:r>
          </w:p>
        </w:tc>
        <w:tc>
          <w:tcPr>
            <w:tcW w:w="10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9"/>
              </w:rPr>
              <w:t>Mar. 18, 2015</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321,000</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$642,000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963,000</w:t>
            </w: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$1,578,375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Dr. W. Stan Meyer</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Mar. 18, 2015</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140,625</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281,250</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421,875</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18,400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841,800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1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Mar. 18, 2015</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140,625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281,250</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421,875</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841,800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Joseph N. Mildenhall</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Mar. 18, 2015</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80,250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160,500</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240,750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18,400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841,800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M. Roberts</w:t>
            </w:r>
          </w:p>
        </w:tc>
        <w:tc>
          <w:tcPr>
            <w:tcW w:w="1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Mar. 18, 2015</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62,500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125,000</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187,500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841,800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340" w:hanging="452"/>
        <w:spacing w:after="0" w:line="256"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These amounts reflect the Threshold, Target and Maximum bonuses payable to our named executive officers under our Annual Cash Incentive Plan (based on their base salaries as in effect at year end). All such awards have been paid, and the actual amounts paid are set forth in the Summary Compensation Table above.</w:t>
      </w:r>
    </w:p>
    <w:p>
      <w:pPr>
        <w:ind w:left="460" w:right="40" w:hanging="452"/>
        <w:spacing w:after="0" w:line="295"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amounts shown in this column reflect the compensation costs attributable to the restricted stock awards granted in 2015. The compensation costs are based on the grant date fair value of each restricted stock award and do not take into account any estimated forfeitures related to service-based vesting conditions, if any. Assumptions used in the calculation of the grant date fair value of each restricted stock award granted during the 2015 are set forth in Notes 2 and 14 to our financial statements for the fiscal year ended December 31, 2015 included in our 2015 Annual Report on Form 10-K.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Outstanding Equity Awards at Fiscal Year-End</w:t>
      </w:r>
    </w:p>
    <w:p>
      <w:pPr>
        <w:spacing w:after="0" w:line="117"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The following table provides certain summary information concerning outstanding equity awards held by the named executive officers as of December 31, 2015.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Option Awards(1)</w:t>
            </w:r>
          </w:p>
        </w:tc>
        <w:tc>
          <w:tcPr>
            <w:tcW w:w="1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tcBorders>
              <w:bottom w:val="single" w:sz="8" w:color="auto"/>
            </w:tcBorders>
            <w:gridSpan w:val="3"/>
          </w:tcPr>
          <w:p>
            <w:pPr>
              <w:jc w:val="right"/>
              <w:ind w:right="395"/>
              <w:spacing w:after="0"/>
              <w:rPr>
                <w:sz w:val="20"/>
                <w:szCs w:val="20"/>
                <w:color w:val="auto"/>
              </w:rPr>
            </w:pPr>
            <w:r>
              <w:rPr>
                <w:rFonts w:ascii="Arial" w:cs="Arial" w:eastAsia="Arial" w:hAnsi="Arial"/>
                <w:sz w:val="14"/>
                <w:szCs w:val="14"/>
                <w:b w:val="1"/>
                <w:bCs w:val="1"/>
                <w:color w:val="auto"/>
              </w:rPr>
              <w:t>Stock Awards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Number of</w:t>
            </w:r>
          </w:p>
        </w:tc>
        <w:tc>
          <w:tcPr>
            <w:tcW w:w="11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Number of</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Number of</w:t>
            </w: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Market 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Underlying</w:t>
            </w:r>
          </w:p>
        </w:tc>
        <w:tc>
          <w:tcPr>
            <w:tcW w:w="160" w:type="dxa"/>
            <w:vAlign w:val="bottom"/>
          </w:tcPr>
          <w:p>
            <w:pPr>
              <w:spacing w:after="0"/>
              <w:rPr>
                <w:sz w:val="12"/>
                <w:szCs w:val="12"/>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Option</w:t>
            </w: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Shares of</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of Shares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Option Expiration</w:t>
            </w: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Stock That</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Stock That</w:t>
            </w:r>
          </w:p>
        </w:tc>
        <w:tc>
          <w:tcPr>
            <w:tcW w:w="0" w:type="dxa"/>
            <w:vAlign w:val="bottom"/>
          </w:tcPr>
          <w:p>
            <w:pPr>
              <w:spacing w:after="0"/>
              <w:rPr>
                <w:sz w:val="1"/>
                <w:szCs w:val="1"/>
                <w:color w:val="auto"/>
              </w:rPr>
            </w:pPr>
          </w:p>
        </w:tc>
      </w:tr>
      <w:tr>
        <w:trPr>
          <w:trHeight w:val="149"/>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Options (#)</w:t>
            </w:r>
          </w:p>
        </w:tc>
        <w:tc>
          <w:tcPr>
            <w:tcW w:w="11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Options (#)</w:t>
            </w:r>
          </w:p>
        </w:tc>
        <w:tc>
          <w:tcPr>
            <w:tcW w:w="118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660" w:type="dxa"/>
            <w:vAlign w:val="bottom"/>
            <w:gridSpan w:val="2"/>
            <w:vMerge w:val="continue"/>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Have Not</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Have Not</w:t>
            </w:r>
          </w:p>
        </w:tc>
        <w:tc>
          <w:tcPr>
            <w:tcW w:w="0" w:type="dxa"/>
            <w:vAlign w:val="bottom"/>
          </w:tcPr>
          <w:p>
            <w:pPr>
              <w:spacing w:after="0"/>
              <w:rPr>
                <w:sz w:val="1"/>
                <w:szCs w:val="1"/>
                <w:color w:val="auto"/>
              </w:rPr>
            </w:pPr>
          </w:p>
        </w:tc>
      </w:tr>
      <w:tr>
        <w:trPr>
          <w:trHeight w:val="171"/>
        </w:trPr>
        <w:tc>
          <w:tcPr>
            <w:tcW w:w="4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Exercisable</w:t>
            </w: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Unexercisable</w:t>
            </w:r>
          </w:p>
        </w:tc>
        <w:tc>
          <w:tcPr>
            <w:tcW w:w="160" w:type="dxa"/>
            <w:vAlign w:val="bottom"/>
          </w:tcPr>
          <w:p>
            <w:pPr>
              <w:spacing w:after="0"/>
              <w:rPr>
                <w:sz w:val="14"/>
                <w:szCs w:val="14"/>
                <w:color w:val="auto"/>
              </w:rPr>
            </w:pPr>
          </w:p>
        </w:tc>
        <w:tc>
          <w:tcPr>
            <w:tcW w:w="720" w:type="dxa"/>
            <w:vAlign w:val="bottom"/>
          </w:tcPr>
          <w:p>
            <w:pPr>
              <w:jc w:val="right"/>
              <w:ind w:right="272"/>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1660" w:type="dxa"/>
            <w:vAlign w:val="bottom"/>
            <w:gridSpan w:val="2"/>
          </w:tcPr>
          <w:p>
            <w:pPr>
              <w:ind w:left="580"/>
              <w:spacing w:after="0"/>
              <w:rPr>
                <w:sz w:val="20"/>
                <w:szCs w:val="20"/>
                <w:color w:val="auto"/>
              </w:rPr>
            </w:pPr>
            <w:r>
              <w:rPr>
                <w:rFonts w:ascii="Arial" w:cs="Arial" w:eastAsia="Arial" w:hAnsi="Arial"/>
                <w:sz w:val="14"/>
                <w:szCs w:val="14"/>
                <w:b w:val="1"/>
                <w:bCs w:val="1"/>
                <w:color w:val="auto"/>
              </w:rPr>
              <w:t>Date</w:t>
            </w: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Vested (2)</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Brian</w:t>
            </w:r>
          </w:p>
        </w:tc>
        <w:tc>
          <w:tcPr>
            <w:tcW w:w="380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 Mueller</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3"/>
              </w:rPr>
              <w:t>30,000</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3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11, 2021</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129,600</w:t>
            </w: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$ 5,199,552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100,000</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21.10</w:t>
            </w: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25, 2020</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609,788</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12.00</w:t>
            </w: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19, 2018</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180" w:type="dxa"/>
            <w:vAlign w:val="bottom"/>
            <w:gridSpan w:val="2"/>
          </w:tcPr>
          <w:p>
            <w:pPr>
              <w:spacing w:after="0" w:line="201" w:lineRule="exact"/>
              <w:rPr>
                <w:sz w:val="20"/>
                <w:szCs w:val="20"/>
                <w:color w:val="auto"/>
              </w:rPr>
            </w:pPr>
            <w:r>
              <w:rPr>
                <w:rFonts w:ascii="Arial" w:cs="Arial" w:eastAsia="Arial" w:hAnsi="Arial"/>
                <w:sz w:val="18"/>
                <w:szCs w:val="18"/>
                <w:color w:val="auto"/>
              </w:rPr>
              <w:t>Dr. W. Stan Meyer</w:t>
            </w:r>
          </w:p>
        </w:tc>
        <w:tc>
          <w:tcPr>
            <w:tcW w:w="220" w:type="dxa"/>
            <w:vAlign w:val="bottom"/>
          </w:tcPr>
          <w:p>
            <w:pPr>
              <w:spacing w:after="0"/>
              <w:rPr>
                <w:sz w:val="17"/>
                <w:szCs w:val="17"/>
                <w:color w:val="auto"/>
              </w:rPr>
            </w:pPr>
          </w:p>
        </w:tc>
        <w:tc>
          <w:tcPr>
            <w:tcW w:w="106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64,000</w:t>
            </w:r>
          </w:p>
        </w:tc>
        <w:tc>
          <w:tcPr>
            <w:tcW w:w="118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16,000</w:t>
            </w:r>
          </w:p>
        </w:tc>
        <w:tc>
          <w:tcPr>
            <w:tcW w:w="160" w:type="dxa"/>
            <w:vAlign w:val="bottom"/>
          </w:tcPr>
          <w:p>
            <w:pPr>
              <w:spacing w:after="0"/>
              <w:rPr>
                <w:sz w:val="17"/>
                <w:szCs w:val="17"/>
                <w:color w:val="auto"/>
              </w:rPr>
            </w:pPr>
          </w:p>
        </w:tc>
        <w:tc>
          <w:tcPr>
            <w:tcW w:w="102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15.34</w:t>
            </w:r>
          </w:p>
        </w:tc>
        <w:tc>
          <w:tcPr>
            <w:tcW w:w="1660" w:type="dxa"/>
            <w:vAlign w:val="bottom"/>
            <w:gridSpan w:val="2"/>
          </w:tcPr>
          <w:p>
            <w:pPr>
              <w:spacing w:after="0" w:line="201" w:lineRule="exact"/>
              <w:rPr>
                <w:sz w:val="20"/>
                <w:szCs w:val="20"/>
                <w:color w:val="auto"/>
              </w:rPr>
            </w:pPr>
            <w:r>
              <w:rPr>
                <w:rFonts w:ascii="Arial" w:cs="Arial" w:eastAsia="Arial" w:hAnsi="Arial"/>
                <w:sz w:val="18"/>
                <w:szCs w:val="18"/>
                <w:color w:val="auto"/>
              </w:rPr>
              <w:t>March 11, 2021</w:t>
            </w:r>
          </w:p>
        </w:tc>
        <w:tc>
          <w:tcPr>
            <w:tcW w:w="100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69,120</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2,773,094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40,000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21.10</w:t>
            </w:r>
          </w:p>
        </w:tc>
        <w:tc>
          <w:tcPr>
            <w:tcW w:w="1660" w:type="dxa"/>
            <w:vAlign w:val="bottom"/>
            <w:gridSpan w:val="2"/>
          </w:tcPr>
          <w:p>
            <w:pPr>
              <w:spacing w:after="0"/>
              <w:rPr>
                <w:sz w:val="20"/>
                <w:szCs w:val="20"/>
                <w:color w:val="auto"/>
              </w:rPr>
            </w:pPr>
            <w:r>
              <w:rPr>
                <w:rFonts w:ascii="Arial" w:cs="Arial" w:eastAsia="Arial" w:hAnsi="Arial"/>
                <w:sz w:val="18"/>
                <w:szCs w:val="18"/>
                <w:color w:val="auto"/>
              </w:rPr>
              <w:t>February 25, 2020</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241,315</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12.00</w:t>
            </w:r>
          </w:p>
        </w:tc>
        <w:tc>
          <w:tcPr>
            <w:tcW w:w="1660" w:type="dxa"/>
            <w:vAlign w:val="bottom"/>
            <w:gridSpan w:val="2"/>
          </w:tcPr>
          <w:p>
            <w:pPr>
              <w:spacing w:after="0"/>
              <w:rPr>
                <w:sz w:val="20"/>
                <w:szCs w:val="20"/>
                <w:color w:val="auto"/>
              </w:rPr>
            </w:pPr>
            <w:r>
              <w:rPr>
                <w:rFonts w:ascii="Arial" w:cs="Arial" w:eastAsia="Arial" w:hAnsi="Arial"/>
                <w:sz w:val="18"/>
                <w:szCs w:val="18"/>
                <w:color w:val="auto"/>
              </w:rPr>
              <w:t>November 19, 2018</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64,000</w:t>
            </w:r>
          </w:p>
        </w:tc>
        <w:tc>
          <w:tcPr>
            <w:tcW w:w="11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16,000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15.34</w:t>
            </w: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11, 2021</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69,120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40,000</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21.10</w:t>
            </w: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25, 2020</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169,128</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12.00</w:t>
            </w: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19, 2018</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180" w:type="dxa"/>
            <w:vAlign w:val="bottom"/>
            <w:gridSpan w:val="2"/>
          </w:tcPr>
          <w:p>
            <w:pPr>
              <w:spacing w:after="0" w:line="201" w:lineRule="exact"/>
              <w:rPr>
                <w:sz w:val="20"/>
                <w:szCs w:val="20"/>
                <w:color w:val="auto"/>
              </w:rPr>
            </w:pPr>
            <w:r>
              <w:rPr>
                <w:rFonts w:ascii="Arial" w:cs="Arial" w:eastAsia="Arial" w:hAnsi="Arial"/>
                <w:sz w:val="18"/>
                <w:szCs w:val="18"/>
                <w:color w:val="auto"/>
              </w:rPr>
              <w:t>Joseph N. Mildenhall</w:t>
            </w:r>
          </w:p>
        </w:tc>
        <w:tc>
          <w:tcPr>
            <w:tcW w:w="220" w:type="dxa"/>
            <w:vAlign w:val="bottom"/>
          </w:tcPr>
          <w:p>
            <w:pPr>
              <w:spacing w:after="0"/>
              <w:rPr>
                <w:sz w:val="17"/>
                <w:szCs w:val="17"/>
                <w:color w:val="auto"/>
              </w:rPr>
            </w:pPr>
          </w:p>
        </w:tc>
        <w:tc>
          <w:tcPr>
            <w:tcW w:w="106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22,900</w:t>
            </w:r>
          </w:p>
        </w:tc>
        <w:tc>
          <w:tcPr>
            <w:tcW w:w="118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16,000</w:t>
            </w:r>
          </w:p>
        </w:tc>
        <w:tc>
          <w:tcPr>
            <w:tcW w:w="160" w:type="dxa"/>
            <w:vAlign w:val="bottom"/>
          </w:tcPr>
          <w:p>
            <w:pPr>
              <w:spacing w:after="0"/>
              <w:rPr>
                <w:sz w:val="17"/>
                <w:szCs w:val="17"/>
                <w:color w:val="auto"/>
              </w:rPr>
            </w:pPr>
          </w:p>
        </w:tc>
        <w:tc>
          <w:tcPr>
            <w:tcW w:w="102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15.34</w:t>
            </w:r>
          </w:p>
        </w:tc>
        <w:tc>
          <w:tcPr>
            <w:tcW w:w="1660" w:type="dxa"/>
            <w:vAlign w:val="bottom"/>
            <w:gridSpan w:val="2"/>
          </w:tcPr>
          <w:p>
            <w:pPr>
              <w:spacing w:after="0" w:line="201" w:lineRule="exact"/>
              <w:rPr>
                <w:sz w:val="20"/>
                <w:szCs w:val="20"/>
                <w:color w:val="auto"/>
              </w:rPr>
            </w:pPr>
            <w:r>
              <w:rPr>
                <w:rFonts w:ascii="Arial" w:cs="Arial" w:eastAsia="Arial" w:hAnsi="Arial"/>
                <w:sz w:val="18"/>
                <w:szCs w:val="18"/>
                <w:color w:val="auto"/>
              </w:rPr>
              <w:t>March 11, 2021</w:t>
            </w:r>
          </w:p>
        </w:tc>
        <w:tc>
          <w:tcPr>
            <w:tcW w:w="100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74,720</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2,997,766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25,000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21.10</w:t>
            </w:r>
          </w:p>
        </w:tc>
        <w:tc>
          <w:tcPr>
            <w:tcW w:w="1660" w:type="dxa"/>
            <w:vAlign w:val="bottom"/>
            <w:gridSpan w:val="2"/>
          </w:tcPr>
          <w:p>
            <w:pPr>
              <w:spacing w:after="0"/>
              <w:rPr>
                <w:sz w:val="20"/>
                <w:szCs w:val="20"/>
                <w:color w:val="auto"/>
              </w:rPr>
            </w:pPr>
            <w:r>
              <w:rPr>
                <w:rFonts w:ascii="Arial" w:cs="Arial" w:eastAsia="Arial" w:hAnsi="Arial"/>
                <w:sz w:val="18"/>
                <w:szCs w:val="18"/>
                <w:color w:val="auto"/>
              </w:rPr>
              <w:t>February 25, 2020</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50,000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17.03</w:t>
            </w:r>
          </w:p>
        </w:tc>
        <w:tc>
          <w:tcPr>
            <w:tcW w:w="1660" w:type="dxa"/>
            <w:vAlign w:val="bottom"/>
            <w:gridSpan w:val="2"/>
          </w:tcPr>
          <w:p>
            <w:pPr>
              <w:spacing w:after="0"/>
              <w:rPr>
                <w:sz w:val="20"/>
                <w:szCs w:val="20"/>
                <w:color w:val="auto"/>
              </w:rPr>
            </w:pPr>
            <w:r>
              <w:rPr>
                <w:rFonts w:ascii="Arial" w:cs="Arial" w:eastAsia="Arial" w:hAnsi="Arial"/>
                <w:sz w:val="18"/>
                <w:szCs w:val="18"/>
                <w:color w:val="auto"/>
              </w:rPr>
              <w:t>September 16, 2019</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M. Roberts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53,120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40" w:hanging="452"/>
        <w:spacing w:after="0" w:line="255"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shares covered by the options granted to Mr. Mueller, Dr. Meyer, Mr. Bachus, and Mr. Mildenhall vest in five successive equal annual installments upon the completion of each year of service with us over the five year period measured from the respective date of grant, subject to fully accelerated vesting in the event of a termination of employment by us without cause or by the executive for good reason within 12 months following a change in control of the Company. Mr. Mueller, Dr. Meyer, Mr. Bachus and Mr. Mildenhall also receive partially accelerated vesting through the next vesting date immediately following the date of termination, upon the termination of employment by us without Cause or by the executive for Good Reason (as further discussed below).</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80" w:hanging="452"/>
        <w:spacing w:after="0" w:line="297"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restricted stock awards granted to Mr. Mueller, Dr. Meyer, Mr. Bachus, Mr. Mildenhall, and Mr. Roberts vest in five successive equal annual installments upon the completion of each year of service with us over the five year period, subject to fully accelerated vesting in the event of a termination of employment without cause or by the executive for good reason within 12 months following a change in control of the Company. Mr. Mueller, Dr. Meyer, Mr. Bachus and Mr. Mildenhall also receive partial accelerated vesting through the next vesting date immediately following the date of termination, upon the termination of employment by us without Cause or by the executive for Good Reason (as further discussed below).</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Option Exercises and Stock Vested</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table provides certain summary information concerning restricted stock awards made to our named executive officers that vested during the fiscal year ended December 31, 2015. Our named executive officers did not exercise any options during 2015.</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Restricted Stock Awards</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740" w:type="dxa"/>
            <w:vAlign w:val="bottom"/>
            <w:gridSpan w:val="2"/>
          </w:tcPr>
          <w:p>
            <w:pPr>
              <w:jc w:val="right"/>
              <w:ind w:right="1020"/>
              <w:spacing w:after="0" w:line="119" w:lineRule="exact"/>
              <w:rPr>
                <w:sz w:val="20"/>
                <w:szCs w:val="20"/>
                <w:color w:val="auto"/>
              </w:rPr>
            </w:pPr>
            <w:r>
              <w:rPr>
                <w:rFonts w:ascii="Arial" w:cs="Arial" w:eastAsia="Arial" w:hAnsi="Arial"/>
                <w:sz w:val="13"/>
                <w:szCs w:val="13"/>
                <w:b w:val="1"/>
                <w:bCs w:val="1"/>
                <w:color w:val="auto"/>
                <w:w w:val="98"/>
              </w:rPr>
              <w:t>Number of Shares Acquired</w:t>
            </w:r>
          </w:p>
        </w:tc>
        <w:tc>
          <w:tcPr>
            <w:tcW w:w="40" w:type="dxa"/>
            <w:vAlign w:val="bottom"/>
          </w:tcPr>
          <w:p>
            <w:pPr>
              <w:spacing w:after="0"/>
              <w:rPr>
                <w:sz w:val="10"/>
                <w:szCs w:val="10"/>
                <w:color w:val="auto"/>
              </w:rPr>
            </w:pPr>
          </w:p>
        </w:tc>
        <w:tc>
          <w:tcPr>
            <w:tcW w:w="11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Value Realized on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00" w:type="dxa"/>
            <w:vAlign w:val="bottom"/>
            <w:gridSpan w:val="2"/>
            <w:vMerge w:val="continue"/>
          </w:tcPr>
          <w:p>
            <w:pPr>
              <w:spacing w:after="0"/>
              <w:rPr>
                <w:sz w:val="14"/>
                <w:szCs w:val="14"/>
                <w:color w:val="auto"/>
              </w:rPr>
            </w:pPr>
          </w:p>
        </w:tc>
        <w:tc>
          <w:tcPr>
            <w:tcW w:w="2740" w:type="dxa"/>
            <w:vAlign w:val="bottom"/>
            <w:gridSpan w:val="2"/>
          </w:tcPr>
          <w:p>
            <w:pPr>
              <w:jc w:val="right"/>
              <w:ind w:right="1480"/>
              <w:spacing w:after="0"/>
              <w:rPr>
                <w:sz w:val="20"/>
                <w:szCs w:val="20"/>
                <w:color w:val="auto"/>
              </w:rPr>
            </w:pPr>
            <w:r>
              <w:rPr>
                <w:rFonts w:ascii="Arial" w:cs="Arial" w:eastAsia="Arial" w:hAnsi="Arial"/>
                <w:sz w:val="14"/>
                <w:szCs w:val="14"/>
                <w:b w:val="1"/>
                <w:bCs w:val="1"/>
                <w:color w:val="auto"/>
              </w:rPr>
              <w:t>on Vesting(#)</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Vesting($)</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Mr.</w:t>
            </w:r>
          </w:p>
        </w:tc>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Brian E. Mueller</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33,900</w:t>
            </w:r>
          </w:p>
        </w:tc>
        <w:tc>
          <w:tcPr>
            <w:tcW w:w="10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1,550,604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Dr. W. Stan Meyer</w:t>
            </w:r>
          </w:p>
        </w:tc>
        <w:tc>
          <w:tcPr>
            <w:tcW w:w="2740" w:type="dxa"/>
            <w:vAlign w:val="bottom"/>
            <w:gridSpan w:val="2"/>
          </w:tcPr>
          <w:p>
            <w:pPr>
              <w:jc w:val="right"/>
              <w:ind w:right="1020"/>
              <w:spacing w:after="0"/>
              <w:rPr>
                <w:sz w:val="20"/>
                <w:szCs w:val="20"/>
                <w:color w:val="auto"/>
              </w:rPr>
            </w:pPr>
            <w:r>
              <w:rPr>
                <w:rFonts w:ascii="Arial" w:cs="Arial" w:eastAsia="Arial" w:hAnsi="Arial"/>
                <w:sz w:val="18"/>
                <w:szCs w:val="18"/>
                <w:color w:val="auto"/>
              </w:rPr>
              <w:t>18,080</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826,989</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Daniel E. Bachus</w:t>
            </w:r>
          </w:p>
        </w:tc>
        <w:tc>
          <w:tcPr>
            <w:tcW w:w="27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18,080</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826,989</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Mr. Joseph N. Mildenhall</w:t>
            </w:r>
          </w:p>
        </w:tc>
        <w:tc>
          <w:tcPr>
            <w:tcW w:w="2740" w:type="dxa"/>
            <w:vAlign w:val="bottom"/>
            <w:gridSpan w:val="2"/>
          </w:tcPr>
          <w:p>
            <w:pPr>
              <w:jc w:val="right"/>
              <w:ind w:right="1020"/>
              <w:spacing w:after="0"/>
              <w:rPr>
                <w:sz w:val="20"/>
                <w:szCs w:val="20"/>
                <w:color w:val="auto"/>
              </w:rPr>
            </w:pPr>
            <w:r>
              <w:rPr>
                <w:rFonts w:ascii="Arial" w:cs="Arial" w:eastAsia="Arial" w:hAnsi="Arial"/>
                <w:sz w:val="18"/>
                <w:szCs w:val="18"/>
                <w:color w:val="auto"/>
              </w:rPr>
              <w:t>20,880</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954,557</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Brian M. Roberts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11,680</w:t>
            </w:r>
          </w:p>
        </w:tc>
        <w:tc>
          <w:tcPr>
            <w:tcW w:w="10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521,405</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Agreements</w:t>
      </w:r>
    </w:p>
    <w:p>
      <w:pPr>
        <w:spacing w:after="0" w:line="121"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We are party to employment agreements with each of our named executive officers. Each of the agreements have a four-year term that automatically renews for one year periods after the initial four-year term unless either party provides written notice that it does not wish to renew the respective agreement. On January 21, 2016, the Compensation Committee approved an amendment to the employment agreements for each of our named executive officers to re-set the term of each employment agreement, such that each agreement has been extended for an additional four-years through June 30, 2020. Except with respect to certain items of compensation, as described below, the terms of each agreement are similar in all material respects.</w:t>
      </w:r>
    </w:p>
    <w:p>
      <w:pPr>
        <w:spacing w:after="0" w:line="64" w:lineRule="exact"/>
        <w:rPr>
          <w:sz w:val="20"/>
          <w:szCs w:val="20"/>
          <w:color w:val="auto"/>
        </w:rPr>
      </w:pPr>
    </w:p>
    <w:p>
      <w:pPr>
        <w:ind w:left="900" w:right="16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agreements with each of Mr. Mueller, Dr. Meyer, Mr. Bachus, Mr. Mildenhall, and Mr. Roberts provide for a base salary and a target bonus under our Annual Cash Incentive Plan.</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agreement entitles the executive to receive customary and usual fringe benefits generally available to our senior management, and to be reimbursed for reasonable out-of-pocket business expenses.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agreement entitles the executive to certain benefits upon his or her termination of employment under specified circumstances.</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addition, each of the above employment agreements provides for payments upon certain terminations of the executive’s employment, as described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for Cause</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Each of the employment agreements provides that if the named executive officer is terminated by us for “Cause,” the named executive officer will be entitled to receive only his or her base salary then in effect, prorated to the date of termination, and all fringe benefits through the date of termination, and all of such officer’s unvested options and unvested restricted stock awards will terminate. For purposes of each of the employment agreements, “Cause” is defined as (a) acts or omissions constituting gross negligence, recklessness or willful misconduct on the part of the executive with respect to the executive’s obligations or otherwise relating to the business of the Company; (b) the executive’s material breach of the employment agreement; (c) the executive’s breach of the Company’s employee nondisclosure and assignment agreement; (d) the executive’s conviction or entry of a plea of nolo contendere for fraud, misappropriation or embezzlement, or any felony or crime of moral turpitude; (e) the executive’s inability to perform the essential functions of the executive’s position, with or without reasonable accommodation, due to a mental or physical disability; (f) the executive’s willful neglect of duties as determined in the sole and exclusive discretion of the Board of Directors, provided that the executive has received written notice of the action or omission giving rise to such determination and has failed to remedy such situation to the satisfaction of the Board of Directors within 30 days following receipt of such written notice, unless the executive’s action or omission is not subject to cure, in which case no such notice shall be required, or (g) the executive’s death.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Without Cause or Termination for Good Reason</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Each of the employment agreements provides that if the named executive officer’s employment is terminated by us without Cause, or by the executive for “Good Reason,” the named executive officer will be entitled to receive his or her base salary then in effect, pro-rated to the date of termination, as well as a severance package consisting of the following:</w:t>
      </w:r>
    </w:p>
    <w:p>
      <w:pPr>
        <w:spacing w:after="0" w:line="87" w:lineRule="exact"/>
        <w:rPr>
          <w:sz w:val="20"/>
          <w:szCs w:val="20"/>
          <w:color w:val="auto"/>
        </w:rPr>
      </w:pPr>
    </w:p>
    <w:p>
      <w:pPr>
        <w:ind w:left="900" w:right="60" w:hanging="446"/>
        <w:spacing w:after="0" w:line="297"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severance payment in an amount equal to the sum of (i) twelve (12) months of the executive’s base salary then in effect on the date of termination date (except for Mr. Roberts, whose payments would be equivalent to six (6) months of his base salary), and (ii) for Mr. Mueller, Dr. Meyer, Mr. Bachus and Mr. Mildenhall, 100% of the executive’s target bonus for the fiscal year in which the termination occurs, with the total of such amounts to be payable over twelve (12) months in equal installments in accordance with the Company’s regular payroll cycle, commencing with the first payroll date occurring on or after the sixtieth (60th) day following the date of the executive’s termination of employment;</w:t>
      </w:r>
    </w:p>
    <w:p>
      <w:pPr>
        <w:spacing w:after="0" w:line="63" w:lineRule="exact"/>
        <w:rPr>
          <w:rFonts w:ascii="Arial" w:cs="Arial" w:eastAsia="Arial" w:hAnsi="Arial"/>
          <w:sz w:val="16"/>
          <w:szCs w:val="16"/>
          <w:color w:val="auto"/>
        </w:rPr>
      </w:pPr>
    </w:p>
    <w:p>
      <w:pPr>
        <w:ind w:left="900" w:right="40" w:hanging="446"/>
        <w:spacing w:after="0" w:line="25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payment by us of the premiums required to continue the executive’s group health care coverage for a period of twelve (12) months following the executive’s termination (except for Mr. Roberts whose payments would be for a period of six (6) months following his termination) under the applicable provisions of the Consolidated Omnibus Budget Reconciliation Act (“COBRA”), provided that the executive timely elects to continue and remains eligible for these benefits under COBRA, and does not become eligible for health coverage through another employer during this period; and</w:t>
      </w:r>
    </w:p>
    <w:p>
      <w:pPr>
        <w:spacing w:after="0" w:line="93" w:lineRule="exact"/>
        <w:rPr>
          <w:rFonts w:ascii="Arial" w:cs="Arial" w:eastAsia="Arial" w:hAnsi="Arial"/>
          <w:sz w:val="18"/>
          <w:szCs w:val="18"/>
          <w:color w:val="auto"/>
        </w:rPr>
      </w:pPr>
    </w:p>
    <w:p>
      <w:pPr>
        <w:jc w:val="both"/>
        <w:ind w:left="900" w:right="420" w:hanging="446"/>
        <w:spacing w:after="0" w:line="26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 respect to Mr. Mueller, Dr. Meyer, Mr. Bachus and Mr. Mildenhall, acceleration of the vesting of the next annual installment under any outstanding stock option or restricted stock award that otherwise would have vested on the next vesting date following the named executive officer’s termination.</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To receive the severance package, the executive must: (i) comply with all surviving provisions of his or her agreement, including the non-competition, non-solicitation, and confidentiality provisions described below, and (ii) execute a full general release, releasing all claims, known or unknown, that executive may have against us arising out of or in any way related to executive’s employment or termination of employment with us. In addition, for options that previously vested, the executive has until the earlier of three months from the date of separation and the expiration of the applicable option to exercise such options.</w:t>
      </w:r>
    </w:p>
    <w:p>
      <w:pPr>
        <w:spacing w:after="0" w:line="188"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For purposes of each of the employment agreements, “Good Reason” is defined as the occurrence of any of the following conditions without the executive’s written consent, which condition remains in effect 90 days after the executive provides written notice to us of such condition: (a) a material reduction in the executive’s base salary as then in effect prior to such reduction, other than as part of a salary reduction program among similar management employees, (b) a material diminution in the executive’s authority, duties or responsibilities as an employee of the Company as they existed prior to such change, or (c) a relocation of the executive’s principal place of work that increases the executive’s one-way commute distance by more than 50 miles; provided that the executive will be deemed to have given consent to any such condition if the executive does not provide written notice to us of his or her intent to exercise such rights within 30 days following the first occurrence of such condition.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Upon a Change in Control</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Each of the employment agreements provides that if the named executive officer’s employment is terminated by us without Cause or by the executive for Good Reason, in each case upon or within twelve (12) months following a “Change in Control,” then, in addition to receiving his or her base salary then in effect, pro-rated to the date of termination, and the severance package described above, the named executive officer will also be entitled to acceleration of the vesting of all stock option and restricted stock awards held by such executive that have not yet vested as of the date of such termination. For purposes of each of the employment agreements, “Change in Control” is defined as any one of the following occurrences: (a) any “person” (as such term is used in</w:t>
      </w:r>
    </w:p>
    <w:p>
      <w:pPr>
        <w:spacing w:after="0" w:line="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Sections 13(d) and 14(d) of the Exchange Act), becomes the “beneficial owner” (as such term is defined in Rule 13d-3 promulgated under the Exchange Act), directly or indirectly, of securities of the Company representing more than 50% of the total fair market value or total combined voting power of our then-outstanding securities entitled to vote generally in the election of directors; provided, however, that a Change in Control shall not be deemed to have occurred if such degree of beneficial ownership results from any of the following: (i) an acquisition of securities by any person who on the effective date of the employment agreement was the beneficial owner of more than 50% of such voting power, (ii) any acquisition of securities directly from us including, without limitation, pursuant to or in connection with a public offering of securities, (iii) any acquisition of securities by us, (iv) any acquisition of securities by a trustee or other fiduciary under a Company employee benefit plan, or (v) any acquisition of securities by an entity owned directly or indirectly by stockholders of the Company in substantially the same proportions as their ownership of the voting securities of the Company; (b) the sale or disposition of all or substantially all of the Company’s assets (other than a sale or disposition to one or more subsidiaries of the Company), or any transaction having similar effect is consummated; (c) the Company is party to a merger or consolidation that results in the holders of voting securities of the Company outstanding immediately prior thereto failing to continue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 (d) the dissolution or liquidation of the Company.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Non-Competition and Non-Solicitation Obligations</w:t>
      </w:r>
    </w:p>
    <w:p>
      <w:pPr>
        <w:spacing w:after="0" w:line="11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Each of the employment agreements prohibits the executives from engaging in any work that creates an actual conflict of interest with us, and includes customary non-competition and non-solicitation covenants that prohibit the executives, during their employment with us and for a period of twelve</w:t>
      </w:r>
    </w:p>
    <w:p>
      <w:pPr>
        <w:ind w:right="20" w:firstLine="8"/>
        <w:spacing w:after="0" w:line="268" w:lineRule="auto"/>
        <w:tabs>
          <w:tab w:leader="none" w:pos="345" w:val="left"/>
        </w:tabs>
        <w:numPr>
          <w:ilvl w:val="0"/>
          <w:numId w:val="40"/>
        </w:numPr>
        <w:rPr>
          <w:rFonts w:ascii="Arial" w:cs="Arial" w:eastAsia="Arial" w:hAnsi="Arial"/>
          <w:sz w:val="17"/>
          <w:szCs w:val="17"/>
          <w:color w:val="auto"/>
        </w:rPr>
      </w:pPr>
      <w:r>
        <w:rPr>
          <w:rFonts w:ascii="Arial" w:cs="Arial" w:eastAsia="Arial" w:hAnsi="Arial"/>
          <w:sz w:val="17"/>
          <w:szCs w:val="17"/>
          <w:color w:val="auto"/>
        </w:rPr>
        <w:t>months thereafter, from (i) owning (except ownership of less than 1% of any class of securities which are listed for trading on any securities exchange or which are traded in the over the counter market), managing, controlling, participating in, consulting with, rendering services for, or in any manner engaging in the operation of a for-profit, postsecondary education institution or any other business that is in the same line of business as us; (ii) soliciting funds on behalf of, or for the benefit of, any for-profit, postsecondary education institution (other than us) or any other entity that competes with us; (iii) soliciting our current or prospective students to be students for any other for-profit, postsecondary education institution; (iv) inducing or attempting to induce any of our employees to leave our employ, or in any way interfering with the relationship between us and any of our employees; or (v) inducing or attempting to induce any of our students, customers, suppliers, licensees, or other business partners to cease doing business with, or modify its business relationship with, us, or in any way interfere with or hinder the relationship between any such student, customer, supplier, licensee, or business partner and us. Each of the executives has separately entered into a confidentiality agreement with us.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The following table provides information regarding the potential payments upon termination without Cause or for Good Reason, as well as upon termination without Cause or for Good Reason after a Change in Control of the Company, which would have been paid to each executive in the event he or she had been terminated as of December 31, 2015, the last business day of fiscal year 2015. All payments in connection with any such termination will comply with Section 409A of the Code, to the extent Section 409A applies. The actual amounts to be paid out can only be determined at the time of such executive’s separation from the Company.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3440" w:type="dxa"/>
            <w:vAlign w:val="bottom"/>
            <w:gridSpan w:val="9"/>
            <w:vMerge w:val="restart"/>
          </w:tcPr>
          <w:p>
            <w:pPr>
              <w:ind w:left="120"/>
              <w:spacing w:after="0"/>
              <w:rPr>
                <w:sz w:val="20"/>
                <w:szCs w:val="20"/>
                <w:color w:val="auto"/>
              </w:rPr>
            </w:pPr>
            <w:r>
              <w:rPr>
                <w:rFonts w:ascii="Arial" w:cs="Arial" w:eastAsia="Arial" w:hAnsi="Arial"/>
                <w:sz w:val="14"/>
                <w:szCs w:val="14"/>
                <w:b w:val="1"/>
                <w:bCs w:val="1"/>
                <w:color w:val="auto"/>
              </w:rPr>
              <w:t>Termination without Cause or for Good Reason</w:t>
            </w:r>
          </w:p>
        </w:tc>
        <w:tc>
          <w:tcPr>
            <w:tcW w:w="326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2"/>
              </w:rPr>
              <w:t>Termination without Cause or for Good Reason</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3440" w:type="dxa"/>
            <w:vAlign w:val="bottom"/>
            <w:gridSpan w:val="9"/>
            <w:vMerge w:val="continue"/>
          </w:tcPr>
          <w:p>
            <w:pPr>
              <w:spacing w:after="0"/>
              <w:rPr>
                <w:sz w:val="14"/>
                <w:szCs w:val="14"/>
                <w:color w:val="auto"/>
              </w:rPr>
            </w:pPr>
          </w:p>
        </w:tc>
        <w:tc>
          <w:tcPr>
            <w:tcW w:w="326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3"/>
              </w:rPr>
              <w:t>following a Change in Control</w:t>
            </w:r>
          </w:p>
        </w:tc>
        <w:tc>
          <w:tcPr>
            <w:tcW w:w="0" w:type="dxa"/>
            <w:vAlign w:val="bottom"/>
          </w:tcPr>
          <w:p>
            <w:pPr>
              <w:spacing w:after="0"/>
              <w:rPr>
                <w:sz w:val="1"/>
                <w:szCs w:val="1"/>
                <w:color w:val="auto"/>
              </w:rPr>
            </w:pPr>
          </w:p>
        </w:tc>
      </w:tr>
      <w:tr>
        <w:trPr>
          <w:trHeight w:val="119"/>
        </w:trPr>
        <w:tc>
          <w:tcPr>
            <w:tcW w:w="4720" w:type="dxa"/>
            <w:vAlign w:val="bottom"/>
          </w:tcPr>
          <w:p>
            <w:pPr>
              <w:spacing w:after="0"/>
              <w:rPr>
                <w:sz w:val="10"/>
                <w:szCs w:val="10"/>
                <w:color w:val="auto"/>
              </w:rPr>
            </w:pPr>
          </w:p>
        </w:tc>
        <w:tc>
          <w:tcPr>
            <w:tcW w:w="98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Cash</w:t>
            </w: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Acceleration of</w:t>
            </w:r>
          </w:p>
        </w:tc>
        <w:tc>
          <w:tcPr>
            <w:tcW w:w="30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Acceleration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Benefits</w:t>
            </w:r>
          </w:p>
        </w:tc>
        <w:tc>
          <w:tcPr>
            <w:tcW w:w="140" w:type="dxa"/>
            <w:vAlign w:val="bottom"/>
          </w:tcPr>
          <w:p>
            <w:pPr>
              <w:spacing w:after="0"/>
              <w:rPr>
                <w:sz w:val="12"/>
                <w:szCs w:val="12"/>
                <w:color w:val="auto"/>
              </w:rPr>
            </w:pPr>
          </w:p>
        </w:tc>
        <w:tc>
          <w:tcPr>
            <w:tcW w:w="14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Vesting of Shares</w:t>
            </w: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Cash Payment</w:t>
            </w:r>
          </w:p>
        </w:tc>
        <w:tc>
          <w:tcPr>
            <w:tcW w:w="9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7"/>
              </w:rPr>
              <w:t>Benefits</w:t>
            </w:r>
          </w:p>
        </w:tc>
        <w:tc>
          <w:tcPr>
            <w:tcW w:w="116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7"/>
              </w:rPr>
              <w:t>Vesting of Shares</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Payment</w:t>
            </w: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and Options</w:t>
            </w:r>
          </w:p>
        </w:tc>
        <w:tc>
          <w:tcPr>
            <w:tcW w:w="12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and Options</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40" w:type="dxa"/>
            <w:vAlign w:val="bottom"/>
          </w:tcPr>
          <w:p>
            <w:pPr>
              <w:spacing w:after="0"/>
              <w:rPr>
                <w:sz w:val="14"/>
                <w:szCs w:val="14"/>
                <w:color w:val="auto"/>
              </w:rPr>
            </w:pPr>
          </w:p>
        </w:tc>
        <w:tc>
          <w:tcPr>
            <w:tcW w:w="76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ind w:left="300"/>
              <w:spacing w:after="0"/>
              <w:rPr>
                <w:sz w:val="20"/>
                <w:szCs w:val="20"/>
                <w:color w:val="auto"/>
              </w:rPr>
            </w:pPr>
            <w:r>
              <w:rPr>
                <w:rFonts w:ascii="Arial" w:cs="Arial" w:eastAsia="Arial" w:hAnsi="Arial"/>
                <w:sz w:val="14"/>
                <w:szCs w:val="14"/>
                <w:b w:val="1"/>
                <w:bCs w:val="1"/>
                <w:color w:val="auto"/>
              </w:rPr>
              <w:t>($)(3)</w:t>
            </w:r>
          </w:p>
        </w:tc>
        <w:tc>
          <w:tcPr>
            <w:tcW w:w="300" w:type="dxa"/>
            <w:vAlign w:val="bottom"/>
          </w:tcPr>
          <w:p>
            <w:pPr>
              <w:spacing w:after="0"/>
              <w:rPr>
                <w:sz w:val="14"/>
                <w:szCs w:val="14"/>
                <w:color w:val="auto"/>
              </w:rPr>
            </w:pPr>
          </w:p>
        </w:tc>
        <w:tc>
          <w:tcPr>
            <w:tcW w:w="920" w:type="dxa"/>
            <w:vAlign w:val="bottom"/>
          </w:tcPr>
          <w:p>
            <w:pPr>
              <w:jc w:val="right"/>
              <w:ind w:right="218"/>
              <w:spacing w:after="0"/>
              <w:rPr>
                <w:sz w:val="20"/>
                <w:szCs w:val="20"/>
                <w:color w:val="auto"/>
              </w:rPr>
            </w:pPr>
            <w:r>
              <w:rPr>
                <w:rFonts w:ascii="Arial" w:cs="Arial" w:eastAsia="Arial" w:hAnsi="Arial"/>
                <w:sz w:val="14"/>
                <w:szCs w:val="14"/>
                <w:b w:val="1"/>
                <w:bCs w:val="1"/>
                <w:color w:val="auto"/>
              </w:rPr>
              <w:t>($)(1)</w:t>
            </w:r>
          </w:p>
        </w:tc>
        <w:tc>
          <w:tcPr>
            <w:tcW w:w="280" w:type="dxa"/>
            <w:vAlign w:val="bottom"/>
          </w:tcPr>
          <w:p>
            <w:pPr>
              <w:spacing w:after="0"/>
              <w:rPr>
                <w:sz w:val="14"/>
                <w:szCs w:val="14"/>
                <w:color w:val="auto"/>
              </w:rPr>
            </w:pPr>
          </w:p>
        </w:tc>
        <w:tc>
          <w:tcPr>
            <w:tcW w:w="600" w:type="dxa"/>
            <w:vAlign w:val="bottom"/>
          </w:tcPr>
          <w:p>
            <w:pPr>
              <w:jc w:val="right"/>
              <w:ind w:right="35"/>
              <w:spacing w:after="0"/>
              <w:rPr>
                <w:sz w:val="20"/>
                <w:szCs w:val="20"/>
                <w:color w:val="auto"/>
              </w:rPr>
            </w:pPr>
            <w:r>
              <w:rPr>
                <w:rFonts w:ascii="Arial" w:cs="Arial" w:eastAsia="Arial" w:hAnsi="Arial"/>
                <w:sz w:val="14"/>
                <w:szCs w:val="14"/>
                <w:b w:val="1"/>
                <w:bCs w:val="1"/>
                <w:color w:val="auto"/>
              </w:rPr>
              <w:t>($)(2)</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35"/>
              <w:spacing w:after="0"/>
              <w:rPr>
                <w:sz w:val="20"/>
                <w:szCs w:val="20"/>
                <w:color w:val="auto"/>
              </w:rPr>
            </w:pPr>
            <w:r>
              <w:rPr>
                <w:rFonts w:ascii="Arial" w:cs="Arial" w:eastAsia="Arial" w:hAnsi="Arial"/>
                <w:sz w:val="14"/>
                <w:szCs w:val="14"/>
                <w:b w:val="1"/>
                <w:bCs w:val="1"/>
                <w:color w:val="auto"/>
                <w:w w:val="99"/>
              </w:rPr>
              <w:t>($)(3)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Brian E. Mueller</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$ 1,284,000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$ 13,128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7"/>
              </w:rPr>
              <w:t>2,380,296</w:t>
            </w: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$ 1,284,000</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$13,128</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5,942,952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Dr. W. Stan Meyer</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656,250</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15,841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w w:val="87"/>
              </w:rPr>
              <w:t>1,269,491</w:t>
            </w:r>
          </w:p>
        </w:tc>
        <w:tc>
          <w:tcPr>
            <w:tcW w:w="3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656,250</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15,841</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3,169,574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656,250</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18,379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7"/>
              </w:rPr>
              <w:t>1,269,491</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656,250</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18,379</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Joseph N. Mildenhall</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481,250</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10,549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ind w:left="300"/>
              <w:spacing w:after="0"/>
              <w:rPr>
                <w:sz w:val="20"/>
                <w:szCs w:val="20"/>
                <w:color w:val="auto"/>
              </w:rPr>
            </w:pPr>
            <w:r>
              <w:rPr>
                <w:rFonts w:ascii="Arial" w:cs="Arial" w:eastAsia="Arial" w:hAnsi="Arial"/>
                <w:sz w:val="18"/>
                <w:szCs w:val="18"/>
                <w:color w:val="auto"/>
                <w:w w:val="87"/>
              </w:rPr>
              <w:t>1,381,827</w:t>
            </w:r>
          </w:p>
        </w:tc>
        <w:tc>
          <w:tcPr>
            <w:tcW w:w="3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481,250</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10,549</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3,394,246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Brian M. Roberts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137,500</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7,920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137,500</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7,920</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Assumes a termination date of December 31, 2015, and is based on the executive’s salary and target bonus in effect at such date.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Reflects the cost related to the continuation of the executive’s health benefits for the period specified.</w:t>
      </w:r>
    </w:p>
    <w:p>
      <w:pPr>
        <w:spacing w:after="0" w:line="9" w:lineRule="exact"/>
        <w:rPr>
          <w:rFonts w:ascii="Arial" w:cs="Arial" w:eastAsia="Arial" w:hAnsi="Arial"/>
          <w:sz w:val="18"/>
          <w:szCs w:val="18"/>
          <w:color w:val="auto"/>
        </w:rPr>
      </w:pPr>
    </w:p>
    <w:p>
      <w:pPr>
        <w:ind w:left="460" w:right="480" w:hanging="452"/>
        <w:spacing w:after="0" w:line="261"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Calculated based on an assumed termination date of December 31, 2015 and the closing market price of our common stock on the Nasdaq Global Market on such date, less the applicable exercise price for each option for which vesting is accelerated.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Compensation Committee has discussed and reviewed the Compensation Discussion and Analysis with management. Based upon this review and discussion, the Compensation Committee recommended to the Board of Directors that the Compensation Discussion and Analysis be included in this proxy statement.</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Compensation Committee: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David J. Johnson (Chair)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Jack A. Henry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Sara R. Dial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BENEFICIAL OWNERSHIP OF COMMON STOCK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the beneficial ownership of our common stock as of February 29, 2016 for:</w:t>
      </w:r>
    </w:p>
    <w:p>
      <w:pPr>
        <w:spacing w:after="0" w:line="131"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person, or group of affiliated persons, known to us to own beneficially 5% or more of our outstanding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of our directors and named executive officers as a group.</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information in the following table has been presented in accordance with the rules of the SEC. Under SEC rules, beneficial ownership of a class of capital stock includes any shares of such class as to which a person, directly or indirectly, has or shares voting power or investment power and also includes any shares as to which a person has the right to acquire such voting or investment power within 60 days of the date set forth above through the exercise of any stock option, warrant or other right. If two or more persons share voting power or investment power with respect to specific securities, each such person is deemed to be the beneficial owner of such securities. Except as we otherwise indicate below and under applicable community property laws, we believe that the beneficial owners of the common stock listed below, based on information they have furnished to us, have sole voting and investment power with respect to the shares shown. Unless otherwise noted below, the address for each holder listed below is 3300 W. Camelback Road, Phoenix, Arizona 85017.</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calculations of beneficial ownership in this table are based on 46,267,979 shares outstanding at February 29, 2016</w:t>
      </w:r>
      <w:r>
        <w:rPr>
          <w:rFonts w:ascii="Arial" w:cs="Arial" w:eastAsia="Arial" w:hAnsi="Arial"/>
          <w:sz w:val="18"/>
          <w:szCs w:val="18"/>
          <w:b w:val="1"/>
          <w:bCs w:val="1"/>
          <w:color w:val="auto"/>
        </w:rPr>
        <w:t>.</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20" w:type="dxa"/>
            <w:vAlign w:val="bottom"/>
            <w:gridSpan w:val="2"/>
          </w:tcPr>
          <w:p>
            <w:pPr>
              <w:ind w:left="1160"/>
              <w:spacing w:after="0"/>
              <w:rPr>
                <w:sz w:val="20"/>
                <w:szCs w:val="20"/>
                <w:color w:val="auto"/>
              </w:rPr>
            </w:pPr>
            <w:r>
              <w:rPr>
                <w:rFonts w:ascii="Arial" w:cs="Arial" w:eastAsia="Arial" w:hAnsi="Arial"/>
                <w:sz w:val="14"/>
                <w:szCs w:val="14"/>
                <w:b w:val="1"/>
                <w:bCs w:val="1"/>
                <w:color w:val="auto"/>
                <w:w w:val="91"/>
              </w:rPr>
              <w:t>Common Stock</w:t>
            </w: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24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Amount and Nature of</w:t>
            </w:r>
          </w:p>
        </w:tc>
        <w:tc>
          <w:tcPr>
            <w:tcW w:w="13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0"/>
              </w:rPr>
              <w:t>Percent of Class</w:t>
            </w:r>
            <w:r>
              <w:rPr>
                <w:rFonts w:ascii="Arial" w:cs="Arial" w:eastAsia="Arial" w:hAnsi="Arial"/>
                <w:sz w:val="12"/>
                <w:szCs w:val="12"/>
                <w:b w:val="1"/>
                <w:bCs w:val="1"/>
                <w:color w:val="auto"/>
                <w:w w:val="90"/>
              </w:rPr>
              <w:t>(1)</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2"/>
              </w:rPr>
              <w:t>Beneficial Ownership</w:t>
            </w:r>
          </w:p>
        </w:tc>
        <w:tc>
          <w:tcPr>
            <w:tcW w:w="1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Principal Stockholders:</w:t>
            </w:r>
          </w:p>
        </w:tc>
        <w:tc>
          <w:tcPr>
            <w:tcW w:w="36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Wells Fargo &amp; Company</w:t>
            </w:r>
            <w:r>
              <w:rPr>
                <w:rFonts w:ascii="Arial" w:cs="Arial" w:eastAsia="Arial" w:hAnsi="Arial"/>
                <w:sz w:val="15"/>
                <w:szCs w:val="15"/>
                <w:color w:val="auto"/>
              </w:rPr>
              <w:t>(2)</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5,057,995</w:t>
            </w:r>
          </w:p>
        </w:tc>
        <w:tc>
          <w:tcPr>
            <w:tcW w:w="720" w:type="dxa"/>
            <w:vAlign w:val="bottom"/>
          </w:tcPr>
          <w:p>
            <w:pPr>
              <w:spacing w:after="0"/>
              <w:rPr>
                <w:sz w:val="18"/>
                <w:szCs w:val="18"/>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The Vanguard Group – 23-1945930</w:t>
            </w:r>
            <w:r>
              <w:rPr>
                <w:rFonts w:ascii="Arial" w:cs="Arial" w:eastAsia="Arial" w:hAnsi="Arial"/>
                <w:sz w:val="15"/>
                <w:szCs w:val="15"/>
                <w:color w:val="auto"/>
              </w:rPr>
              <w:t>(3)</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3,374,517</w:t>
            </w:r>
          </w:p>
        </w:tc>
        <w:tc>
          <w:tcPr>
            <w:tcW w:w="7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Riverbridge Partners LLC</w:t>
            </w:r>
            <w:r>
              <w:rPr>
                <w:rFonts w:ascii="Arial" w:cs="Arial" w:eastAsia="Arial" w:hAnsi="Arial"/>
                <w:sz w:val="15"/>
                <w:szCs w:val="15"/>
                <w:color w:val="auto"/>
              </w:rPr>
              <w:t>(4)</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3,136,760</w:t>
            </w:r>
          </w:p>
        </w:tc>
        <w:tc>
          <w:tcPr>
            <w:tcW w:w="720" w:type="dxa"/>
            <w:vAlign w:val="bottom"/>
          </w:tcPr>
          <w:p>
            <w:pPr>
              <w:spacing w:after="0"/>
              <w:rPr>
                <w:sz w:val="18"/>
                <w:szCs w:val="18"/>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BlackRock Inc.</w:t>
            </w:r>
            <w:r>
              <w:rPr>
                <w:rFonts w:ascii="Arial" w:cs="Arial" w:eastAsia="Arial" w:hAnsi="Arial"/>
                <w:sz w:val="15"/>
                <w:szCs w:val="15"/>
                <w:color w:val="auto"/>
              </w:rPr>
              <w:t>(5)</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2,552,649</w:t>
            </w:r>
          </w:p>
        </w:tc>
        <w:tc>
          <w:tcPr>
            <w:tcW w:w="7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Van Berkom &amp; Associates Inc.</w:t>
            </w:r>
            <w:r>
              <w:rPr>
                <w:rFonts w:ascii="Arial" w:cs="Arial" w:eastAsia="Arial" w:hAnsi="Arial"/>
                <w:sz w:val="15"/>
                <w:szCs w:val="15"/>
                <w:color w:val="auto"/>
              </w:rPr>
              <w:t>(6)</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2,386,824</w:t>
            </w:r>
          </w:p>
        </w:tc>
        <w:tc>
          <w:tcPr>
            <w:tcW w:w="720" w:type="dxa"/>
            <w:vAlign w:val="bottom"/>
          </w:tcPr>
          <w:p>
            <w:pPr>
              <w:spacing w:after="0"/>
              <w:rPr>
                <w:sz w:val="18"/>
                <w:szCs w:val="18"/>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Brent D. Richardson</w:t>
            </w:r>
            <w:r>
              <w:rPr>
                <w:rFonts w:ascii="Arial" w:cs="Arial" w:eastAsia="Arial" w:hAnsi="Arial"/>
                <w:sz w:val="15"/>
                <w:szCs w:val="15"/>
                <w:color w:val="auto"/>
              </w:rPr>
              <w:t>(7)</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110,504</w:t>
            </w:r>
          </w:p>
        </w:tc>
        <w:tc>
          <w:tcPr>
            <w:tcW w:w="720" w:type="dxa"/>
            <w:vAlign w:val="bottom"/>
          </w:tcPr>
          <w:p>
            <w:pPr>
              <w:spacing w:after="0"/>
              <w:rPr>
                <w:sz w:val="18"/>
                <w:szCs w:val="18"/>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Brian E. Mueller</w:t>
            </w:r>
            <w:r>
              <w:rPr>
                <w:rFonts w:ascii="Arial" w:cs="Arial" w:eastAsia="Arial" w:hAnsi="Arial"/>
                <w:sz w:val="15"/>
                <w:szCs w:val="15"/>
                <w:color w:val="auto"/>
              </w:rPr>
              <w:t>(8)</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1,138,650</w:t>
            </w:r>
          </w:p>
        </w:tc>
        <w:tc>
          <w:tcPr>
            <w:tcW w:w="7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Dr. W. Stan Meyer</w:t>
            </w:r>
            <w:r>
              <w:rPr>
                <w:rFonts w:ascii="Arial" w:cs="Arial" w:eastAsia="Arial" w:hAnsi="Arial"/>
                <w:sz w:val="15"/>
                <w:szCs w:val="15"/>
                <w:color w:val="auto"/>
              </w:rPr>
              <w:t>(8)</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457,376</w:t>
            </w:r>
          </w:p>
        </w:tc>
        <w:tc>
          <w:tcPr>
            <w:tcW w:w="720" w:type="dxa"/>
            <w:vAlign w:val="bottom"/>
          </w:tcPr>
          <w:p>
            <w:pPr>
              <w:spacing w:after="0"/>
              <w:rPr>
                <w:sz w:val="18"/>
                <w:szCs w:val="18"/>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Daniel E. Bachus</w:t>
            </w:r>
            <w:r>
              <w:rPr>
                <w:rFonts w:ascii="Arial" w:cs="Arial" w:eastAsia="Arial" w:hAnsi="Arial"/>
                <w:sz w:val="15"/>
                <w:szCs w:val="15"/>
                <w:color w:val="auto"/>
              </w:rPr>
              <w:t>(8)</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392,555</w:t>
            </w:r>
          </w:p>
        </w:tc>
        <w:tc>
          <w:tcPr>
            <w:tcW w:w="7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Joseph N. Mildenhall</w:t>
            </w:r>
            <w:r>
              <w:rPr>
                <w:rFonts w:ascii="Arial" w:cs="Arial" w:eastAsia="Arial" w:hAnsi="Arial"/>
                <w:sz w:val="15"/>
                <w:szCs w:val="15"/>
                <w:color w:val="auto"/>
              </w:rPr>
              <w:t>(8)</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219,756</w:t>
            </w:r>
          </w:p>
        </w:tc>
        <w:tc>
          <w:tcPr>
            <w:tcW w:w="720" w:type="dxa"/>
            <w:vAlign w:val="bottom"/>
          </w:tcPr>
          <w:p>
            <w:pPr>
              <w:spacing w:after="0"/>
              <w:rPr>
                <w:sz w:val="18"/>
                <w:szCs w:val="18"/>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Brian M. Roberts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63,947</w:t>
            </w:r>
          </w:p>
        </w:tc>
        <w:tc>
          <w:tcPr>
            <w:tcW w:w="7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David J. Johnson</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11,326</w:t>
            </w:r>
          </w:p>
        </w:tc>
        <w:tc>
          <w:tcPr>
            <w:tcW w:w="7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Jack A. Henry</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16,866</w:t>
            </w:r>
          </w:p>
        </w:tc>
        <w:tc>
          <w:tcPr>
            <w:tcW w:w="7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Bradley A. Casper</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9,988</w:t>
            </w:r>
          </w:p>
        </w:tc>
        <w:tc>
          <w:tcPr>
            <w:tcW w:w="7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Kevin F. Warren</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6,224</w:t>
            </w:r>
          </w:p>
        </w:tc>
        <w:tc>
          <w:tcPr>
            <w:tcW w:w="7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Sara R. Dial</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6,155</w:t>
            </w:r>
          </w:p>
        </w:tc>
        <w:tc>
          <w:tcPr>
            <w:tcW w:w="7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All directors and executive officers as a group (11 persons)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2,433,347</w:t>
            </w:r>
          </w:p>
        </w:tc>
        <w:tc>
          <w:tcPr>
            <w:tcW w:w="7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beneficial ownership of less than 0.1%</w:t>
      </w:r>
    </w:p>
    <w:p>
      <w:pPr>
        <w:spacing w:after="0" w:line="23" w:lineRule="exact"/>
        <w:rPr>
          <w:sz w:val="20"/>
          <w:szCs w:val="20"/>
          <w:color w:val="auto"/>
        </w:rPr>
      </w:pPr>
    </w:p>
    <w:p>
      <w:pPr>
        <w:ind w:left="460" w:right="20" w:hanging="452"/>
        <w:spacing w:after="0" w:line="253"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percentage of beneficial ownership as to any person as of a particular date is calculated by dividing the number of shares beneficially owned by such person, which includes the number of shares as to which such person has the right to acquire voting or investment power within 60 days after such date, by the sum of the number of shares outstanding as of such date plus the number of shares as to which such person has the right to acquire voting or investment power within 60 days after such date. Consequently, the denominator for calculating beneficial ownership percentages may be different for each beneficial owner.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580" w:hanging="452"/>
        <w:spacing w:after="0" w:line="25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information for Wells Fargo &amp; Company is based on a Schedule 13G/A filed with the Securities and Exchange Commission on January 13, 2016. The address for Wells Fargo &amp; Company is 420 Montgomery Street, San Francisco, CA 94104.</w:t>
      </w:r>
    </w:p>
    <w:p>
      <w:pPr>
        <w:spacing w:after="0" w:line="1" w:lineRule="exact"/>
        <w:rPr>
          <w:rFonts w:ascii="Arial" w:cs="Arial" w:eastAsia="Arial" w:hAnsi="Arial"/>
          <w:sz w:val="18"/>
          <w:szCs w:val="18"/>
          <w:color w:val="auto"/>
        </w:rPr>
      </w:pPr>
    </w:p>
    <w:p>
      <w:pPr>
        <w:ind w:left="460" w:right="680" w:hanging="452"/>
        <w:spacing w:after="0" w:line="265" w:lineRule="auto"/>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This information for The Vanguard Group – 23-1945930 is based on a Schedule 13G/A filed with the Securities and Exchange Commission on February 10, 2016. The address for The Vanguard Group – 23-1945930 is 100 Vanguard Blvd., Malvern, PA 19355.</w:t>
      </w:r>
    </w:p>
    <w:p>
      <w:pPr>
        <w:ind w:left="460" w:right="480" w:hanging="452"/>
        <w:spacing w:after="0" w:line="250"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information for Riverbridge Partners LLC is based on a Schedule 13G/A filed with the Securities and Exchange Commission on February 1, 2016. The address for Riverbridge Partners is 80 South Eighth St., Suite 1200, Minneapolis, MN 55402.</w:t>
      </w:r>
    </w:p>
    <w:p>
      <w:pPr>
        <w:ind w:left="460" w:right="480" w:hanging="452"/>
        <w:spacing w:after="0" w:line="250"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information for BlackRock Inc. is based on a Schedule 13G/A filed with the Securities and Exchange Commission on January 22, 2016. The address for BlackRock Inc. is 55 East 52</w:t>
      </w:r>
      <w:r>
        <w:rPr>
          <w:rFonts w:ascii="Arial" w:cs="Arial" w:eastAsia="Arial" w:hAnsi="Arial"/>
          <w:sz w:val="15"/>
          <w:szCs w:val="15"/>
          <w:color w:val="auto"/>
        </w:rPr>
        <w:t>nd</w:t>
      </w:r>
      <w:r>
        <w:rPr>
          <w:rFonts w:ascii="Arial" w:cs="Arial" w:eastAsia="Arial" w:hAnsi="Arial"/>
          <w:sz w:val="18"/>
          <w:szCs w:val="18"/>
          <w:color w:val="auto"/>
        </w:rPr>
        <w:t xml:space="preserve"> Street, New York, NY 10055.</w:t>
      </w:r>
    </w:p>
    <w:p>
      <w:pPr>
        <w:ind w:left="460" w:right="320" w:hanging="452"/>
        <w:spacing w:after="0" w:line="265" w:lineRule="auto"/>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This information for Van Berkom &amp; Associates Inc. is based on a Schedule 13G filed with the Securities and Exchange Commission on February 3, 2016. The address for Van Berkom &amp; Associates Inc. is 1130 Sherbrooke Street West, Suite 1005, Montreal, Quebec H3A 2M8.</w:t>
      </w:r>
    </w:p>
    <w:p>
      <w:pPr>
        <w:ind w:left="460" w:right="640" w:hanging="452"/>
        <w:spacing w:after="0" w:line="250"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Consists of 110,504 shares of common stock held of record by Exeter Capital, LLC, a limited liability company of which Mr. Richardson is the manager, which are attributable to, and beneficially owned by, Mr. Richardson.</w:t>
      </w:r>
    </w:p>
    <w:p>
      <w:pPr>
        <w:jc w:val="both"/>
        <w:ind w:left="460" w:right="20" w:hanging="452"/>
        <w:spacing w:after="0" w:line="255"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Mr. Mueller, Dr. Meyer, Mr. Bachus and Mr. Mildenhall, includes the following number of shares that may be acquired upon the exercise of options that are exercisable within 60 days of February 29, 2016: Mr. Mueller (30,000 shares); Dr. Meyer (16,000 shares); Mr. Bachus (16,000 shares); and Mr. Mildenhall (16,000 shares).</w:t>
      </w:r>
    </w:p>
    <w:p>
      <w:pPr>
        <w:spacing w:after="0" w:line="200" w:lineRule="exact"/>
        <w:rPr>
          <w:sz w:val="20"/>
          <w:szCs w:val="20"/>
          <w:color w:val="auto"/>
        </w:rPr>
      </w:pPr>
    </w:p>
    <w:p>
      <w:pPr>
        <w:spacing w:after="0" w:line="202"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We have adopted a written related party transactions policy, pursuant to which our executive officers, directors and principal stockholders, including their immediate family members, are not permitted to enter into a related party transaction with us without the prior consent of our Audit Committee. Any request for us to enter into a transaction with an executive officer, director, principal stockholder or any of such persons’ immediate family members or affiliates, in which the amount involved exceeds $120,000 must be presented to our Audit Committee for review, consideration and approval. All of our directors, executive officers and employees are required to report to our Audit Committee any such related party transaction. In approving or rejecting the proposed agreement, our Audit Committee will take into account, among other factors it deems appropriate, whether the transaction is on terms no less favorable than terms generally available to an unaffiliated third-party under the same or similar circumstances and the extent of the related party’s interest in the transaction. Under the policy, if we should discover related party transactions that have not been pre-approved, the Audit Committee will be notified and will determine the appropriate action, including ratification, rescission or amendment of the transaction. In addition, under the policy, certain types of transactions have been pre-approved by the Audit Committee, including employment arrangements with executive officers, director compensation, transactions where all stockholders receive proportional benefits, transactions involving competitive bids, regulated transactions, and banking-related service transactions.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Transactions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Set forth below is a summary of certain transactions since January 1, 2015, in which the Company was or is to be a participant and involving our directors, executive officers, beneficial owners of more than 5% of our common stock, and some of the entities with which the foregoing persons are affiliated or associated, and in which the amount involved exceeds or will exceed $120,000.</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Mind Streams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was a party to a revenue sharing arrangement with Mind Streams, L.L.C. (Mind Streams), which is owned and operated, in part, by Gail Richardson, the father of Brent D. Richardson, our Chairman of the Board. Pursuant to this agreement and in accordance with the applicable rules and regulations of the Department of Education, we pay to Mind Streams a percentage of the net revenue that we receive from applicants to Grand Canyon University who were recruited by Mind Streams and who matriculate at the University. Mind Streams bears all costs associated with the recruitment of these applicants. For the year ended December 31, 2015, we expensed approximately $1.6 million pursuant to this agreement and, as of December 31, 2015, approximately $0.2 million was due to Mind Streams.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Section 16(a) of the Exchange Act requires that our Company’s directors and executive officers and beneficial owners of more than 10% of the Company’s common stock file initial reports of ownership and reports of changes in ownership with the SEC. Directors and executive officers are required to furnish the Company with copies of all Section 16(a) forms they file. Based solely on a review of the copies of such forms furnished to the Company and written representations from our Company’s directors and executive officers, all reports required by Section 16(a) were filed on a timely basis for the fiscal year ended December 31, 2015.</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SEC has adopted rules that permit companies and intermediaries such as brokers to satisfy delivery requirements for annual reports, proxy statements, and Notices of Internet Availability of Proxy Materials with respect to two or more stockholders sharing the same address by delivering a single annual report, proxy statement, or Notice of Internet Availability of Proxy Materials addressed to those stockholders. This process, which is commonly referred to as “householding,” potentially provides extra convenience for stockholders and cost savings for companies. Brokers with account holders who are stockholders of the Company may be householding the Company’s proxy materials. Once you have received notice from your broker that it will be householding materials to your address, householding will continue until you are notified otherwise or until you revoke your consent. If, at any time, you no longer wish to participate in householding and would prefer to receive a separate annual report, proxy statement, or Notice of Internet Availability of Proxy Materials or if you are receiving multiple copies thereof and wish to receive only one, please notify your broker or notify the Company by sending a written request to Grand Canyon Education, Inc., 3300 W. Camelback Road, Phoenix, Arizona, 85017, Attn: Investor Relations, or by calling (602) 639-7500.</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right="300" w:firstLine="456"/>
        <w:spacing w:after="0" w:line="288" w:lineRule="auto"/>
        <w:rPr>
          <w:sz w:val="20"/>
          <w:szCs w:val="20"/>
          <w:color w:val="auto"/>
        </w:rPr>
      </w:pPr>
      <w:r>
        <w:rPr>
          <w:rFonts w:ascii="Arial" w:cs="Arial" w:eastAsia="Arial" w:hAnsi="Arial"/>
          <w:sz w:val="16"/>
          <w:szCs w:val="16"/>
          <w:color w:val="auto"/>
        </w:rPr>
        <w:t xml:space="preserve">Our 2015 annual report and our Annual Report on Form 10-K for fiscal year 2015, including financial statements, are available electronically along with our proxy statement to all stockholders of record as of March 21, 2016, including those stockholders whose shares are held in a brokerage, bank or similar account, who will receive the same mailing from the organization holding the account. </w:t>
      </w:r>
      <w:r>
        <w:rPr>
          <w:rFonts w:ascii="Arial" w:cs="Arial" w:eastAsia="Arial" w:hAnsi="Arial"/>
          <w:sz w:val="16"/>
          <w:szCs w:val="16"/>
          <w:b w:val="1"/>
          <w:bCs w:val="1"/>
          <w:color w:val="auto"/>
        </w:rPr>
        <w:t>Stockholders who wish to obtain a copy of our Annual</w:t>
      </w:r>
    </w:p>
    <w:p>
      <w:pPr>
        <w:ind w:right="560"/>
        <w:spacing w:after="0" w:line="261" w:lineRule="auto"/>
        <w:rPr>
          <w:sz w:val="20"/>
          <w:szCs w:val="20"/>
          <w:color w:val="auto"/>
        </w:rPr>
      </w:pPr>
      <w:r>
        <w:rPr>
          <w:rFonts w:ascii="Arial" w:cs="Arial" w:eastAsia="Arial" w:hAnsi="Arial"/>
          <w:sz w:val="18"/>
          <w:szCs w:val="18"/>
          <w:b w:val="1"/>
          <w:bCs w:val="1"/>
          <w:color w:val="auto"/>
        </w:rPr>
        <w:t>Report on Form 10-K, for the fiscal year ended December 31, 2015, and our proxy statement may do so without charge by writing to Investor Relations, Grand Canyon Education, Inc., 3300 W. Camelback Road, Phoenix, Arizona 85017.</w:t>
      </w:r>
    </w:p>
    <w:p>
      <w:pPr>
        <w:spacing w:after="0" w:line="184"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As of the date of this proxy statement, management knows of no matters that will be presented for determination at the Annual Meeting other than those referred to herein. If any other matters properly come before the Annual Meeting calling for a vote of stockholders, it is intended that the persons named in the proxies solicited by our Board of Directors, in accordance with their best judgment, will vote the shares represented by these proxies.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April 29, 2016</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GRAND CANYON EDUCATION,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 a Delaware corporation (the “Corporation”), hereby certifies that:</w:t>
      </w:r>
    </w:p>
    <w:p>
      <w:pPr>
        <w:spacing w:after="0" w:line="131"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Section C of Article VI of the Amended and Restated Certificate of Incorporation of the Corporation is hereby deleted in its entirety, as follows:</w:t>
      </w:r>
    </w:p>
    <w:p>
      <w:pPr>
        <w:spacing w:after="0" w:line="236" w:lineRule="exact"/>
        <w:rPr>
          <w:rFonts w:ascii="Arial" w:cs="Arial" w:eastAsia="Arial" w:hAnsi="Arial"/>
          <w:sz w:val="17"/>
          <w:szCs w:val="17"/>
          <w:color w:val="auto"/>
        </w:rPr>
      </w:pPr>
    </w:p>
    <w:p>
      <w:pPr>
        <w:ind w:right="40" w:firstLine="456"/>
        <w:spacing w:after="0" w:line="286" w:lineRule="auto"/>
        <w:rPr>
          <w:rFonts w:ascii="Arial" w:cs="Arial" w:eastAsia="Arial" w:hAnsi="Arial"/>
          <w:sz w:val="17"/>
          <w:szCs w:val="17"/>
          <w:color w:val="auto"/>
        </w:rPr>
      </w:pPr>
      <w:r>
        <w:rPr>
          <w:rFonts w:ascii="Arial" w:cs="Arial" w:eastAsia="Arial" w:hAnsi="Arial"/>
          <w:sz w:val="17"/>
          <w:szCs w:val="17"/>
          <w:color w:val="auto"/>
          <w:strike w:val="1"/>
        </w:rPr>
        <w:t>C. Subject to the rights of the holders of any series of Preferred Stock then outstanding, any directors, or the entire Board of Directors, may be removed from office at any time, but only for cause and only by the affirmative vote of the holders of at least a majority of the voting power of all of the then outstanding shares of capital stock of the Corporation entitled to vote generally in the election of directors, voting together as a single class.</w:t>
      </w:r>
    </w:p>
    <w:p>
      <w:pPr>
        <w:spacing w:after="0" w:line="70" w:lineRule="exact"/>
        <w:rPr>
          <w:rFonts w:ascii="Arial" w:cs="Arial" w:eastAsia="Arial" w:hAnsi="Arial"/>
          <w:sz w:val="17"/>
          <w:szCs w:val="17"/>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foregoing amendment was duly adopted in accordance with the provisions of Section 242 of the Delaware General Corporation Law.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witness whereof, the Corporation has caused this certificate to be signed by its duly authorized officer on the date set forth below.</w:t>
      </w:r>
    </w:p>
    <w:p>
      <w:pPr>
        <w:spacing w:after="0" w:line="27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GRAND CANYON EDUCATION,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A-2</w:t>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lvl w:ilvl="1">
      <w:lvlJc w:val="left"/>
      <w:lvlText w:val="(%2)"/>
      <w:numFmt w:val="decimal"/>
      <w:start w:val="1"/>
    </w:lvl>
  </w:abstractNum>
  <w:abstractNum w:abstractNumId="4">
    <w:nsid w:val="4353D0CD"/>
    <w:multiLevelType w:val="hybridMultilevel"/>
    <w:lvl w:ilvl="0">
      <w:lvlJc w:val="left"/>
      <w:lvlText w:val="(%1)"/>
      <w:numFmt w:val="decimal"/>
      <w:start w:val="3"/>
    </w:lvl>
  </w:abstractNum>
  <w:abstractNum w:abstractNumId="5">
    <w:nsid w:val="B03E0C6"/>
    <w:multiLevelType w:val="hybridMultilevel"/>
    <w:lvl w:ilvl="0">
      <w:lvlJc w:val="left"/>
      <w:lvlText w:val="%1."/>
      <w:numFmt w:val="decimal"/>
      <w:start w:val="1"/>
    </w:lvl>
    <w:lvl w:ilvl="1">
      <w:lvlJc w:val="left"/>
      <w:lvlText w:val="%2."/>
      <w:numFmt w:val="lowerLetter"/>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1)"/>
      <w:numFmt w:val="lowerRoman"/>
      <w:start w:val="17"/>
    </w:lvl>
  </w:abstractNum>
  <w:abstractNum w:abstractNumId="15">
    <w:nsid w:val="7C3DBD3D"/>
    <w:multiLevelType w:val="hybridMultilevel"/>
    <w:lvl w:ilvl="0">
      <w:lvlJc w:val="left"/>
      <w:lvlText w:val="(%1)"/>
      <w:numFmt w:val="lowerRoman"/>
      <w:start w:val="27"/>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1)"/>
      <w:numFmt w:val="lowerLetter"/>
      <w:start w:val="2"/>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1"/>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decimal"/>
      <w:start w:val="2"/>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1)"/>
      <w:numFmt w:val="decimal"/>
      <w:start w:val="12"/>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1)"/>
      <w:numFmt w:val="decimal"/>
      <w:start w:val="1"/>
    </w:lvl>
  </w:abstractNum>
  <w:abstractNum w:abstractNumId="44">
    <w:nsid w:val="7A6D8D3C"/>
    <w:multiLevelType w:val="hybridMultilevel"/>
    <w:lvl w:ilvl="0">
      <w:lvlJc w:val="left"/>
      <w:lvlText w:val="(%1)"/>
      <w:numFmt w:val="decimal"/>
      <w:start w:val="2"/>
    </w:lvl>
  </w:abstractNum>
  <w:abstractNum w:abstractNumId="45">
    <w:nsid w:val="4B588F54"/>
    <w:multiLevelType w:val="hybridMultilevel"/>
    <w:lvl w:ilvl="0">
      <w:lvlJc w:val="left"/>
      <w:lvlText w:val="%1."/>
      <w:numFmt w:val="decimal"/>
      <w:start w:val="1"/>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2019-12-08T17:32:45Z</dcterms:created>
  <dcterms:modified xsi:type="dcterms:W3CDTF">2019-12-08T17:32:45Z</dcterms:modified>
</cp:coreProperties>
</file>