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1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194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Richardson Christopher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02/11/2011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63"/>
        <w:spacing w:after="0"/>
        <w:rPr>
          <w:sz w:val="20"/>
          <w:szCs w:val="20"/>
          <w:color w:val="auto"/>
        </w:rPr>
      </w:pPr>
      <w:r>
        <w:rPr>
          <w:rFonts w:ascii="Arial" w:cs="Arial" w:eastAsia="Arial" w:hAnsi="Arial"/>
          <w:sz w:val="18"/>
          <w:szCs w:val="18"/>
          <w:color w:val="0000FF"/>
        </w:rPr>
        <w:t>General Counsel</w:t>
      </w:r>
    </w:p>
    <w:p>
      <w:pPr>
        <w:spacing w:after="0" w:line="267"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00" w:type="dxa"/>
            <w:vAlign w:val="bottom"/>
            <w:gridSpan w:val="7"/>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00" w:type="dxa"/>
            <w:vAlign w:val="bottom"/>
            <w:gridSpan w:val="10"/>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0" w:type="dxa"/>
            <w:vAlign w:val="bottom"/>
            <w:gridSpan w:val="7"/>
            <w:vMerge w:val="continue"/>
          </w:tcPr>
          <w:p>
            <w:pPr>
              <w:spacing w:after="0"/>
              <w:rPr>
                <w:sz w:val="11"/>
                <w:szCs w:val="11"/>
                <w:color w:val="auto"/>
              </w:rPr>
            </w:pPr>
          </w:p>
        </w:tc>
        <w:tc>
          <w:tcPr>
            <w:tcW w:w="39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0" w:type="dxa"/>
            <w:vAlign w:val="bottom"/>
            <w:gridSpan w:val="4"/>
          </w:tcPr>
          <w:p>
            <w:pPr>
              <w:ind w:left="540"/>
              <w:spacing w:after="0" w:line="155" w:lineRule="exact"/>
              <w:rPr>
                <w:sz w:val="20"/>
                <w:szCs w:val="20"/>
                <w:color w:val="auto"/>
              </w:rPr>
            </w:pPr>
            <w:r>
              <w:rPr>
                <w:rFonts w:ascii="Arial" w:cs="Arial" w:eastAsia="Arial" w:hAnsi="Arial"/>
                <w:sz w:val="14"/>
                <w:szCs w:val="14"/>
                <w:color w:val="auto"/>
              </w:rPr>
              <w:t>Line)</w:t>
            </w: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PHOENIX</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AZ</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85017</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160" w:type="dxa"/>
            <w:vAlign w:val="bottom"/>
            <w:gridSpan w:val="7"/>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vMerge w:val="restart"/>
          </w:tcPr>
          <w:p>
            <w:pPr>
              <w:spacing w:after="0"/>
              <w:rPr>
                <w:sz w:val="12"/>
                <w:szCs w:val="12"/>
                <w:color w:val="auto"/>
              </w:rPr>
            </w:pPr>
          </w:p>
        </w:tc>
        <w:tc>
          <w:tcPr>
            <w:tcW w:w="3160" w:type="dxa"/>
            <w:vAlign w:val="bottom"/>
            <w:gridSpan w:val="7"/>
            <w:vMerge w:val="restart"/>
          </w:tcPr>
          <w:p>
            <w:pPr>
              <w:ind w:left="3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16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2"/>
          </w:tcPr>
          <w:p>
            <w:pPr>
              <w:ind w:left="360"/>
              <w:spacing w:after="0"/>
              <w:rPr>
                <w:sz w:val="20"/>
                <w:szCs w:val="20"/>
                <w:color w:val="auto"/>
              </w:rPr>
            </w:pPr>
            <w:r>
              <w:rPr>
                <w:rFonts w:ascii="Arial" w:cs="Arial" w:eastAsia="Arial" w:hAnsi="Arial"/>
                <w:sz w:val="14"/>
                <w:szCs w:val="14"/>
                <w:color w:val="auto"/>
              </w:rPr>
              <w:t>Person</w:t>
            </w: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1440" w:type="dxa"/>
            <w:vAlign w:val="bottom"/>
            <w:tcBorders>
              <w:bottom w:val="single" w:sz="8" w:color="2C2C2C"/>
            </w:tcBorders>
            <w:gridSpan w:val="3"/>
          </w:tcPr>
          <w:p>
            <w:pPr>
              <w:spacing w:after="0"/>
              <w:rPr>
                <w:sz w:val="11"/>
                <w:szCs w:val="11"/>
                <w:color w:val="auto"/>
              </w:rPr>
            </w:pPr>
          </w:p>
        </w:tc>
        <w:tc>
          <w:tcPr>
            <w:tcW w:w="2800" w:type="dxa"/>
            <w:vAlign w:val="bottom"/>
            <w:tcBorders>
              <w:bottom w:val="single" w:sz="8" w:color="2C2C2C"/>
            </w:tcBorders>
            <w:gridSpan w:val="5"/>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840" w:type="dxa"/>
            <w:vAlign w:val="bottom"/>
            <w:tcBorders>
              <w:top w:val="single" w:sz="8" w:color="2C2C2C"/>
            </w:tcBorders>
            <w:gridSpan w:val="14"/>
          </w:tcPr>
          <w:p>
            <w:pPr>
              <w:jc w:val="center"/>
              <w:ind w:left="2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6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Calle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0" w:type="dxa"/>
            <w:vAlign w:val="bottom"/>
            <w:gridSpan w:val="2"/>
            <w:vMerge w:val="restart"/>
          </w:tcPr>
          <w:p>
            <w:pPr>
              <w:ind w:left="600"/>
              <w:spacing w:after="0"/>
              <w:rPr>
                <w:sz w:val="20"/>
                <w:szCs w:val="20"/>
                <w:color w:val="auto"/>
              </w:rPr>
            </w:pPr>
            <w:r>
              <w:rPr>
                <w:rFonts w:ascii="Arial" w:cs="Arial" w:eastAsia="Arial" w:hAnsi="Arial"/>
                <w:sz w:val="18"/>
                <w:szCs w:val="18"/>
                <w:color w:val="0000FF"/>
              </w:rPr>
              <w:t>02/11/2011</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172"/>
              <w:spacing w:after="0"/>
              <w:rPr>
                <w:sz w:val="20"/>
                <w:szCs w:val="20"/>
                <w:color w:val="auto"/>
              </w:rPr>
            </w:pPr>
            <w:r>
              <w:rPr>
                <w:rFonts w:ascii="Arial" w:cs="Arial" w:eastAsia="Arial" w:hAnsi="Arial"/>
                <w:sz w:val="18"/>
                <w:szCs w:val="18"/>
                <w:color w:val="0000FF"/>
              </w:rPr>
              <w:t>5,236</w:t>
            </w:r>
          </w:p>
        </w:tc>
        <w:tc>
          <w:tcPr>
            <w:tcW w:w="500" w:type="dxa"/>
            <w:vAlign w:val="bottom"/>
            <w:vMerge w:val="restart"/>
          </w:tcPr>
          <w:p>
            <w:pPr>
              <w:ind w:left="160"/>
              <w:spacing w:after="0"/>
              <w:rPr>
                <w:sz w:val="20"/>
                <w:szCs w:val="20"/>
                <w:color w:val="auto"/>
              </w:rPr>
            </w:pPr>
            <w:r>
              <w:rPr>
                <w:rFonts w:ascii="Arial" w:cs="Arial" w:eastAsia="Arial" w:hAnsi="Arial"/>
                <w:sz w:val="18"/>
                <w:szCs w:val="18"/>
                <w:color w:val="0000FF"/>
              </w:rPr>
              <w:t>D</w:t>
            </w:r>
          </w:p>
        </w:tc>
        <w:tc>
          <w:tcPr>
            <w:tcW w:w="680" w:type="dxa"/>
            <w:vAlign w:val="bottom"/>
            <w:gridSpan w:val="2"/>
            <w:vMerge w:val="restart"/>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19.01</w:t>
            </w:r>
            <w:r>
              <w:rPr>
                <w:rFonts w:ascii="Arial" w:cs="Arial" w:eastAsia="Arial" w:hAnsi="Arial"/>
                <w:sz w:val="22"/>
                <w:szCs w:val="22"/>
                <w:color w:val="008000"/>
                <w:w w:val="87"/>
                <w:vertAlign w:val="superscript"/>
              </w:rPr>
              <w:t>(2)</w:t>
            </w:r>
          </w:p>
        </w:tc>
        <w:tc>
          <w:tcPr>
            <w:tcW w:w="1280" w:type="dxa"/>
            <w:vAlign w:val="bottom"/>
            <w:gridSpan w:val="3"/>
            <w:vMerge w:val="restart"/>
          </w:tcPr>
          <w:p>
            <w:pPr>
              <w:ind w:left="280"/>
              <w:spacing w:after="0"/>
              <w:rPr>
                <w:sz w:val="20"/>
                <w:szCs w:val="20"/>
                <w:color w:val="auto"/>
              </w:rPr>
            </w:pPr>
            <w:r>
              <w:rPr>
                <w:rFonts w:ascii="Arial" w:cs="Arial" w:eastAsia="Arial" w:hAnsi="Arial"/>
                <w:sz w:val="18"/>
                <w:szCs w:val="18"/>
                <w:color w:val="0000FF"/>
              </w:rPr>
              <w:t>2,601,818</w:t>
            </w:r>
          </w:p>
        </w:tc>
        <w:tc>
          <w:tcPr>
            <w:tcW w:w="340" w:type="dxa"/>
            <w:vAlign w:val="bottom"/>
          </w:tcPr>
          <w:p>
            <w:pPr>
              <w:spacing w:after="0"/>
              <w:rPr>
                <w:sz w:val="18"/>
                <w:szCs w:val="18"/>
                <w:color w:val="auto"/>
              </w:rPr>
            </w:pP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Camelia</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60" w:type="dxa"/>
            <w:vAlign w:val="bottom"/>
            <w:gridSpan w:val="3"/>
            <w:vMerge w:val="restart"/>
          </w:tcPr>
          <w:p>
            <w:pPr>
              <w:ind w:left="80"/>
              <w:spacing w:after="0"/>
              <w:rPr>
                <w:sz w:val="20"/>
                <w:szCs w:val="20"/>
                <w:color w:val="auto"/>
              </w:rPr>
            </w:pPr>
            <w:r>
              <w:rPr>
                <w:rFonts w:ascii="Arial" w:cs="Arial" w:eastAsia="Arial" w:hAnsi="Arial"/>
                <w:sz w:val="18"/>
                <w:szCs w:val="18"/>
                <w:color w:val="0000FF"/>
                <w:w w:val="94"/>
              </w:rPr>
              <w:t>Investments,</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Inc.</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Calle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0" w:type="dxa"/>
            <w:vAlign w:val="bottom"/>
            <w:gridSpan w:val="2"/>
            <w:vMerge w:val="restart"/>
          </w:tcPr>
          <w:p>
            <w:pPr>
              <w:ind w:left="600"/>
              <w:spacing w:after="0"/>
              <w:rPr>
                <w:sz w:val="20"/>
                <w:szCs w:val="20"/>
                <w:color w:val="auto"/>
              </w:rPr>
            </w:pPr>
            <w:r>
              <w:rPr>
                <w:rFonts w:ascii="Arial" w:cs="Arial" w:eastAsia="Arial" w:hAnsi="Arial"/>
                <w:sz w:val="18"/>
                <w:szCs w:val="18"/>
                <w:color w:val="0000FF"/>
              </w:rPr>
              <w:t>02/14/2011</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132"/>
              <w:spacing w:after="0"/>
              <w:rPr>
                <w:sz w:val="20"/>
                <w:szCs w:val="20"/>
                <w:color w:val="auto"/>
              </w:rPr>
            </w:pPr>
            <w:r>
              <w:rPr>
                <w:rFonts w:ascii="Arial" w:cs="Arial" w:eastAsia="Arial" w:hAnsi="Arial"/>
                <w:sz w:val="18"/>
                <w:szCs w:val="18"/>
                <w:color w:val="0000FF"/>
              </w:rPr>
              <w:t>65,187</w:t>
            </w:r>
          </w:p>
        </w:tc>
        <w:tc>
          <w:tcPr>
            <w:tcW w:w="500" w:type="dxa"/>
            <w:vAlign w:val="bottom"/>
            <w:vMerge w:val="restart"/>
          </w:tcPr>
          <w:p>
            <w:pPr>
              <w:ind w:left="160"/>
              <w:spacing w:after="0"/>
              <w:rPr>
                <w:sz w:val="20"/>
                <w:szCs w:val="20"/>
                <w:color w:val="auto"/>
              </w:rPr>
            </w:pPr>
            <w:r>
              <w:rPr>
                <w:rFonts w:ascii="Arial" w:cs="Arial" w:eastAsia="Arial" w:hAnsi="Arial"/>
                <w:sz w:val="18"/>
                <w:szCs w:val="18"/>
                <w:color w:val="0000FF"/>
              </w:rPr>
              <w:t>D</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19.1</w:t>
            </w:r>
            <w:r>
              <w:rPr>
                <w:rFonts w:ascii="Arial" w:cs="Arial" w:eastAsia="Arial" w:hAnsi="Arial"/>
                <w:sz w:val="22"/>
                <w:szCs w:val="22"/>
                <w:color w:val="008000"/>
                <w:w w:val="95"/>
                <w:vertAlign w:val="superscript"/>
              </w:rPr>
              <w:t>(3)</w:t>
            </w:r>
          </w:p>
        </w:tc>
        <w:tc>
          <w:tcPr>
            <w:tcW w:w="40" w:type="dxa"/>
            <w:vAlign w:val="bottom"/>
          </w:tcPr>
          <w:p>
            <w:pPr>
              <w:spacing w:after="0"/>
              <w:rPr>
                <w:sz w:val="18"/>
                <w:szCs w:val="18"/>
                <w:color w:val="auto"/>
              </w:rPr>
            </w:pPr>
          </w:p>
        </w:tc>
        <w:tc>
          <w:tcPr>
            <w:tcW w:w="1280" w:type="dxa"/>
            <w:vAlign w:val="bottom"/>
            <w:gridSpan w:val="3"/>
            <w:vMerge w:val="restart"/>
          </w:tcPr>
          <w:p>
            <w:pPr>
              <w:ind w:left="280"/>
              <w:spacing w:after="0"/>
              <w:rPr>
                <w:sz w:val="20"/>
                <w:szCs w:val="20"/>
                <w:color w:val="auto"/>
              </w:rPr>
            </w:pPr>
            <w:r>
              <w:rPr>
                <w:rFonts w:ascii="Arial" w:cs="Arial" w:eastAsia="Arial" w:hAnsi="Arial"/>
                <w:sz w:val="18"/>
                <w:szCs w:val="18"/>
                <w:color w:val="0000FF"/>
              </w:rPr>
              <w:t>2,536,631</w:t>
            </w:r>
          </w:p>
        </w:tc>
        <w:tc>
          <w:tcPr>
            <w:tcW w:w="340" w:type="dxa"/>
            <w:vAlign w:val="bottom"/>
          </w:tcPr>
          <w:p>
            <w:pPr>
              <w:spacing w:after="0"/>
              <w:rPr>
                <w:sz w:val="18"/>
                <w:szCs w:val="18"/>
                <w:color w:val="auto"/>
              </w:rPr>
            </w:pP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Camelia</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60" w:type="dxa"/>
            <w:vAlign w:val="bottom"/>
            <w:gridSpan w:val="3"/>
            <w:vMerge w:val="restart"/>
          </w:tcPr>
          <w:p>
            <w:pPr>
              <w:ind w:left="80"/>
              <w:spacing w:after="0"/>
              <w:rPr>
                <w:sz w:val="20"/>
                <w:szCs w:val="20"/>
                <w:color w:val="auto"/>
              </w:rPr>
            </w:pPr>
            <w:r>
              <w:rPr>
                <w:rFonts w:ascii="Arial" w:cs="Arial" w:eastAsia="Arial" w:hAnsi="Arial"/>
                <w:sz w:val="18"/>
                <w:szCs w:val="18"/>
                <w:color w:val="0000FF"/>
                <w:w w:val="94"/>
              </w:rPr>
              <w:t>Investments,</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color w:val="0000FF"/>
              </w:rPr>
              <w:t>Inc.</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1440" w:type="dxa"/>
            <w:vAlign w:val="bottom"/>
            <w:tcBorders>
              <w:bottom w:val="single" w:sz="8" w:color="2C2C2C"/>
            </w:tcBorders>
            <w:gridSpan w:val="3"/>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0"/>
          </w:tcPr>
          <w:p>
            <w:pPr>
              <w:jc w:val="center"/>
              <w:ind w:left="51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4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6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Reported</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sales were effected pursuant to a 10b5-1 plan adopted by the reporting person dated December 14, 2010.</w:t>
      </w:r>
    </w:p>
    <w:p>
      <w:pPr>
        <w:spacing w:after="0" w:line="41"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$19.00 to $19.04,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footnotes (2) and (3)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$19.00 to $19.29, inclusive.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/s/Lyn Bickle, Attorney-in-Fact 02/14/2011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32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47566" TargetMode="External"/><Relationship Id="rId13"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2019-12-18T01:34:39Z</dcterms:created>
  <dcterms:modified xsi:type="dcterms:W3CDTF">2019-12-18T01:34:39Z</dcterms:modified>
</cp:coreProperties>
</file>