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3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3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4020" w:type="dxa"/>
            <w:vAlign w:val="bottom"/>
          </w:tcPr>
          <w:p>
            <w:pPr>
              <w:jc w:val="center"/>
              <w:ind w:right="204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20" w:type="dxa"/>
            <w:vAlign w:val="bottom"/>
          </w:tcPr>
          <w:p>
            <w:pPr>
              <w:jc w:val="center"/>
              <w:ind w:right="20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639-7500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6"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Arial" w:cs="Arial" w:eastAsia="Arial" w:hAnsi="Arial"/>
                <w:sz w:val="18"/>
                <w:szCs w:val="18"/>
                <w:color w:val="auto"/>
              </w:rPr>
              <w:t>The total number of shares of common stock outstanding as of May 4, 2016, was 46,885,699.</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18"/>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160" w:type="dxa"/>
            <w:vAlign w:val="bottom"/>
            <w:tcBorders>
              <w:top w:val="single" w:sz="8" w:color="0000EE"/>
            </w:tcBorders>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60" w:type="dxa"/>
            <w:vAlign w:val="bottom"/>
            <w:gridSpan w:val="5"/>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Item 2 Management’s Discussion and Analysis of Financial Condition and Results of Operations</w:t>
              </w:r>
            </w:hyperlink>
          </w:p>
        </w:tc>
        <w:tc>
          <w:tcPr>
            <w:tcW w:w="40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3 Quantitative and Qualitative Disclosures About Market Risk</w:t>
              </w:r>
            </w:hyperlink>
          </w:p>
        </w:tc>
        <w:tc>
          <w:tcPr>
            <w:tcW w:w="61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Item 4 Controls and Procedures</w:t>
              </w:r>
            </w:hyperlink>
          </w:p>
        </w:tc>
        <w:tc>
          <w:tcPr>
            <w:tcW w:w="872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20" w:type="dxa"/>
            <w:vAlign w:val="bottom"/>
            <w:gridSpan w:val="18"/>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 Legal Proceedings</w:t>
              </w:r>
            </w:hyperlink>
          </w:p>
        </w:tc>
        <w:tc>
          <w:tcPr>
            <w:tcW w:w="1000" w:type="dxa"/>
            <w:vAlign w:val="bottom"/>
            <w:tcBorders>
              <w:top w:val="single" w:sz="8" w:color="0000EE"/>
            </w:tcBorders>
            <w:gridSpan w:val="6"/>
          </w:tcPr>
          <w:p>
            <w:pPr>
              <w:spacing w:after="0"/>
              <w:rPr>
                <w:sz w:val="24"/>
                <w:szCs w:val="24"/>
                <w:color w:val="auto"/>
              </w:rPr>
            </w:pPr>
          </w:p>
        </w:tc>
        <w:tc>
          <w:tcPr>
            <w:tcW w:w="81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1A Risk Factors</w:t>
              </w:r>
            </w:hyperlink>
          </w:p>
        </w:tc>
        <w:tc>
          <w:tcPr>
            <w:tcW w:w="94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2 Unregistered Sales of Equity Securities and Use of Proceeds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3</w:t>
              </w:r>
            </w:hyperlink>
          </w:p>
        </w:tc>
        <w:tc>
          <w:tcPr>
            <w:tcW w:w="436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616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4</w:t>
              </w:r>
            </w:hyperlink>
          </w:p>
        </w:tc>
        <w:tc>
          <w:tcPr>
            <w:tcW w:w="2340" w:type="dxa"/>
            <w:vAlign w:val="bottom"/>
            <w:tcBorders>
              <w:top w:val="single" w:sz="8" w:color="0000EE"/>
            </w:tcBorders>
            <w:gridSpan w:val="10"/>
          </w:tcPr>
          <w:p>
            <w:pPr>
              <w:ind w:lef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81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5</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74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99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101.</w:t>
            </w:r>
            <w:r>
              <w:rPr>
                <w:rFonts w:ascii="Arial" w:cs="Arial" w:eastAsia="Arial" w:hAnsi="Arial"/>
                <w:sz w:val="18"/>
                <w:szCs w:val="18"/>
                <w:u w:val="single" w:color="auto"/>
                <w:color w:val="auto"/>
                <w:w w:val="92"/>
              </w:rPr>
              <w:t>INS</w:t>
            </w:r>
            <w:r>
              <w:rPr>
                <w:rFonts w:ascii="Arial" w:cs="Arial" w:eastAsia="Arial" w:hAnsi="Arial"/>
                <w:sz w:val="18"/>
                <w:szCs w:val="18"/>
                <w:color w:val="auto"/>
                <w:w w:val="92"/>
              </w:rPr>
              <w:t xml:space="preserve"> XBRL Instance Document</w:t>
            </w:r>
          </w:p>
        </w:tc>
        <w:tc>
          <w:tcPr>
            <w:tcW w:w="8440" w:type="dxa"/>
            <w:vAlign w:val="bottom"/>
            <w:gridSpan w:val="8"/>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101.</w:t>
            </w:r>
            <w:r>
              <w:rPr>
                <w:rFonts w:ascii="Arial" w:cs="Arial" w:eastAsia="Arial" w:hAnsi="Arial"/>
                <w:sz w:val="18"/>
                <w:szCs w:val="18"/>
                <w:u w:val="single" w:color="auto"/>
                <w:color w:val="auto"/>
                <w:w w:val="91"/>
              </w:rPr>
              <w:t>SCH</w:t>
            </w:r>
            <w:r>
              <w:rPr>
                <w:rFonts w:ascii="Arial" w:cs="Arial" w:eastAsia="Arial" w:hAnsi="Arial"/>
                <w:sz w:val="18"/>
                <w:szCs w:val="18"/>
                <w:color w:val="auto"/>
                <w:w w:val="91"/>
              </w:rPr>
              <w:t xml:space="preserve"> XBRL Taxonomy Extension Schema</w:t>
            </w:r>
          </w:p>
        </w:tc>
        <w:tc>
          <w:tcPr>
            <w:tcW w:w="762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101.CAL XBRL Taxonomy Extension Calculation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101.LAB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101.PRE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101.DEF XBRL Taxonomy Extension Definition Linkbase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81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480" w:type="dxa"/>
            <w:vAlign w:val="bottom"/>
            <w:gridSpan w:val="3"/>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60" w:type="dxa"/>
            <w:vAlign w:val="bottom"/>
          </w:tcPr>
          <w:p>
            <w:pPr>
              <w:jc w:val="center"/>
              <w:ind w:right="250"/>
              <w:spacing w:after="0"/>
              <w:rPr>
                <w:sz w:val="20"/>
                <w:szCs w:val="20"/>
                <w:color w:val="auto"/>
              </w:rPr>
            </w:pPr>
            <w:r>
              <w:rPr>
                <w:rFonts w:ascii="Arial" w:cs="Arial" w:eastAsia="Arial" w:hAnsi="Arial"/>
                <w:sz w:val="18"/>
                <w:szCs w:val="18"/>
                <w:b w:val="1"/>
                <w:bCs w:val="1"/>
                <w:color w:val="auto"/>
              </w:rPr>
              <w:t>GRAND CANYON EDUCATION, INC.</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Consolidated Income Statements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16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4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46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1"/>
              </w:rPr>
              <w:t>Net revenue</w:t>
            </w: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226,958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194,127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94,654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4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1"/>
              </w:rPr>
              <w:t>Admissions advisory and related, including $294 and $505 to related parties for the three months ended March 31, 2016 and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40" w:type="dxa"/>
            <w:vAlign w:val="bottom"/>
            <w:gridSpan w:val="4"/>
          </w:tcPr>
          <w:p>
            <w:pPr>
              <w:ind w:left="520"/>
              <w:spacing w:after="0"/>
              <w:rPr>
                <w:sz w:val="20"/>
                <w:szCs w:val="20"/>
                <w:color w:val="auto"/>
              </w:rPr>
            </w:pPr>
            <w:r>
              <w:rPr>
                <w:rFonts w:ascii="Arial" w:cs="Arial" w:eastAsia="Arial" w:hAnsi="Arial"/>
                <w:sz w:val="18"/>
                <w:szCs w:val="18"/>
                <w:color w:val="auto"/>
              </w:rPr>
              <w:t>2015, respectively</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29,544</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ind w:left="340"/>
              <w:spacing w:after="0"/>
              <w:rPr>
                <w:sz w:val="20"/>
                <w:szCs w:val="20"/>
                <w:color w:val="auto"/>
              </w:rPr>
            </w:pPr>
            <w:r>
              <w:rPr>
                <w:rFonts w:ascii="Arial" w:cs="Arial" w:eastAsia="Arial" w:hAnsi="Arial"/>
                <w:sz w:val="18"/>
                <w:szCs w:val="18"/>
                <w:color w:val="auto"/>
              </w:rPr>
              <w:t>Marketing and promotional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158,267</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138,141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9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68,691</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ind w:left="3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Interest and other income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460" w:type="dxa"/>
            <w:vAlign w:val="bottom"/>
            <w:gridSpan w:val="5"/>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70,410</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98"/>
              </w:rPr>
              <w:t>Net income</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43,665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tcPr>
          <w:p>
            <w:pPr>
              <w:ind w:left="340"/>
              <w:spacing w:after="0"/>
              <w:rPr>
                <w:sz w:val="20"/>
                <w:szCs w:val="20"/>
                <w:color w:val="auto"/>
              </w:rPr>
            </w:pPr>
            <w:r>
              <w:rPr>
                <w:rFonts w:ascii="Arial" w:cs="Arial" w:eastAsia="Arial" w:hAnsi="Arial"/>
                <w:sz w:val="18"/>
                <w:szCs w:val="18"/>
                <w:b w:val="1"/>
                <w:bCs w:val="1"/>
                <w:color w:val="auto"/>
              </w:rPr>
              <w:t>Basic income per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income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94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45,622</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6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9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800" w:type="dxa"/>
            <w:vAlign w:val="bottom"/>
            <w:gridSpan w:val="3"/>
            <w:vMerge w:val="continue"/>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89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$43,665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$34,179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gains on available-for-sale securities, net of taxes of $24 and $3 for March 31, 2016 and 2015, respectively</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Unrealized losses on hedging derivatives, net of taxes of $148 and $153 for March 31, 2016 and 2015, respectively</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890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43,466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2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7300" w:type="dxa"/>
            <w:vAlign w:val="bottom"/>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00" w:type="dxa"/>
            <w:vAlign w:val="bottom"/>
            <w:shd w:val="clear" w:color="auto" w:fill="CCEEFF"/>
          </w:tcPr>
          <w:p>
            <w:pPr>
              <w:jc w:val="center"/>
              <w:ind w:right="2210"/>
              <w:spacing w:after="0"/>
              <w:rPr>
                <w:sz w:val="20"/>
                <w:szCs w:val="20"/>
                <w:color w:val="auto"/>
              </w:rPr>
            </w:pPr>
            <w:r>
              <w:rPr>
                <w:rFonts w:ascii="Arial" w:cs="Arial" w:eastAsia="Arial" w:hAnsi="Arial"/>
                <w:sz w:val="18"/>
                <w:szCs w:val="18"/>
                <w:b w:val="1"/>
                <w:bCs w:val="1"/>
                <w:color w:val="auto"/>
                <w:w w:val="92"/>
              </w:rPr>
              <w:t>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48,793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Restricted cash, cash equivalents and investments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62,481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84,128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20,026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20,863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226,097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725,091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2,941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960,703</w:t>
            </w:r>
          </w:p>
        </w:tc>
        <w:tc>
          <w:tcPr>
            <w:tcW w:w="4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891,982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7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7300" w:type="dxa"/>
            <w:vAlign w:val="bottom"/>
            <w:shd w:val="clear" w:color="auto" w:fill="CCEEFF"/>
          </w:tcPr>
          <w:p>
            <w:pPr>
              <w:jc w:val="center"/>
              <w:ind w:right="221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21,648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17,424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17,913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Student deposits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63,137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57,575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Due to related parties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222,693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188,534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4,066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1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71,594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73,252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316,498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281,731</w:t>
            </w:r>
          </w:p>
        </w:tc>
        <w:tc>
          <w:tcPr>
            <w:tcW w:w="0" w:type="dxa"/>
            <w:vAlign w:val="bottom"/>
          </w:tcPr>
          <w:p>
            <w:pPr>
              <w:spacing w:after="0"/>
              <w:rPr>
                <w:sz w:val="1"/>
                <w:szCs w:val="1"/>
                <w:color w:val="auto"/>
              </w:rPr>
            </w:pPr>
          </w:p>
        </w:tc>
      </w:tr>
      <w:tr>
        <w:trPr>
          <w:trHeight w:val="291"/>
        </w:trPr>
        <w:tc>
          <w:tcPr>
            <w:tcW w:w="928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 outstanding at March 31, 2016 and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tcPr>
          <w:p>
            <w:pPr>
              <w:ind w:left="160"/>
              <w:spacing w:after="0"/>
              <w:rPr>
                <w:sz w:val="20"/>
                <w:szCs w:val="20"/>
                <w:color w:val="auto"/>
              </w:rPr>
            </w:pPr>
            <w:r>
              <w:rPr>
                <w:rFonts w:ascii="Arial" w:cs="Arial" w:eastAsia="Arial" w:hAnsi="Arial"/>
                <w:sz w:val="18"/>
                <w:szCs w:val="18"/>
                <w:color w:val="auto"/>
              </w:rPr>
              <w:t>December 31, 2015</w:t>
            </w:r>
          </w:p>
        </w:tc>
        <w:tc>
          <w:tcPr>
            <w:tcW w:w="1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$0.01 par value, 100,000 shares authorized; 50,533 and 50,288 shares issued and 46,614 and 46,877 shares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outstanding at March 31, 2016 and December 31, 2015, respectively</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w w:val="94"/>
              </w:rPr>
              <w:t>Treasury stock, at cost, 3,919 and 3,411 shares of common stock at March 31, 2016 and December 31, 2015, respectively</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(88,507)</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186,828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546,067</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644,205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610,251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960" w:type="dxa"/>
            <w:vAlign w:val="bottom"/>
          </w:tcPr>
          <w:p>
            <w:pPr>
              <w:spacing w:after="0"/>
              <w:rPr>
                <w:sz w:val="6"/>
                <w:szCs w:val="6"/>
                <w:color w:val="auto"/>
              </w:rPr>
            </w:pPr>
          </w:p>
        </w:tc>
        <w:tc>
          <w:tcPr>
            <w:tcW w:w="7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960,703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0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5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00" w:type="dxa"/>
            <w:vAlign w:val="bottom"/>
            <w:gridSpan w:val="6"/>
            <w:vMerge w:val="continue"/>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6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Par Value</w:t>
            </w:r>
          </w:p>
        </w:tc>
        <w:tc>
          <w:tcPr>
            <w:tcW w:w="280" w:type="dxa"/>
            <w:vAlign w:val="bottom"/>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50,288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503</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3,411</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$(69,332)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$177,167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80"/>
              </w:rPr>
              <w:t>(489)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$502,402</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$610,251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43,665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112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(4,590)</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2,898</w:t>
            </w:r>
          </w:p>
        </w:tc>
        <w:tc>
          <w:tcPr>
            <w:tcW w:w="180" w:type="dxa"/>
            <w:vAlign w:val="bottom"/>
          </w:tcPr>
          <w:p>
            <w:pPr>
              <w:spacing w:after="0"/>
              <w:rPr>
                <w:sz w:val="18"/>
                <w:szCs w:val="18"/>
                <w:color w:val="auto"/>
              </w:rPr>
            </w:pPr>
          </w:p>
        </w:tc>
        <w:tc>
          <w:tcPr>
            <w:tcW w:w="940" w:type="dxa"/>
            <w:vAlign w:val="bottom"/>
            <w:gridSpan w:val="2"/>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3,457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Excess tax benefits</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3,306</w:t>
            </w:r>
          </w:p>
        </w:tc>
        <w:tc>
          <w:tcPr>
            <w:tcW w:w="180" w:type="dxa"/>
            <w:vAlign w:val="bottom"/>
          </w:tcPr>
          <w:p>
            <w:pPr>
              <w:spacing w:after="0"/>
              <w:rPr>
                <w:sz w:val="18"/>
                <w:szCs w:val="18"/>
                <w:color w:val="auto"/>
              </w:rPr>
            </w:pPr>
          </w:p>
        </w:tc>
        <w:tc>
          <w:tcPr>
            <w:tcW w:w="940" w:type="dxa"/>
            <w:vAlign w:val="bottom"/>
            <w:gridSpan w:val="2"/>
          </w:tcPr>
          <w:p>
            <w:pPr>
              <w:jc w:val="center"/>
              <w:ind w:left="1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50,533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505</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3,919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(88,507)</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186,828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546,067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644,205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1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43,665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2,898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10,467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2,710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cash, cash equivalents and investments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12,903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(3,676)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700"/>
              <w:spacing w:after="0"/>
              <w:rPr>
                <w:sz w:val="20"/>
                <w:szCs w:val="20"/>
                <w:color w:val="auto"/>
              </w:rPr>
            </w:pPr>
            <w:r>
              <w:rPr>
                <w:rFonts w:ascii="Arial" w:cs="Arial" w:eastAsia="Arial" w:hAnsi="Arial"/>
                <w:sz w:val="18"/>
                <w:szCs w:val="18"/>
                <w:color w:val="auto"/>
              </w:rPr>
              <w:t>Due to/from related parties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700"/>
              <w:spacing w:after="0"/>
              <w:rPr>
                <w:sz w:val="20"/>
                <w:szCs w:val="20"/>
                <w:color w:val="auto"/>
              </w:rPr>
            </w:pPr>
            <w:r>
              <w:rPr>
                <w:rFonts w:ascii="Arial" w:cs="Arial" w:eastAsia="Arial" w:hAnsi="Arial"/>
                <w:sz w:val="18"/>
                <w:szCs w:val="18"/>
                <w:color w:val="auto"/>
              </w:rPr>
              <w:t>Accrued liabilities and employee related liabilities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7,331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 receivable/payable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21,927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700"/>
              <w:spacing w:after="0"/>
              <w:rPr>
                <w:sz w:val="20"/>
                <w:szCs w:val="20"/>
                <w:color w:val="auto"/>
              </w:rPr>
            </w:pPr>
            <w:r>
              <w:rPr>
                <w:rFonts w:ascii="Arial" w:cs="Arial" w:eastAsia="Arial" w:hAnsi="Arial"/>
                <w:sz w:val="18"/>
                <w:szCs w:val="18"/>
                <w:color w:val="auto"/>
              </w:rPr>
              <w:t>Deferred rent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19,699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700"/>
              <w:spacing w:after="0"/>
              <w:rPr>
                <w:sz w:val="20"/>
                <w:szCs w:val="20"/>
                <w:color w:val="auto"/>
              </w:rPr>
            </w:pPr>
            <w:r>
              <w:rPr>
                <w:rFonts w:ascii="Arial" w:cs="Arial" w:eastAsia="Arial" w:hAnsi="Arial"/>
                <w:sz w:val="18"/>
                <w:szCs w:val="18"/>
                <w:color w:val="auto"/>
              </w:rPr>
              <w:t>Student deposits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(13,605)</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(10,635)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96,318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68,189</w:t>
            </w:r>
          </w:p>
        </w:tc>
        <w:tc>
          <w:tcPr>
            <w:tcW w:w="0" w:type="dxa"/>
            <w:vAlign w:val="bottom"/>
          </w:tcPr>
          <w:p>
            <w:pPr>
              <w:spacing w:after="0"/>
              <w:rPr>
                <w:sz w:val="1"/>
                <w:szCs w:val="1"/>
                <w:color w:val="auto"/>
              </w:rPr>
            </w:pPr>
          </w:p>
        </w:tc>
      </w:tr>
      <w:tr>
        <w:trPr>
          <w:trHeight w:val="291"/>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(49,781)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Purchases of land, building and golf course improvements related to off-site development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(7,718)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Return of equity method investment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(13,688)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12,924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10,479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(56,013)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(45,968)</w:t>
            </w:r>
          </w:p>
        </w:tc>
        <w:tc>
          <w:tcPr>
            <w:tcW w:w="0" w:type="dxa"/>
            <w:vAlign w:val="bottom"/>
          </w:tcPr>
          <w:p>
            <w:pPr>
              <w:spacing w:after="0"/>
              <w:rPr>
                <w:sz w:val="1"/>
                <w:szCs w:val="1"/>
                <w:color w:val="auto"/>
              </w:rPr>
            </w:pPr>
          </w:p>
        </w:tc>
      </w:tr>
      <w:tr>
        <w:trPr>
          <w:trHeight w:val="291"/>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1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Debt issuance costs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(19,175)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24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(14,548)</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25,757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23,036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65,238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80" w:type="dxa"/>
            <w:vAlign w:val="bottom"/>
          </w:tcPr>
          <w:p>
            <w:pPr>
              <w:spacing w:after="0"/>
              <w:rPr>
                <w:sz w:val="6"/>
                <w:szCs w:val="6"/>
                <w:color w:val="auto"/>
              </w:rPr>
            </w:pPr>
          </w:p>
        </w:tc>
        <w:tc>
          <w:tcPr>
            <w:tcW w:w="73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48,793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86,156</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40" w:type="dxa"/>
            <w:vAlign w:val="bottom"/>
            <w:gridSpan w:val="3"/>
            <w:vMerge w:val="continue"/>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 interest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Cash paid for income taxes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1,715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23,161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gridSpan w:val="2"/>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Grand Canyon Education, Inc. (together with its subsidiaries, the “University”) is a comprehensive regionally accredited university that offers over 200 graduate and undergraduate degree programs and certificates across nine colleges both online and on ground at our approximately 250-acre campus in Phoenix, Arizona, at leased facilities and at facilities owned by third party employers. We are committed to providing an academically rigorous educational experience with a focus on professionally relevant programs that meet the objectives of our students. Our undergraduate programs are designed to be innovative and to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wholly-owned subsidiaries are primarily used to facilitate expansion of the University campus.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the University and its wholly-owned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unaudited interim consolidated financial statements of the University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2015. They do not include all of the information and footnotes required by U.S. generally accepted accounting principles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These consolidated financial statements should be read in conjunction with the University’s audited financial statements and footnotes included in its Annual Report on Form 10-K for the fiscal year ended December 31, 2015 from which the December 31, 2015 balance sheet information was derived.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Cash Equivalents and Investments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cash equivalents and investments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cash equivalents and investments. The majority of these funds remains as restricted for an average of 60 to 90 days from the date of receipt.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University considers its investments in municipal bond, mutual funds and municipal securities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ectPr>
          <w:pgSz w:w="11900" w:h="16838" w:orient="portrait"/>
          <w:cols w:equalWidth="0" w:num="1">
            <w:col w:w="11420"/>
          </w:cols>
          <w:pgMar w:left="240" w:top="459" w:right="239" w:bottom="1440" w:gutter="0" w:footer="0" w:header="0"/>
        </w:sectPr>
      </w:pP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strong credit ratings, and they are expected to perform fully under the terms of the agreements.</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February 27, 2013, the University entered into an interest rate corridor to manage its 30 Day LIBOR interest exposure related to its variable rate debt. The fair value of the interest rate corridor instrument as of March 31, 2016 and December 31, 2015 was $346 and $728,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($386) and ($392) for the three months ended March 31, 2016 and 2015, respectively, for the effective portion of the gain/(loss) on the derivatives is included as a component of other comprehensive income, net of taxes.</w:t>
      </w:r>
    </w:p>
    <w:p>
      <w:pPr>
        <w:spacing w:after="0" w:line="19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interest rate corridor instrument reduces variable interest rate risk starting March 1, 2013 through December 20, 2019 with a notional amount of $78,333 as of March 31, 2016. The corridor instrument’s terms permits the University to hedge its interest rate risk at several thresholds; the University pays variable interest monthly based on the 30 Day LIBOR rates until that index reaches 1.5%. If 30 Day LIBOR is equal to 1.5% through 3.0%, the University pays 1.5%. If 30 Day LIBOR exceeds 3.0%, the University pays actual 30 Day LIBOR less 1.5%.</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March 31, 2016, no derivative ineffectiveness was identified. Any ineffectiveness in the University’s derivative instrument designated as a hedge is reported in interest expense in the income statement. For the three months ended March 31, 2016, ($4) of credit risk was recorded in interest expense for the interest rate corridor. At March 31, 2016, the University does not expect to reclassify gains or losses on derivative instruments from accumulated other comprehensive income (loss) into earnings during the next 12 months.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carrying value of cash and cash equivalents, investments, accounts receivable, accounts payable and accrued compensation and benefits and accrued liabilities expenses approximate their fair value based on the liquidity or the short-term maturities of these instruments. The carrying value of notes payable approximates fair value as it is based on variable rate index. The carrying value of capital lease obligations approximate fair value based upon market interest rates available to the University for debt of similar risk and maturities. Derivative financial instruments are carried at fair value, determined using Level 2 of the hierarchy of valuation inputs, with the use of inputs other than quoted prices that are observable for the asset or liability.</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fair value of investments, primarily municipal securities, including municipal bond portfolios and a mutual fund holding municipal securities, were determined using Level 1 and Level 2 of the hierarchy of valuation inputs, with the use of quoted market prices and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Net revenues consist primarily of tuition and fees derived from courses taught by the University online, on ground at its approximately 250-acre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three months ended March 31, 2016 and 2015, the University’s revenue was reduced by approximately $53,591 and $46,432,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of such money to the Department of Education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the consolidated balance sheets.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the aging of the accounts receivable and student status. The University applies reserves to its receivables based upon an estimate of the risk presented by the age of the receivables and student status. The University writes off accounts receivable balances at the earlier of the time the balances were deemed uncollectible, or one year after the revenue is generated. The University accelerates the write off of inactive student accounts such that the accounts are written off by day 150. The University reflects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(other than goodwill)</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University evaluates the recoverability of our long-lived assets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The University accrues for contingent obligations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April 2015, the FASB issued,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The guidance requires that debt issuance costs related to a recognized debt liability be presented in the balance sheet as a direct deduction from the carrying amount of that debt liability, consistent with debt discounts. The University has elected as the guidance permits debt issuance costs related to lines of credit to be reported as an asset and amortized over the term of the line. The guidance is effective for the University’s annual reporting period beginning January 1, 2016. The University adopted this new standard on January 1, 2016 on a retrospective basis, and the adoption of this guidance did not have a material impact on its financial condition, results of operations, or disclosures. The University did not have to restate or adjust any of our previously issued consolidated financial statements as our current accounting policy for the presentation of debt issuance costs is in compliance with the new guidance.</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2015, the FASB issued, “</w:t>
      </w:r>
      <w:r>
        <w:rPr>
          <w:rFonts w:ascii="Arial" w:cs="Arial" w:eastAsia="Arial" w:hAnsi="Arial"/>
          <w:sz w:val="16"/>
          <w:szCs w:val="16"/>
          <w:i w:val="1"/>
          <w:iCs w:val="1"/>
          <w:color w:val="auto"/>
        </w:rPr>
        <w:t>Intangibles-Goodwill and Other-Internal-Use Software, Customer’s Accounting for Fees Paid in a Cloud Computing</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w:t>
      </w:r>
      <w:r>
        <w:rPr>
          <w:rFonts w:ascii="Arial" w:cs="Arial" w:eastAsia="Arial" w:hAnsi="Arial"/>
          <w:sz w:val="16"/>
          <w:szCs w:val="16"/>
          <w:color w:val="auto"/>
        </w:rPr>
        <w:t>.” The guidance requires customers to determine whether a cloud computing arrangement contains a software license. If the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contains a software license, customers must account for fees related to the software license element in a manner consistent with how the acquisition of other software licenses is accounted for under ASC 350-40; if the arrangement does not contain a software license, customers must account for the arrangement as a service contract. The University adopted this standard on January 1, 2016 on a prospective basis, and the adoption of this guidance did not have a material impact on its financial condition, results of operations, or disclosures. The University did not have to restate or adjust any of our previously issued consolidated financial statements as our current accounting policy for cloud computing arrangements is in compliance with the new guidance.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In November 2015, the FASB issued, “</w:t>
      </w:r>
      <w:r>
        <w:rPr>
          <w:rFonts w:ascii="Arial" w:cs="Arial" w:eastAsia="Arial" w:hAnsi="Arial"/>
          <w:sz w:val="16"/>
          <w:szCs w:val="16"/>
          <w:i w:val="1"/>
          <w:iCs w:val="1"/>
          <w:color w:val="auto"/>
        </w:rPr>
        <w:t>Income Taxes: Balance Sheet Classification of Deferred Taxes</w:t>
      </w:r>
      <w:r>
        <w:rPr>
          <w:rFonts w:ascii="Arial" w:cs="Arial" w:eastAsia="Arial" w:hAnsi="Arial"/>
          <w:sz w:val="16"/>
          <w:szCs w:val="16"/>
          <w:color w:val="auto"/>
        </w:rPr>
        <w:t>.” The standard requires that deferred tax assets and liabilities be classified as noncurrent on the balance sheet rather than being separated into current and noncurrent. This standard is effective for fiscal years, and interim periods within those years, beginning after December 15, 2016. Early adoption is permitted and the standard may be applied either retrospectively or on a prospective basis to all deferred tax assets and liabilities. The University early adopted this standard on January 1, 2016 on a retrospective basis. Accordingly, we reclassified the current deferred taxes to noncurrent on our December 31, 2015 consolidated balance sheet, which decreased current deferred tax assets by $6,448 and decreased noncurrent deferred tax liabilities from $21,303 to $14,855.</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May 2014, the FASB issued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After the FASB amended the standard in July 2015, the standard is effective for us January 1, 2018 and early adoption is permitted effective January 1, 2017. The University does not expect adoption of this guidance to have a material impact on its financial condition, results of operations or disclosures.</w:t>
      </w:r>
    </w:p>
    <w:p>
      <w:pPr>
        <w:spacing w:after="0" w:line="18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January 2016, the FASB issued “</w:t>
      </w:r>
      <w:r>
        <w:rPr>
          <w:rFonts w:ascii="Arial" w:cs="Arial" w:eastAsia="Arial" w:hAnsi="Arial"/>
          <w:sz w:val="16"/>
          <w:szCs w:val="16"/>
          <w:i w:val="1"/>
          <w:iCs w:val="1"/>
          <w:color w:val="auto"/>
        </w:rPr>
        <w:t>Financial Instruments – Overall: Recognition and Measurement of Financial Assets and Financial Liabilities</w:t>
      </w:r>
      <w:r>
        <w:rPr>
          <w:rFonts w:ascii="Arial" w:cs="Arial" w:eastAsia="Arial" w:hAnsi="Arial"/>
          <w:sz w:val="16"/>
          <w:szCs w:val="16"/>
          <w:color w:val="auto"/>
        </w:rPr>
        <w:t>.” The standard addresses certain aspects of recognition, measurement, presentation, and disclosure of financial instruments. This standard is effective for fiscal years, and interim periods within those years, beginning after December 15, 2017, and early adoption is not permitted. Accordingly, the standard is effective for us on January 1, 2018. We are currently evaluating the impact that the standard will have on our consolidated financial statements.</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February 2016, the FASB issued “</w:t>
      </w:r>
      <w:r>
        <w:rPr>
          <w:rFonts w:ascii="Arial" w:cs="Arial" w:eastAsia="Arial" w:hAnsi="Arial"/>
          <w:sz w:val="18"/>
          <w:szCs w:val="18"/>
          <w:i w:val="1"/>
          <w:iCs w:val="1"/>
          <w:color w:val="auto"/>
        </w:rPr>
        <w:t>Leases</w:t>
      </w:r>
      <w:r>
        <w:rPr>
          <w:rFonts w:ascii="Arial" w:cs="Arial" w:eastAsia="Arial" w:hAnsi="Arial"/>
          <w:sz w:val="18"/>
          <w:szCs w:val="18"/>
          <w:color w:val="auto"/>
        </w:rPr>
        <w:t>.” The standard requires a lessee to recognize assets and liabilities on the balance sheet for leases with lease terms greater than 12 month. This standard is effective for fiscal years, and interim periods within those years, beginning after December 15, 2018, and early adoption is permitted. Accordingly, the standard is effective for us on January 1, 2019. We are currently evaluating the impact that the standard will have on our consolidated financial statements.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March 2016, the FASB issued “</w:t>
      </w:r>
      <w:r>
        <w:rPr>
          <w:rFonts w:ascii="Arial" w:cs="Arial" w:eastAsia="Arial" w:hAnsi="Arial"/>
          <w:sz w:val="18"/>
          <w:szCs w:val="18"/>
          <w:i w:val="1"/>
          <w:iCs w:val="1"/>
          <w:color w:val="auto"/>
        </w:rPr>
        <w:t>Compensation – Stock Compensation: Improvements to Employee Share-Based Payment Accounting</w:t>
      </w:r>
      <w:r>
        <w:rPr>
          <w:rFonts w:ascii="Arial" w:cs="Arial" w:eastAsia="Arial" w:hAnsi="Arial"/>
          <w:sz w:val="18"/>
          <w:szCs w:val="18"/>
          <w:color w:val="auto"/>
        </w:rPr>
        <w:t>.” The standard is intended to simplify several areas of accounting for share-based compensation arrangements, including the income tax impact, classification on the statement of cash flows and forfeitures. This standard is effective for fiscal years, and interim periods within those years, beginning after December 15, 2016, and early adoption is permitted. Accordingly, the standard is effective for us on January 1, 2017, and we are currently evaluating the impact that the standard will have on our consolidated financial statements.</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could likewise have a material impact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is a summary of amounts included in restricted and unrestricted investments as of March 31, 2016 and December 31, 2015. The University considered all investments as available for sale.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As of March 31, 2016</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(Losses)</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55,810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55,637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1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139,960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139,765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60" w:type="dxa"/>
            <w:vAlign w:val="bottom"/>
            <w:vMerge w:val="restart"/>
          </w:tcPr>
          <w:p>
            <w:pPr>
              <w:jc w:val="right"/>
              <w:ind w:right="81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(Losses)</w:t>
            </w:r>
          </w:p>
        </w:tc>
        <w:tc>
          <w:tcPr>
            <w:tcW w:w="220" w:type="dxa"/>
            <w:vAlign w:val="bottom"/>
          </w:tcPr>
          <w:p>
            <w:pPr>
              <w:spacing w:after="0"/>
              <w:rPr>
                <w:sz w:val="14"/>
                <w:szCs w:val="1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6"/>
              </w:rPr>
              <w:t>(169)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55,720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(115)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55,605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139,227</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(284)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138,969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cash flows of municipal securities are backed by the issuing municipality’s credit worthiness. All municipal securities are due in one year or less as of March 31, 2016. For the three months ended March 31, 2016, the net unrealized losses on available-for-sale securities was $120, net of taxes.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Common Share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Basic net income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89"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w:t>
      </w:r>
    </w:p>
    <w:p>
      <w:pPr>
        <w:jc w:val="center"/>
        <w:ind w:left="70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710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96"/>
        </w:trPr>
        <w:tc>
          <w:tcPr>
            <w:tcW w:w="7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Basic weighted average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45,622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45,789</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8"/>
                <w:szCs w:val="18"/>
                <w:color w:val="auto"/>
              </w:rPr>
            </w:pPr>
          </w:p>
        </w:tc>
      </w:tr>
      <w:tr>
        <w:trPr>
          <w:trHeight w:val="291"/>
        </w:trPr>
        <w:tc>
          <w:tcPr>
            <w:tcW w:w="7100" w:type="dxa"/>
            <w:vAlign w:val="bottom"/>
          </w:tcPr>
          <w:p>
            <w:pPr>
              <w:ind w:left="360"/>
              <w:spacing w:after="0"/>
              <w:rPr>
                <w:sz w:val="20"/>
                <w:szCs w:val="20"/>
                <w:color w:val="auto"/>
              </w:rPr>
            </w:pPr>
            <w:r>
              <w:rPr>
                <w:rFonts w:ascii="Arial" w:cs="Arial" w:eastAsia="Arial" w:hAnsi="Arial"/>
                <w:sz w:val="18"/>
                <w:szCs w:val="18"/>
                <w:color w:val="auto"/>
              </w:rPr>
              <w:t>Diluted weighted average shares outstanding</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46,860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47,201</w:t>
            </w:r>
          </w:p>
        </w:tc>
        <w:tc>
          <w:tcPr>
            <w:tcW w:w="100" w:type="dxa"/>
            <w:vAlign w:val="bottom"/>
          </w:tcPr>
          <w:p>
            <w:pPr>
              <w:spacing w:after="0"/>
              <w:rPr>
                <w:sz w:val="24"/>
                <w:szCs w:val="24"/>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and vesting of restricted stock. For the three months ended March 31, 2016 and 2015, approximately 421 and 268, respectively, of the University’s stock options outstanding were excluded from the calculation of diluted earnings per share as their inclusion would have been anti-dilutive. These options and restricted stock awards could be dilutive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w:t>
            </w:r>
          </w:p>
        </w:tc>
        <w:tc>
          <w:tcPr>
            <w:tcW w:w="13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1"/>
              </w:rPr>
              <w:t>Charged to</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320" w:type="dxa"/>
            <w:vAlign w:val="bottom"/>
            <w:gridSpan w:val="2"/>
            <w:vMerge w:val="continue"/>
          </w:tcPr>
          <w:p>
            <w:pPr>
              <w:spacing w:after="0"/>
              <w:rPr>
                <w:sz w:val="12"/>
                <w:szCs w:val="12"/>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Period</w:t>
            </w: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Expense</w:t>
            </w:r>
          </w:p>
        </w:tc>
        <w:tc>
          <w:tcPr>
            <w:tcW w:w="1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March 31, 2016</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7"/>
              </w:rPr>
              <w:t>(3,090)</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Three months ended March 31, 2015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6,472</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3,968</w:t>
            </w:r>
          </w:p>
        </w:tc>
        <w:tc>
          <w:tcPr>
            <w:tcW w:w="1460" w:type="dxa"/>
            <w:vAlign w:val="bottom"/>
            <w:gridSpan w:val="2"/>
          </w:tcPr>
          <w:p>
            <w:pPr>
              <w:ind w:left="380"/>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Deductions represent accounts written off, net of recoveries.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March 31, 2016</w:t>
            </w: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113,932</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Land improvements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20,472</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396,670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75,232</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72,494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Computer equipment</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92,843</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91,225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25,513</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94,565</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878,503</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(153,412)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(145,079)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725,091</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March 31, 2016:</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2016 (remaining nine months)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2017</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2019</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Thereafter</w:t>
            </w:r>
          </w:p>
        </w:tc>
        <w:tc>
          <w:tcPr>
            <w:tcW w:w="2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three months ended March 31, 2016 and 2015 were $1,934 and $2,176,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a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could be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From time to time the University has exposure to various non-income tax related matters that arise in the ordinary course of business. The University reserve is not material for tax matters where its ultimate exposure is considered probable and the potential loss can be reasonably estimated.</w:t>
      </w:r>
    </w:p>
    <w:p>
      <w:pPr>
        <w:sectPr>
          <w:pgSz w:w="11900" w:h="16838" w:orient="portrait"/>
          <w:cols w:equalWidth="0" w:num="1">
            <w:col w:w="11360"/>
          </w:cols>
          <w:pgMar w:left="240" w:top="459"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0"/>
          </w:cols>
          <w:pgMar w:left="240" w:top="459" w:right="2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three months ended March 31, 2016, the University granted no shares of common stock. In prior years, the University has granted restricted shares with a service vesting condition to certain of its executives, officers, faculty and employees. The restricted shares have voting rights and vest in five annual installments of 20%, with this first installment vesting in March of the calendar year following the date of grant (the “first vesting date”) and on each of the four anniversaries of the first vesting date. Upon vesting, shares will be held in lieu of taxes equivalent to the minimum statutory tax withholding required to be paid when the restricted stock vests. During the three months ended March 31, 2016, the University withheld 112 shares of common stock in lieu of taxes at a cost of $4,590 on the restricted stock vesting dates.</w:t>
      </w:r>
    </w:p>
    <w:p>
      <w:pPr>
        <w:spacing w:after="0" w:line="19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summary of the activity related to restricted stock granted under the University’s 2008 Equity Incentive Plan (“Incentive Plan”) since December 31, 2015 is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1,056</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w:t>
            </w: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March 31, 2016, no options were granted. A summary of the activity related to stock options granted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University’s Incentive Plan since December 31, 2015 is as follows: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7"/>
              </w:rPr>
              <w:t>Summary of Stock 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540" w:type="dxa"/>
            <w:vAlign w:val="bottom"/>
          </w:tcPr>
          <w:p>
            <w:pPr>
              <w:spacing w:after="0"/>
              <w:rPr>
                <w:sz w:val="10"/>
                <w:szCs w:val="10"/>
                <w:color w:val="auto"/>
              </w:rPr>
            </w:pPr>
          </w:p>
        </w:tc>
        <w:tc>
          <w:tcPr>
            <w:tcW w:w="13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Price per</w:t>
            </w:r>
          </w:p>
        </w:tc>
        <w:tc>
          <w:tcPr>
            <w:tcW w:w="5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3"/>
              <w:spacing w:after="0"/>
              <w:rPr>
                <w:sz w:val="20"/>
                <w:szCs w:val="20"/>
                <w:color w:val="auto"/>
              </w:rPr>
            </w:pPr>
            <w:r>
              <w:rPr>
                <w:rFonts w:ascii="Arial" w:cs="Arial" w:eastAsia="Arial" w:hAnsi="Arial"/>
                <w:sz w:val="14"/>
                <w:szCs w:val="14"/>
                <w:b w:val="1"/>
                <w:bCs w:val="1"/>
                <w:color w:val="auto"/>
                <w:w w:val="87"/>
              </w:rPr>
              <w:t>Share</w:t>
            </w:r>
          </w:p>
        </w:tc>
        <w:tc>
          <w:tcPr>
            <w:tcW w:w="5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Term (Years)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1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1,975</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55,217</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March 31, 2016</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180" w:type="dxa"/>
            <w:vAlign w:val="bottom"/>
            <w:gridSpan w:val="2"/>
            <w:vMerge w:val="continue"/>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1,968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14.75</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March 31, 2016</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2,066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March 31, 2016 ($42.74) in excess of the exercise price multiplied by the number of shares underlying options outstanding or exercisable, as applicable.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three months ended March 31, 2016 and 2015 related to restricted stock and stock options granted:</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$ 1,750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$ 1,549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Admissions advisory and related expenses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8"/>
                <w:szCs w:val="18"/>
                <w:color w:val="auto"/>
              </w:rPr>
            </w:pP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98"/>
              </w:rPr>
              <w:t>Share-based compensation expense included in operating expenses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(1,159)</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(1,041)</w:t>
            </w:r>
          </w:p>
        </w:tc>
      </w:tr>
      <w:tr>
        <w:trPr>
          <w:trHeight w:val="75"/>
        </w:trPr>
        <w:tc>
          <w:tcPr>
            <w:tcW w:w="6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$ 1,739</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$ 1,562</w:t>
            </w:r>
          </w:p>
        </w:tc>
        <w:tc>
          <w:tcPr>
            <w:tcW w:w="120" w:type="dxa"/>
            <w:vAlign w:val="bottom"/>
            <w:shd w:val="clear" w:color="auto" w:fill="CCEEFF"/>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Regulatory</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March 31, 2016, management believes the University is in compliance with the applicable regulations in all material respects.</w:t>
      </w:r>
    </w:p>
    <w:p>
      <w:pPr>
        <w:spacing w:after="0" w:line="193"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Treasury Stock</w:t>
      </w:r>
    </w:p>
    <w:p>
      <w:pPr>
        <w:spacing w:after="0" w:line="121" w:lineRule="exact"/>
        <w:rPr>
          <w:sz w:val="20"/>
          <w:szCs w:val="20"/>
          <w:color w:val="auto"/>
        </w:rPr>
      </w:pPr>
    </w:p>
    <w:p>
      <w:pPr>
        <w:ind w:right="260" w:firstLine="456"/>
        <w:spacing w:after="0" w:line="270" w:lineRule="auto"/>
        <w:rPr>
          <w:sz w:val="20"/>
          <w:szCs w:val="20"/>
          <w:color w:val="auto"/>
        </w:rPr>
      </w:pPr>
      <w:r>
        <w:rPr>
          <w:rFonts w:ascii="Arial" w:cs="Arial" w:eastAsia="Arial" w:hAnsi="Arial"/>
          <w:sz w:val="17"/>
          <w:szCs w:val="17"/>
          <w:color w:val="auto"/>
        </w:rPr>
        <w:t>The Board of Directors has authorized the University to repurchase up to $175,000 in aggregate of common stock, from time to time, depending on market conditions and other considerations. The current expiration date on the repurchase authorization is December 31, 2017.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initial approval of the share repurchase plan in 2011, the University has purchased 3,471 shares of common stock at an aggregate cost of $75,000, which includes 396 shares of common stock at an aggregate cost of $14,585 for the three months ended March 31, 2016, which are recorded at cost in the accompanying March 31, 2016 consolidated balance sheet and statement of stockholders’ equity. At March 31, 2016, there remained $100,000 available under its share repurchase authorization. Shares repurchased in lieu of taxes are not included in the repurchase plan totals as they were approved in conjunction with the restricted share awards.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contains certain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900" w:right="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900" w:right="30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900" w:right="4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900" w:right="60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the expansion of our campus, potential acquisitions of, or investments in, new businesses, acquisitions of new properties, or the development of new campuses;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competition, including competition for students and for qualified executives and other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900" w:right="380" w:hanging="325"/>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for the fiscal year ended December 31, 2015,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are a comprehensive regionally accredited university that offers over 200 graduate and undergraduate degree programs and certificates across nine colleges both online and on ground at our approximately 250-acre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utilize an integrated, innovative approach to marketing, recruiting, and retaining both traditional-aged students attending on our campus in Phoenix, Arizona and working adult students attending on our campus or at off-site locations in cohorts (referred to by us as professional studies students) or online, which has enabled us to increase enrollment to approximately 75,100 at March 31, 2016.</w:t>
      </w:r>
    </w:p>
    <w:p>
      <w:pPr>
        <w:spacing w:after="0" w:line="17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End-of-period enrollment increased 8.0% between March 31, 2016 and March 31, 2015, as ground enrollment increased 17.0% and online enrollment increased 6.1%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our largest local competitor’s undergraduate tuition for online programs ranges from $490 to $553 per credit hour and its graduate tuition for online programs ranges from $492 to $852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Net revenues increased 16.9% over the first fiscal quarter of the prior year primarily due to the enrollment growth and due to an increase in ancillary revenues resulting from the increased traditional student enrollment (e.g. housing, food, etc.). We did not raise tuition in any of our programs for our 2014-2015 academic year. A tuition increase of approximately 1% was implemented for the majority of our online programs for our 2015-2016 academic year. We have not raised our tuition for our traditional ground programs in seven years. Operating income was $68.7 million for the three months ended March 31, 2016, an increase of 22.7% over the $56.0 million in operating income for the three months ended March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student enrollment at March 31, 2016 and 2015 by degree type and by instructional delivery method: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7"/>
                <w:szCs w:val="7"/>
                <w:color w:val="auto"/>
              </w:rPr>
              <w:t>(1)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7"/>
                <w:szCs w:val="7"/>
                <w:color w:val="auto"/>
              </w:rPr>
              <w:t>(1)</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gridSpan w:val="4"/>
          </w:tcPr>
          <w:p>
            <w:pPr>
              <w:jc w:val="center"/>
              <w:ind w:right="36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380" w:type="dxa"/>
            <w:vAlign w:val="bottom"/>
            <w:tcBorders>
              <w:bottom w:val="single" w:sz="8" w:color="CCEEFF"/>
            </w:tcBorders>
            <w:gridSpan w:val="2"/>
          </w:tcPr>
          <w:p>
            <w:pPr>
              <w:spacing w:after="0"/>
              <w:rPr>
                <w:sz w:val="14"/>
                <w:szCs w:val="14"/>
                <w:color w:val="auto"/>
              </w:rPr>
            </w:pPr>
          </w:p>
        </w:tc>
        <w:tc>
          <w:tcPr>
            <w:tcW w:w="4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30,519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27,767</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Undergraduate degree</w:t>
            </w: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rPr>
              <w:t>44,577</w:t>
            </w:r>
          </w:p>
        </w:tc>
        <w:tc>
          <w:tcPr>
            <w:tcW w:w="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59.4%</w:t>
            </w:r>
          </w:p>
        </w:tc>
        <w:tc>
          <w:tcPr>
            <w:tcW w:w="940" w:type="dxa"/>
            <w:vAlign w:val="bottom"/>
            <w:gridSpan w:val="4"/>
          </w:tcPr>
          <w:p>
            <w:pPr>
              <w:jc w:val="right"/>
              <w:ind w:right="380"/>
              <w:spacing w:after="0"/>
              <w:rPr>
                <w:sz w:val="20"/>
                <w:szCs w:val="20"/>
                <w:color w:val="auto"/>
              </w:rPr>
            </w:pPr>
            <w:r>
              <w:rPr>
                <w:rFonts w:ascii="Arial" w:cs="Arial" w:eastAsia="Arial" w:hAnsi="Arial"/>
                <w:sz w:val="18"/>
                <w:szCs w:val="18"/>
                <w:color w:val="auto"/>
                <w:w w:val="98"/>
              </w:rPr>
              <w:t>41,785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75,096</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8"/>
              </w:rPr>
              <w:t>100.0%</w:t>
            </w:r>
          </w:p>
        </w:tc>
        <w:tc>
          <w:tcPr>
            <w:tcW w:w="9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8"/>
              </w:rPr>
              <w:t>69,552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7"/>
                <w:szCs w:val="7"/>
                <w:color w:val="auto"/>
              </w:rPr>
              <w:t>(1)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7"/>
                <w:szCs w:val="7"/>
                <w:color w:val="auto"/>
              </w:rPr>
              <w:t>(1)</w:t>
            </w:r>
          </w:p>
        </w:tc>
        <w:tc>
          <w:tcPr>
            <w:tcW w:w="4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4"/>
          </w:tcPr>
          <w:p>
            <w:pPr>
              <w:jc w:val="center"/>
              <w:ind w:right="420"/>
              <w:spacing w:after="0" w:line="119" w:lineRule="exact"/>
              <w:rPr>
                <w:sz w:val="20"/>
                <w:szCs w:val="20"/>
                <w:color w:val="auto"/>
              </w:rPr>
            </w:pPr>
            <w:r>
              <w:rPr>
                <w:rFonts w:ascii="Arial" w:cs="Arial" w:eastAsia="Arial" w:hAnsi="Arial"/>
                <w:sz w:val="13"/>
                <w:szCs w:val="13"/>
                <w:b w:val="1"/>
                <w:bCs w:val="1"/>
                <w:color w:val="auto"/>
              </w:rPr>
              <w:t># of</w:t>
            </w:r>
          </w:p>
        </w:tc>
        <w:tc>
          <w:tcPr>
            <w:tcW w:w="44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4"/>
              </w:rPr>
              <w:t># of</w:t>
            </w:r>
          </w:p>
        </w:tc>
        <w:tc>
          <w:tcPr>
            <w:tcW w:w="46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Students</w:t>
            </w:r>
          </w:p>
        </w:tc>
        <w:tc>
          <w:tcPr>
            <w:tcW w:w="3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CCEEFF"/>
            </w:tcBorders>
            <w:gridSpan w:val="2"/>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Students</w:t>
            </w:r>
          </w:p>
        </w:tc>
        <w:tc>
          <w:tcPr>
            <w:tcW w:w="400" w:type="dxa"/>
            <w:vAlign w:val="bottom"/>
            <w:tcBorders>
              <w:bottom w:val="single" w:sz="8" w:color="CCEEFF"/>
            </w:tcBorders>
            <w:gridSpan w:val="2"/>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60,938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81.1%</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3"/>
              </w:rPr>
              <w:t>57,450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580" w:type="dxa"/>
            <w:vAlign w:val="bottom"/>
            <w:gridSpan w:val="3"/>
          </w:tcPr>
          <w:p>
            <w:pPr>
              <w:jc w:val="center"/>
              <w:spacing w:after="0"/>
              <w:rPr>
                <w:sz w:val="20"/>
                <w:szCs w:val="20"/>
                <w:color w:val="auto"/>
              </w:rPr>
            </w:pPr>
            <w:r>
              <w:rPr>
                <w:rFonts w:ascii="Arial" w:cs="Arial" w:eastAsia="Arial" w:hAnsi="Arial"/>
                <w:sz w:val="18"/>
                <w:szCs w:val="18"/>
                <w:color w:val="auto"/>
                <w:w w:val="90"/>
              </w:rPr>
              <w:t>14,158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18.9%</w:t>
            </w:r>
          </w:p>
        </w:tc>
        <w:tc>
          <w:tcPr>
            <w:tcW w:w="560" w:type="dxa"/>
            <w:vAlign w:val="bottom"/>
            <w:gridSpan w:val="3"/>
          </w:tcPr>
          <w:p>
            <w:pPr>
              <w:ind w:left="60"/>
              <w:spacing w:after="0"/>
              <w:rPr>
                <w:sz w:val="20"/>
                <w:szCs w:val="20"/>
                <w:color w:val="auto"/>
              </w:rPr>
            </w:pPr>
            <w:r>
              <w:rPr>
                <w:rFonts w:ascii="Arial" w:cs="Arial" w:eastAsia="Arial" w:hAnsi="Arial"/>
                <w:sz w:val="18"/>
                <w:szCs w:val="18"/>
                <w:color w:val="auto"/>
                <w:w w:val="87"/>
              </w:rPr>
              <w:t>12,102</w:t>
            </w:r>
          </w:p>
        </w:tc>
        <w:tc>
          <w:tcPr>
            <w:tcW w:w="3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75,096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4"/>
              </w:rPr>
              <w:t>100.0%</w:t>
            </w:r>
          </w:p>
        </w:tc>
        <w:tc>
          <w:tcPr>
            <w:tcW w:w="5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7"/>
              </w:rPr>
              <w:t>69,552</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580" w:hanging="452"/>
        <w:spacing w:after="0" w:line="274" w:lineRule="auto"/>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Enrollment at March 31, 2016 and 2015 represents individual students who attended a course during the last two months of the calendar quarter. Included in enrollment at March 31, 2016 and 2015 are students pursuing non-degree certificates of 927 and 864, respectively.</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6,648 and 5,792 students pursuing doctoral degrees at March 31, 2016 and 2015, respectively.</w:t>
      </w:r>
    </w:p>
    <w:p>
      <w:pPr>
        <w:spacing w:after="0" w:line="9" w:lineRule="exact"/>
        <w:rPr>
          <w:rFonts w:ascii="Arial" w:cs="Arial" w:eastAsia="Arial" w:hAnsi="Arial"/>
          <w:sz w:val="15"/>
          <w:szCs w:val="15"/>
          <w:color w:val="auto"/>
        </w:rPr>
      </w:pPr>
    </w:p>
    <w:p>
      <w:pPr>
        <w:ind w:left="460" w:right="40" w:hanging="452"/>
        <w:spacing w:after="0" w:line="25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As of March 31, 2016 and 2015, 48.5% and 46.6%, respectively, of our working adult students (online and professional studies students) were pursuing graduate degrees.</w:t>
      </w: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Includes both our traditional on-campus ground students, as well as our professional studies students.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critical accounting policies are disclosed in our Annual Report on Form 10-K for the fiscal year ended December 31, 2015. During the three months ended March 31, 2016, there have been no significant changes in our critical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key trends, developments and challenges facing the University are disclosed in our Annual Report on Form 10-K for the fiscal year ended December 31, 2015. During the three months ended March 31, 2016, there have been no significant changes in these trends. See Item 7, “Management’s Discussion and Analysis of Financial Condition and Results of Operations – Key Trends, Developments and Challenges” in our Annual Report on Form 10-K for our fiscal year ended December 31, 2015, which is incorporated herein by reference.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income statement data as a percentage of net revenue for each of the periods indicated:</w:t>
      </w:r>
    </w:p>
    <w:p>
      <w:pPr>
        <w:spacing w:after="0" w:line="24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Three Months Ended</w:t>
      </w:r>
    </w:p>
    <w:p>
      <w:pPr>
        <w:jc w:val="center"/>
        <w:ind w:left="6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500" w:type="dxa"/>
            <w:vAlign w:val="bottom"/>
          </w:tcPr>
          <w:p>
            <w:pPr>
              <w:jc w:val="right"/>
              <w:spacing w:after="0"/>
              <w:rPr>
                <w:sz w:val="20"/>
                <w:szCs w:val="20"/>
                <w:color w:val="auto"/>
              </w:rPr>
            </w:pPr>
            <w:r>
              <w:rPr>
                <w:rFonts w:ascii="Arial" w:cs="Arial" w:eastAsia="Arial" w:hAnsi="Arial"/>
                <w:sz w:val="18"/>
                <w:szCs w:val="18"/>
                <w:color w:val="auto"/>
              </w:rPr>
              <w:t>13.0</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54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9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5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54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to Three Months Ended March 31, 2015</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three months ended March 31, 2016 was $227.0 million, an increase of $32.9 million, or 16.9%,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net revenue of $194.1 million for the three months ended March 31, 2015. This increase was primarily due to an increase in ground and online enrollment and, to a lesser extent, an increase in room and board and other student fees, partially offset by an increase in institutional scholarships. We did not raise tuition in any of our programs for our 2014-2015 academic year. A tuition increase of approximately 1% was implemented for the majority of our online programs in September 2015. We have not raised our tuition for our traditional ground program in seven years. End-of-period enrollment increased 8.0% between March 31, 2016 and March 31, 2015, as ground enrollment increased 17.0%, and online enrollment increased 6.1% over the prior year. The majority of the ground enrollment growth between years was residential students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an amount for tuition, room, board, and fees in an amount that is often half to a third of what it costs to attend a private, traditional university in another state and an amount comparable to what it costs to attend a public university.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Instructional costs and services expenses</w:t>
      </w:r>
      <w:r>
        <w:rPr>
          <w:rFonts w:ascii="Arial" w:cs="Arial" w:eastAsia="Arial" w:hAnsi="Arial"/>
          <w:sz w:val="17"/>
          <w:szCs w:val="17"/>
          <w:color w:val="auto"/>
        </w:rPr>
        <w:t>. Our instructional costs and services expenses for the three months ended March 31, 2016 were $94.7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$16.0 million, or 20.3%, as compared to instructional costs and services expenses of $78.7 million for the three months ended March 31, 2015. This increase was primarily due to increases in employee compensation and related expenses including share based compensation, faculty compensation, dues, fees and subscriptions and other instructional supplies, depreciation and amortization and occupancy expense, and other instructional compensation and related expenses, of $4.4 million, $3.1 million, $3.4 million, $3.3 million, and $1.8 million, respectively. The increase in employee compensation and related expenses and faculty compensation are primarily due to the increase in the number of staff and faculty needed to support the increasing number of students attending the University. In addition, we have incurred an increase in benefit costs between years. The increase in dues, fees, subscriptions and other instructional supplies is primarily due to increased licensing fees related to educational resources and increased food costs associated with a higher number of residential students. The increase in depreciation and amortization and occupancy costs is the result of our placing into service additional buildings to support the growing number of ground traditional students in the Fall of 2015. Our instructional costs and services expenses as a percentage of net revenues increased 1.2% to 41.7% for the three months ended March 31, 2016, from 40.5% for the three months ended March 31, 2015 primarily due to an increase in dues, fees, and subscriptions as a percentage of revenue of 0.6% due to the low profit margin derived on food sales and an increase in depreciation and amortization and occupancy expense as a percentage of revenue of 0.6%. Bad debt expense stayed flat at 2.0% of net revenues for the three months ended March 31, 2016 and 2015.</w:t>
      </w:r>
    </w:p>
    <w:p>
      <w:pPr>
        <w:spacing w:after="0" w:line="18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three months ended March 31, 2016 were $29.5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 increase of $1.2 million, or 4.3%, as compared to admissions advisory and related expenses of $28.3 million for the three months ended March 31, 2015. This increase is primarily the result of increases in employee compensation and related expenses including share based compensation and other advisory related expense of $1.1 million and $0.1 million, respectively. The increase in employee compensation and related expenses is primarily due to increased headcount and an increase in benefit costs between years. Our admissions advisory and related expenses as a percentage of revenue decreased 1.6% to 13.0% for the three months ended March 31, 2016, from 14.6% for the three months ended March 31, 2015 primarily due to our ability to leverage our admissions advisory personnel across an increasing revenue base.</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Advertising expenses</w:t>
      </w:r>
      <w:r>
        <w:rPr>
          <w:rFonts w:ascii="Arial" w:cs="Arial" w:eastAsia="Arial" w:hAnsi="Arial"/>
          <w:sz w:val="18"/>
          <w:szCs w:val="18"/>
          <w:color w:val="auto"/>
        </w:rPr>
        <w:t>. Our advertising expenses for the three months ended March 31, 2016 were $21.1 million, an increase of $1.1 million, or 5.4%,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advertising expenses of $20.0 million for the three months ended March 31, 2015. This increase is primarily the result of increased branding advertising focused on the southwestern United States region. Our advertising expenses as a percentage of net revenue decreased by 1.0% to 9.3% for the three months ended March 31, 2016, from 10.3% for the three months ended March 31, 2015.</w:t>
      </w:r>
    </w:p>
    <w:p>
      <w:pPr>
        <w:spacing w:after="0" w:line="18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i w:val="1"/>
          <w:iCs w:val="1"/>
          <w:color w:val="auto"/>
        </w:rPr>
        <w:t>Marketing and promotional expenses</w:t>
      </w:r>
      <w:r>
        <w:rPr>
          <w:rFonts w:ascii="Arial" w:cs="Arial" w:eastAsia="Arial" w:hAnsi="Arial"/>
          <w:sz w:val="17"/>
          <w:szCs w:val="17"/>
          <w:color w:val="auto"/>
        </w:rPr>
        <w:t>. Our marketing and promotional expenses for the three months ended March 31, 2016 were $2.2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$0.5 million, or 32.4%, as compared to marketing and promotional expenses of $1.7 million for the three months ended March 31, 2015. This increase is primarily the result of increases in employee compensation and related expenses including stock based compensation and other promotional expenses of $0.3 million and $0.2 million, respectively. Our marketing and promotional expenses as a percentage of net revenue increased 0.1% to 1.0% for the three months ended March 31, 2016, from 0.9% for the three months ended March 31, 2015.</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for the three months ended March 31, 2016 was $10.7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 million, or 14.1%, as compared to general and administrative expenses of $9.4 million for the three months ended March 31, 2015. This increase was primarily due to increases in employee compensation and related expenses including share based compensation and legal and other professional costs incurred as a result of our consideration of a not for profit entity conversion of $0.2 million and $1.1 million, respectively. Our general and administrative expenses as a percentage of net revenue decreased by 0.1% to 4.7% for the three months ended March 31, 2016, from 4.8% for the three months ended March 31, 2015 due to our ability to leverage the fixed costs structure of our general and administrative expenses across an increasing revenue base.</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for the three months ended March 31, 2016 was $0.3 million, a decrease of $0.1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$0.4 million for the three months ended March 31, 2015. This decrease was primarily due to a decrease in the average balance of our credit facility between periods due to scheduled monthly principal payments. Our interest expense decreased as a percentage of net revenue by 0.1% to 0.1% for the three months ended March 31, 2016, from 0.2% for the three months ended March 31, 2015.</w:t>
      </w:r>
    </w:p>
    <w:p>
      <w:pPr>
        <w:spacing w:after="0" w:line="187"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i w:val="1"/>
          <w:iCs w:val="1"/>
          <w:color w:val="auto"/>
        </w:rPr>
        <w:t>Interest and other income</w:t>
      </w:r>
      <w:r>
        <w:rPr>
          <w:rFonts w:ascii="Arial" w:cs="Arial" w:eastAsia="Arial" w:hAnsi="Arial"/>
          <w:sz w:val="16"/>
          <w:szCs w:val="16"/>
          <w:color w:val="auto"/>
        </w:rPr>
        <w:t>. Interest and other income for the three months ended March 31, 2016 was $2.0 million, an increase of $1.7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interest and other income of $0.3 million in the three months ended March 31, 2015. The increase was primarily due to the University’s proportional share of equity interest income of $1.7 million related to our ownership interest in LoudCloud in the first quarter of 2016.</w:t>
      </w:r>
    </w:p>
    <w:p>
      <w:pPr>
        <w:spacing w:after="0" w:line="14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three months ended March 31, 2016 was $26.7 million, an increase of $5.0 million, or 23.3%,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income tax expense of $21.7 million for the three months ended March 31, 2015. Our effective tax rate was 38.0% during the first quarter of 2016 compared to 38.8% during the first quarter of 2015. Favorable variance in the effective tax rate year over year is primarily due to the continued phase-in of market sourcing for apportionment of Arizona sales and a 0.5% decrease in the Arizona corporate income tax rate.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March 31, 2016 was $43.7 million, an increase of $9.5 million, as compared to $34.2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2015,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Since we intend to continue to increase the relative proportion of our students that are ground traditional students,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We financed our operating activities and capital expenditures during the three months ended March 31, 2016 and 2015 primarily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Our unrestricted cash and cash equivalents and investments were $132.9 million and $106.4 million at March 31, 2016 and December 31, 2015, respectively. Our restricted cash, cash equivalents and investments at March 31, 2016 and December 31, 2015 were $62.5 million and $75.4 million, respectively. In December 2012, we entered into a new credit agreement, which increased our term loan to $100 million with a maturity date of December 2019. Additionally, this facility, as amended in January 2016, provides a revolving line of credit in the amount of $150 million through December 2017 to be utilized for working capital, capital expenditures and other general corporate purposes. Indebtedness under the credit facility is secured by our assets and is guaranteed by certain of our subsidiaries. No amounts were drawn on the revolver as of March 31, 2016.</w:t>
      </w:r>
    </w:p>
    <w:p>
      <w:pPr>
        <w:spacing w:after="0" w:line="16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an aggregate of $175.0 million of our common stock, from time to time, depending on market conditions and other considerations. The current expiration date on the repurchase authorization by our Board of Directors is December 31, 2017. Repurchases occur at the University’s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inception of our share repurchase program, the University has purchased 3.5 million shares of common stock at an aggregate cost of $75.0 million. During the three months ended March 31, 2016 the University repurchased 395,555 shares of common stock at an aggregate cost of $14.6 million. At March 31, 2016, there remains $100.0 million available under our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Operating Activities</w:t>
      </w:r>
      <w:r>
        <w:rPr>
          <w:rFonts w:ascii="Arial" w:cs="Arial" w:eastAsia="Arial" w:hAnsi="Arial"/>
          <w:sz w:val="17"/>
          <w:szCs w:val="17"/>
          <w:color w:val="auto"/>
        </w:rPr>
        <w:t>. Net cash provided by operating activities for the three months ended March 31, 2016 was $96.3 million as compared to</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$68.2 million for the three months ended March 31, 2015. The increase in cash generated from operating activities between the three months ended March 31, 2015 and the three months ended March 31, 2016 is primarily due to increased net income and the timing of income tax and employee-related payments as well as changes in other working capital items, such as accounts payable.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$56.0 million and $46.0 million for the three months ended March 31, 2016 and 2015,</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Our cash used in investing activities was primarily related to the purchase of short-term investments and capital expenditures. Purchases of short-term investments net of proceeds of these investments was $0.8 million and $0.2 million during the three months ended March 31, 2016 and 2015, respectively. Capital expenditures were $49.8 million and $44.2 million for the three months ended March 31, 2016 and 2015, respectively. During the three-month period for 2016, capital expenditures primarily consisted of ground campus building projects that started in late 2015, including three more apartment style residence halls, a 170,000 square foot classroom building for our College of Science, Engineering and Technology, a student service center, and a fourth parking structure, as well as land purchases adjacent to or near our Phoenix campus, and purchases of computer equipment, other internal use software projects and furniture and equipment to support our increasing employee headcount. Included in off-site development during 2016 is $7.7 million related to an off-site office building and parking garage that is in close proximity to our ground traditional campus. Employees that work in two leased office building in the Phoenix area will be consolidated into this new building when it’s expected to be completed in late 2016. In addition, during the first quarter of 2016, we received a $1.7 million return on our equity method investment. During the three-month period for 2015, capital expenditures primarily consisted of ground campus building projects, including the construction of four additional dormitories, an additional classroom building for our College of Science, Engineering and Technology and a new parking structure to support our growing traditional student enrollment as well as purchases of computer equipment, other internal use software projects and furniture and equipment to support our increasing employee headcount. Included in off-site development for 2015 is $1.5 million we spent on the Maryvale Golf Course under a partnership agreement with the City of Phoenix. The revitalization was completed by the end of 2015 and the golf course is now known as Grand Canyon University Championship Golf Course.</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used in financing activities was $14.5 million and $1.3 million for the three months ended March 31, 2016 and 2015,</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During the three-month period for 2016, $14.6 million was used to purchase treasury stock in accordance with the University’s share repurchase program and $4.6 million was used to purchase common shares withheld in lieu of income taxes resulting from restricted share awards while principal payments on notes payable and capital leases totaled $2.1 million and debit issuance costs for the increase in our revolving line of credit totaled $0.2 million, partially offset by proceeds from the exercise of stock options of $3.5 million and excess tax benefits from share-based compensation of $3.5 million. During the three-month period for 2015, $4.2 million was used to purchase common shares withheld in lieu of income taxes resulting from restricted share awards and principal payments on notes payable and capital leases totaled $1.7 million, partially offset by proceeds from the exercise of stock options of $1.7 million and excess tax benefits from share-based compensation of $2.8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as of March 31, 2016,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1 Year (1)</w:t>
            </w:r>
          </w:p>
        </w:tc>
        <w:tc>
          <w:tcPr>
            <w:tcW w:w="96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181.4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173.1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279.7</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182.5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Payments due in less than one year represent expected expenditures from April 1, 2016 through December 31,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March 31,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three months ended March 31, 2016 or</w:t>
      </w:r>
      <w:r>
        <w:rPr>
          <w:rFonts w:ascii="Arial" w:cs="Arial" w:eastAsia="Arial" w:hAnsi="Arial"/>
          <w:sz w:val="17"/>
          <w:szCs w:val="17"/>
          <w:i w:val="1"/>
          <w:iCs w:val="1"/>
          <w:color w:val="auto"/>
        </w:rPr>
        <w:t xml:space="preserve"> </w:t>
      </w:r>
      <w:r>
        <w:rPr>
          <w:rFonts w:ascii="Arial" w:cs="Arial" w:eastAsia="Arial" w:hAnsi="Arial"/>
          <w:sz w:val="17"/>
          <w:szCs w:val="17"/>
          <w:color w:val="auto"/>
        </w:rPr>
        <w:t>2015. There can be no assurance that future inflation will not have an adverse impact on our operating results and financial condition.</w:t>
      </w:r>
    </w:p>
    <w:p>
      <w:pPr>
        <w:spacing w:after="0" w:line="147"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 Day LIBOR interest exposure from the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debt matures in December 2019. The corridor instrument, which hedges variable interest rate risk starting March 1, 2013 through December 20, 2019 with a notional amount of $78.3 million as of March 31, 2016, permits us to hedge our interest rate risk at several thresholds. Under this arrangement, in addition to the credit spread we will pay variable interest rates based on the 30 Day LIBOR rates monthly until that index reaches 1.5%. If 30 Day LIBOR is equal to 1.5% through 3.0%, we will continue to pay 1.5%. If 30 Day LIBOR exceeds 3.0%, we will pay actual 30 Day LIBOR less 1.5%.</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short-term certificates of deposit and money market instruments in multiple financial institutions.</w:t>
      </w:r>
    </w:p>
    <w:p>
      <w:pPr>
        <w:spacing w:after="0" w:line="14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through the instruments noted above and by investing excess funds in cash equivalents, A rated</w:t>
      </w:r>
      <w:r>
        <w:rPr>
          <w:rFonts w:ascii="Arial" w:cs="Arial" w:eastAsia="Arial" w:hAnsi="Arial"/>
          <w:sz w:val="17"/>
          <w:szCs w:val="17"/>
          <w:i w:val="1"/>
          <w:iCs w:val="1"/>
          <w:color w:val="auto"/>
        </w:rPr>
        <w:t xml:space="preserve"> </w:t>
      </w:r>
      <w:r>
        <w:rPr>
          <w:rFonts w:ascii="Arial" w:cs="Arial" w:eastAsia="Arial" w:hAnsi="Arial"/>
          <w:sz w:val="17"/>
          <w:szCs w:val="17"/>
          <w:color w:val="auto"/>
        </w:rPr>
        <w:t>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that have declined in market value due to changes in interest rates. At March 31, 2016, a 10% increase or decrease in interest rates would not have a material impact on our future earnings, fair values, or cash flows. For information regarding our variable rate debt, see “Market risk” above.</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March 31, 2016,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There have been no material changes to the risk factors disclosed in the “Risk Factors” section of our Annual Report on Form 10-K for the year ended December 31,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Board of Directors has authorized the University to repurchase up to an aggregate of $175.0 million of common stock, from time to time, depending on market conditions and other considerations. The current expiration date on the repurchase authorization is December 31, 2017.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March 31, 2016, we repurchased 395,555 shares of common stock at an aggregate cost of $14.6 million. At March 31, 2016, there remains $100.0 million available under our share repurchase authorization.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firstLine="456"/>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2016:</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4"/>
              </w:rPr>
              <w:t>Repurchases</w:t>
            </w:r>
          </w:p>
        </w:tc>
        <w:tc>
          <w:tcPr>
            <w:tcW w:w="2880" w:type="dxa"/>
            <w:vAlign w:val="bottom"/>
            <w:vMerge w:val="restart"/>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79"/>
              </w:rPr>
              <w:t>Share</w:t>
            </w:r>
          </w:p>
        </w:tc>
        <w:tc>
          <w:tcPr>
            <w:tcW w:w="80" w:type="dxa"/>
            <w:vAlign w:val="bottom"/>
            <w:tcBorders>
              <w:bottom w:val="single" w:sz="8" w:color="auto"/>
            </w:tcBorders>
            <w:gridSpan w:val="2"/>
          </w:tcPr>
          <w:p>
            <w:pPr>
              <w:spacing w:after="0"/>
              <w:rPr>
                <w:sz w:val="13"/>
                <w:szCs w:val="13"/>
                <w:color w:val="auto"/>
              </w:rPr>
            </w:pPr>
          </w:p>
        </w:tc>
        <w:tc>
          <w:tcPr>
            <w:tcW w:w="980" w:type="dxa"/>
            <w:vAlign w:val="bottom"/>
            <w:tcBorders>
              <w:bottom w:val="single" w:sz="8" w:color="auto"/>
            </w:tcBorders>
            <w:gridSpan w:val="2"/>
            <w:vMerge w:val="continue"/>
          </w:tcPr>
          <w:p>
            <w:pPr>
              <w:spacing w:after="0"/>
              <w:rPr>
                <w:sz w:val="13"/>
                <w:szCs w:val="13"/>
                <w:color w:val="auto"/>
              </w:rPr>
            </w:pPr>
          </w:p>
        </w:tc>
        <w:tc>
          <w:tcPr>
            <w:tcW w:w="2880" w:type="dxa"/>
            <w:vAlign w:val="bottom"/>
            <w:vMerge w:val="continue"/>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360" w:type="dxa"/>
            <w:vAlign w:val="bottom"/>
            <w:gridSpan w:val="6"/>
          </w:tcPr>
          <w:p>
            <w:pPr>
              <w:spacing w:after="0"/>
              <w:rPr>
                <w:sz w:val="20"/>
                <w:szCs w:val="20"/>
                <w:color w:val="auto"/>
              </w:rPr>
            </w:pPr>
            <w:r>
              <w:rPr>
                <w:rFonts w:ascii="Arial" w:cs="Arial" w:eastAsia="Arial" w:hAnsi="Arial"/>
                <w:sz w:val="18"/>
                <w:szCs w:val="18"/>
                <w:color w:val="auto"/>
              </w:rPr>
              <w:t>January 1, 2016 – January 31, 2016</w:t>
            </w:r>
          </w:p>
        </w:tc>
        <w:tc>
          <w:tcPr>
            <w:tcW w:w="1100" w:type="dxa"/>
            <w:vAlign w:val="bottom"/>
          </w:tcPr>
          <w:p>
            <w:pPr>
              <w:jc w:val="right"/>
              <w:spacing w:after="0"/>
              <w:rPr>
                <w:sz w:val="20"/>
                <w:szCs w:val="20"/>
                <w:color w:val="auto"/>
              </w:rPr>
            </w:pPr>
            <w:r>
              <w:rPr>
                <w:rFonts w:ascii="Arial" w:cs="Arial" w:eastAsia="Arial" w:hAnsi="Arial"/>
                <w:sz w:val="18"/>
                <w:szCs w:val="18"/>
                <w:color w:val="auto"/>
              </w:rPr>
              <w:t>321,417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6"/>
          </w:tcPr>
          <w:p>
            <w:pPr>
              <w:spacing w:after="0"/>
              <w:rPr>
                <w:sz w:val="20"/>
                <w:szCs w:val="20"/>
                <w:color w:val="auto"/>
              </w:rPr>
            </w:pPr>
            <w:r>
              <w:rPr>
                <w:rFonts w:ascii="Arial" w:cs="Arial" w:eastAsia="Arial" w:hAnsi="Arial"/>
                <w:sz w:val="18"/>
                <w:szCs w:val="18"/>
                <w:color w:val="auto"/>
              </w:rPr>
              <w:t>February 1, 2016 – February 29, 2016</w:t>
            </w:r>
          </w:p>
        </w:tc>
        <w:tc>
          <w:tcPr>
            <w:tcW w:w="1100" w:type="dxa"/>
            <w:vAlign w:val="bottom"/>
          </w:tcPr>
          <w:p>
            <w:pPr>
              <w:jc w:val="right"/>
              <w:spacing w:after="0"/>
              <w:rPr>
                <w:sz w:val="20"/>
                <w:szCs w:val="20"/>
                <w:color w:val="auto"/>
              </w:rPr>
            </w:pPr>
            <w:r>
              <w:rPr>
                <w:rFonts w:ascii="Arial" w:cs="Arial" w:eastAsia="Arial" w:hAnsi="Arial"/>
                <w:sz w:val="18"/>
                <w:szCs w:val="18"/>
                <w:color w:val="auto"/>
              </w:rPr>
              <w:t>74,138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360" w:type="dxa"/>
            <w:vAlign w:val="bottom"/>
            <w:gridSpan w:val="6"/>
          </w:tcPr>
          <w:p>
            <w:pPr>
              <w:spacing w:after="0"/>
              <w:rPr>
                <w:sz w:val="20"/>
                <w:szCs w:val="20"/>
                <w:color w:val="auto"/>
              </w:rPr>
            </w:pPr>
            <w:r>
              <w:rPr>
                <w:rFonts w:ascii="Arial" w:cs="Arial" w:eastAsia="Arial" w:hAnsi="Arial"/>
                <w:sz w:val="18"/>
                <w:szCs w:val="18"/>
                <w:color w:val="auto"/>
              </w:rPr>
              <w:t>March 1, 2016 – March 31, 2016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 w:type="dxa"/>
            <w:vAlign w:val="bottom"/>
          </w:tcPr>
          <w:p>
            <w:pPr>
              <w:spacing w:after="0"/>
              <w:rPr>
                <w:sz w:val="21"/>
                <w:szCs w:val="21"/>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Tax Withholdings</w:t>
            </w:r>
          </w:p>
        </w:tc>
        <w:tc>
          <w:tcPr>
            <w:tcW w:w="2980" w:type="dxa"/>
            <w:vAlign w:val="bottom"/>
            <w:gridSpan w:val="2"/>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360" w:type="dxa"/>
            <w:vAlign w:val="bottom"/>
            <w:gridSpan w:val="6"/>
          </w:tcPr>
          <w:p>
            <w:pPr>
              <w:spacing w:after="0"/>
              <w:rPr>
                <w:sz w:val="20"/>
                <w:szCs w:val="20"/>
                <w:color w:val="auto"/>
              </w:rPr>
            </w:pPr>
            <w:r>
              <w:rPr>
                <w:rFonts w:ascii="Arial" w:cs="Arial" w:eastAsia="Arial" w:hAnsi="Arial"/>
                <w:sz w:val="18"/>
                <w:szCs w:val="18"/>
                <w:color w:val="auto"/>
              </w:rPr>
              <w:t>January 1, 2016 – January 31, 2016</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gridSpan w:val="6"/>
          </w:tcPr>
          <w:p>
            <w:pPr>
              <w:spacing w:after="0"/>
              <w:rPr>
                <w:sz w:val="20"/>
                <w:szCs w:val="20"/>
                <w:color w:val="auto"/>
              </w:rPr>
            </w:pPr>
            <w:r>
              <w:rPr>
                <w:rFonts w:ascii="Arial" w:cs="Arial" w:eastAsia="Arial" w:hAnsi="Arial"/>
                <w:sz w:val="18"/>
                <w:szCs w:val="18"/>
                <w:color w:val="auto"/>
              </w:rPr>
              <w:t>February 1, 2016 – February 29, 2016</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360" w:type="dxa"/>
            <w:vAlign w:val="bottom"/>
            <w:gridSpan w:val="6"/>
          </w:tcPr>
          <w:p>
            <w:pPr>
              <w:spacing w:after="0"/>
              <w:rPr>
                <w:sz w:val="20"/>
                <w:szCs w:val="20"/>
                <w:color w:val="auto"/>
              </w:rPr>
            </w:pPr>
            <w:r>
              <w:rPr>
                <w:rFonts w:ascii="Arial" w:cs="Arial" w:eastAsia="Arial" w:hAnsi="Arial"/>
                <w:sz w:val="18"/>
                <w:szCs w:val="18"/>
                <w:color w:val="auto"/>
              </w:rPr>
              <w:t>March 1, 2016 – March 31, 2016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0" w:type="dxa"/>
            <w:vAlign w:val="bottom"/>
          </w:tcPr>
          <w:p>
            <w:pPr>
              <w:spacing w:after="0"/>
              <w:rPr>
                <w:sz w:val="24"/>
                <w:szCs w:val="24"/>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b w:val="1"/>
                <w:bCs w:val="1"/>
                <w:color w:val="auto"/>
              </w:rPr>
              <w:t>Defaults Upon Senior Securities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ind w:left="460"/>
              <w:spacing w:after="0"/>
              <w:rPr>
                <w:sz w:val="20"/>
                <w:szCs w:val="20"/>
                <w:color w:val="auto"/>
              </w:rPr>
            </w:pPr>
            <w:r>
              <w:rPr>
                <w:rFonts w:ascii="Arial" w:cs="Arial" w:eastAsia="Arial" w:hAnsi="Arial"/>
                <w:sz w:val="18"/>
                <w:szCs w:val="18"/>
                <w:color w:val="auto"/>
                <w:w w:val="91"/>
              </w:rPr>
              <w:t>None.</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0" w:type="dxa"/>
            <w:vAlign w:val="bottom"/>
          </w:tcPr>
          <w:p>
            <w:pPr>
              <w:spacing w:after="0"/>
              <w:rPr>
                <w:sz w:val="24"/>
                <w:szCs w:val="24"/>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b w:val="1"/>
                <w:bCs w:val="1"/>
                <w:color w:val="auto"/>
              </w:rPr>
              <w:t>Mine Safety Disclosures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ind w:left="460"/>
              <w:spacing w:after="0"/>
              <w:rPr>
                <w:sz w:val="20"/>
                <w:szCs w:val="20"/>
                <w:color w:val="auto"/>
              </w:rPr>
            </w:pPr>
            <w:r>
              <w:rPr>
                <w:rFonts w:ascii="Arial" w:cs="Arial" w:eastAsia="Arial" w:hAnsi="Arial"/>
                <w:sz w:val="18"/>
                <w:szCs w:val="18"/>
                <w:color w:val="auto"/>
                <w:w w:val="91"/>
              </w:rPr>
              <w:t>None.</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40" w:type="dxa"/>
            <w:vAlign w:val="bottom"/>
          </w:tcPr>
          <w:p>
            <w:pPr>
              <w:spacing w:after="0"/>
              <w:rPr>
                <w:sz w:val="24"/>
                <w:szCs w:val="24"/>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3"/>
          </w:tcPr>
          <w:p>
            <w:pPr>
              <w:ind w:left="460"/>
              <w:spacing w:after="0"/>
              <w:rPr>
                <w:sz w:val="20"/>
                <w:szCs w:val="20"/>
                <w:color w:val="auto"/>
              </w:rPr>
            </w:pPr>
            <w:r>
              <w:rPr>
                <w:rFonts w:ascii="Arial" w:cs="Arial" w:eastAsia="Arial" w:hAnsi="Arial"/>
                <w:sz w:val="18"/>
                <w:szCs w:val="18"/>
                <w:color w:val="auto"/>
                <w:w w:val="91"/>
              </w:rPr>
              <w:t>None.</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40" w:type="dxa"/>
            <w:vAlign w:val="bottom"/>
          </w:tcPr>
          <w:p>
            <w:pPr>
              <w:spacing w:after="0"/>
              <w:rPr>
                <w:sz w:val="24"/>
                <w:szCs w:val="24"/>
                <w:color w:val="auto"/>
              </w:rPr>
            </w:pPr>
          </w:p>
        </w:tc>
        <w:tc>
          <w:tcPr>
            <w:tcW w:w="386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20" w:type="dxa"/>
            <w:vAlign w:val="bottom"/>
            <w:gridSpan w:val="7"/>
          </w:tcPr>
          <w:p>
            <w:pPr>
              <w:ind w:left="460"/>
              <w:spacing w:after="0"/>
              <w:rPr>
                <w:sz w:val="20"/>
                <w:szCs w:val="20"/>
                <w:color w:val="auto"/>
              </w:rPr>
            </w:pPr>
            <w:r>
              <w:rPr>
                <w:rFonts w:ascii="Arial" w:cs="Arial" w:eastAsia="Arial" w:hAnsi="Arial"/>
                <w:sz w:val="18"/>
                <w:szCs w:val="18"/>
                <w:color w:val="auto"/>
              </w:rPr>
              <w:t>(a) Exhibits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Description</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gridSpan w:val="4"/>
          </w:tcPr>
          <w:p>
            <w:pPr>
              <w:ind w:left="40"/>
              <w:spacing w:after="0"/>
              <w:rPr>
                <w:sz w:val="20"/>
                <w:szCs w:val="20"/>
                <w:color w:val="auto"/>
              </w:rPr>
            </w:pPr>
            <w:r>
              <w:rPr>
                <w:rFonts w:ascii="Arial" w:cs="Arial" w:eastAsia="Arial" w:hAnsi="Arial"/>
                <w:sz w:val="18"/>
                <w:szCs w:val="18"/>
                <w:color w:val="auto"/>
                <w:w w:val="93"/>
              </w:rPr>
              <w:t>Amended and Restated Certificate of Incorporation.</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gridSpan w:val="4"/>
          </w:tcPr>
          <w:p>
            <w:pPr>
              <w:ind w:left="40"/>
              <w:spacing w:after="0"/>
              <w:rPr>
                <w:sz w:val="20"/>
                <w:szCs w:val="20"/>
                <w:color w:val="auto"/>
              </w:rPr>
            </w:pPr>
            <w:r>
              <w:rPr>
                <w:rFonts w:ascii="Arial" w:cs="Arial" w:eastAsia="Arial" w:hAnsi="Arial"/>
                <w:sz w:val="18"/>
                <w:szCs w:val="18"/>
                <w:color w:val="auto"/>
              </w:rPr>
              <w:t>Third Amended and Restated Bylaws.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gridSpan w:val="4"/>
          </w:tcPr>
          <w:p>
            <w:pPr>
              <w:ind w:left="40"/>
              <w:spacing w:after="0"/>
              <w:rPr>
                <w:sz w:val="20"/>
                <w:szCs w:val="20"/>
                <w:color w:val="auto"/>
              </w:rPr>
            </w:pPr>
            <w:r>
              <w:rPr>
                <w:rFonts w:ascii="Arial" w:cs="Arial" w:eastAsia="Arial" w:hAnsi="Arial"/>
                <w:sz w:val="18"/>
                <w:szCs w:val="18"/>
                <w:color w:val="auto"/>
              </w:rPr>
              <w:t>Specimen of Stock Certificate.</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gridSpan w:val="5"/>
          </w:tcPr>
          <w:p>
            <w:pPr>
              <w:ind w:left="40"/>
              <w:spacing w:after="0"/>
              <w:rPr>
                <w:sz w:val="20"/>
                <w:szCs w:val="20"/>
                <w:color w:val="auto"/>
              </w:rPr>
            </w:pPr>
            <w:r>
              <w:rPr>
                <w:rFonts w:ascii="Arial" w:cs="Arial" w:eastAsia="Arial" w:hAnsi="Arial"/>
                <w:sz w:val="18"/>
                <w:szCs w:val="18"/>
                <w:color w:val="auto"/>
                <w:w w:val="96"/>
              </w:rPr>
              <w:t>Amended Executive Employment Agreement, dated February 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0" w:type="dxa"/>
            <w:vAlign w:val="bottom"/>
            <w:gridSpan w:val="5"/>
          </w:tcPr>
          <w:p>
            <w:pPr>
              <w:ind w:left="40"/>
              <w:spacing w:after="0"/>
              <w:rPr>
                <w:sz w:val="20"/>
                <w:szCs w:val="20"/>
                <w:color w:val="auto"/>
              </w:rPr>
            </w:pPr>
            <w:r>
              <w:rPr>
                <w:rFonts w:ascii="Arial" w:cs="Arial" w:eastAsia="Arial" w:hAnsi="Arial"/>
                <w:sz w:val="18"/>
                <w:szCs w:val="18"/>
                <w:color w:val="auto"/>
                <w:w w:val="93"/>
              </w:rPr>
              <w:t>2016, by and between Grand Canyon Education, Inc. and Brian 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00" w:type="dxa"/>
            <w:vAlign w:val="bottom"/>
            <w:gridSpan w:val="4"/>
          </w:tcPr>
          <w:p>
            <w:pPr>
              <w:ind w:left="40"/>
              <w:spacing w:after="0"/>
              <w:rPr>
                <w:sz w:val="20"/>
                <w:szCs w:val="20"/>
                <w:color w:val="auto"/>
              </w:rPr>
            </w:pPr>
            <w:r>
              <w:rPr>
                <w:rFonts w:ascii="Arial" w:cs="Arial" w:eastAsia="Arial" w:hAnsi="Arial"/>
                <w:sz w:val="18"/>
                <w:szCs w:val="18"/>
                <w:color w:val="auto"/>
              </w:rPr>
              <w:t>Mueller†</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-6062345</wp:posOffset>
            </wp:positionV>
            <wp:extent cx="666369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-5788025</wp:posOffset>
            </wp:positionV>
            <wp:extent cx="66636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-5453380</wp:posOffset>
            </wp:positionV>
            <wp:extent cx="666369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-5119370</wp:posOffset>
            </wp:positionV>
            <wp:extent cx="666369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-4844415</wp:posOffset>
            </wp:positionV>
            <wp:extent cx="666369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22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Total Number of</w:t>
            </w:r>
          </w:p>
        </w:tc>
        <w:tc>
          <w:tcPr>
            <w:tcW w:w="3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Maximum Dollar</w:t>
            </w:r>
          </w:p>
        </w:tc>
        <w:tc>
          <w:tcPr>
            <w:tcW w:w="0" w:type="dxa"/>
            <w:vAlign w:val="bottom"/>
          </w:tcPr>
          <w:p>
            <w:pPr>
              <w:spacing w:after="0"/>
              <w:rPr>
                <w:sz w:val="1"/>
                <w:szCs w:val="1"/>
                <w:color w:val="auto"/>
              </w:rPr>
            </w:pPr>
          </w:p>
        </w:tc>
      </w:tr>
      <w:tr>
        <w:trPr>
          <w:trHeight w:val="149"/>
        </w:trPr>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Value of Shares</w:t>
            </w:r>
          </w:p>
        </w:tc>
        <w:tc>
          <w:tcPr>
            <w:tcW w:w="0" w:type="dxa"/>
            <w:vAlign w:val="bottom"/>
          </w:tcPr>
          <w:p>
            <w:pPr>
              <w:spacing w:after="0"/>
              <w:rPr>
                <w:sz w:val="1"/>
                <w:szCs w:val="1"/>
                <w:color w:val="auto"/>
              </w:rPr>
            </w:pPr>
          </w:p>
        </w:tc>
      </w:tr>
      <w:tr>
        <w:trPr>
          <w:trHeight w:val="149"/>
        </w:trPr>
        <w:tc>
          <w:tcPr>
            <w:tcW w:w="1280" w:type="dxa"/>
            <w:vAlign w:val="bottom"/>
            <w:gridSpan w:val="3"/>
            <w:vMerge w:val="continue"/>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2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9"/>
        </w:trPr>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Announced</w:t>
            </w:r>
          </w:p>
        </w:tc>
        <w:tc>
          <w:tcPr>
            <w:tcW w:w="32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71"/>
        </w:trPr>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6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398"/>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36.98</w:t>
            </w:r>
          </w:p>
        </w:tc>
        <w:tc>
          <w:tcPr>
            <w:tcW w:w="640" w:type="dxa"/>
            <w:vAlign w:val="bottom"/>
          </w:tcPr>
          <w:p>
            <w:pPr>
              <w:spacing w:after="0"/>
              <w:rPr>
                <w:sz w:val="24"/>
                <w:szCs w:val="24"/>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321,417</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2,698,000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36.39</w:t>
            </w:r>
          </w:p>
        </w:tc>
        <w:tc>
          <w:tcPr>
            <w:tcW w:w="64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74,138</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100,000,000</w:t>
            </w:r>
          </w:p>
        </w:tc>
        <w:tc>
          <w:tcPr>
            <w:tcW w:w="0" w:type="dxa"/>
            <w:vAlign w:val="bottom"/>
          </w:tcPr>
          <w:p>
            <w:pPr>
              <w:spacing w:after="0"/>
              <w:rPr>
                <w:sz w:val="1"/>
                <w:szCs w:val="1"/>
                <w:color w:val="auto"/>
              </w:rPr>
            </w:pPr>
          </w:p>
        </w:tc>
      </w:tr>
      <w:tr>
        <w:trPr>
          <w:trHeight w:val="291"/>
        </w:trPr>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64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395,555</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100,000,000</w:t>
            </w:r>
          </w:p>
        </w:tc>
        <w:tc>
          <w:tcPr>
            <w:tcW w:w="0" w:type="dxa"/>
            <w:vAlign w:val="bottom"/>
          </w:tcPr>
          <w:p>
            <w:pPr>
              <w:spacing w:after="0"/>
              <w:rPr>
                <w:sz w:val="1"/>
                <w:szCs w:val="1"/>
                <w:color w:val="auto"/>
              </w:rPr>
            </w:pPr>
          </w:p>
        </w:tc>
      </w:tr>
      <w:tr>
        <w:trPr>
          <w:trHeight w:val="492"/>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640" w:type="dxa"/>
            <w:vAlign w:val="bottom"/>
          </w:tcPr>
          <w:p>
            <w:pPr>
              <w:spacing w:after="0"/>
              <w:rPr>
                <w:sz w:val="20"/>
                <w:szCs w:val="20"/>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1"/>
        </w:trPr>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640" w:type="dxa"/>
            <w:vAlign w:val="bottom"/>
          </w:tcPr>
          <w:p>
            <w:pPr>
              <w:spacing w:after="0"/>
              <w:rPr>
                <w:sz w:val="24"/>
                <w:szCs w:val="24"/>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2156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2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10.4.1 to the University’s Annual Report on Form 10-K filed with the SEC on February 17, 2016.</w:t>
      </w:r>
    </w:p>
    <w:p>
      <w:pPr>
        <w:sectPr>
          <w:pgSz w:w="11900" w:h="16838" w:orient="portrait"/>
          <w:cols w:equalWidth="0" w:num="2">
            <w:col w:w="6020" w:space="340"/>
            <w:col w:w="5060"/>
          </w:cols>
          <w:pgMar w:left="240" w:top="45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820" w:right="40" w:hanging="809"/>
        <w:spacing w:after="0" w:line="342"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Executive Employment Agreement, dated February 9, 2016, by and between Grand Canyon Education, Inc. and W. Stan Meyer†</w:t>
      </w:r>
    </w:p>
    <w:p>
      <w:pPr>
        <w:spacing w:after="0" w:line="16" w:lineRule="exact"/>
        <w:rPr>
          <w:sz w:val="20"/>
          <w:szCs w:val="20"/>
          <w:color w:val="auto"/>
        </w:rPr>
      </w:pPr>
    </w:p>
    <w:p>
      <w:pPr>
        <w:jc w:val="right"/>
        <w:ind w:right="40"/>
        <w:spacing w:after="0" w:line="308" w:lineRule="auto"/>
        <w:rPr>
          <w:sz w:val="20"/>
          <w:szCs w:val="20"/>
          <w:color w:val="auto"/>
        </w:rPr>
      </w:pPr>
      <w:r>
        <w:rPr>
          <w:rFonts w:ascii="Arial" w:cs="Arial" w:eastAsia="Arial" w:hAnsi="Arial"/>
          <w:sz w:val="17"/>
          <w:szCs w:val="17"/>
          <w:color w:val="auto"/>
        </w:rPr>
        <w:t>10.3      Amended Executive Employment Agreement, dated February 9, 2016, by and between Grand Canyon Education, Inc. and Daniel E. Bachus†</w:t>
      </w:r>
    </w:p>
    <w:p>
      <w:pPr>
        <w:spacing w:after="0" w:line="38" w:lineRule="exact"/>
        <w:rPr>
          <w:sz w:val="20"/>
          <w:szCs w:val="20"/>
          <w:color w:val="auto"/>
        </w:rPr>
      </w:pPr>
    </w:p>
    <w:p>
      <w:pPr>
        <w:ind w:left="820" w:right="40" w:hanging="809"/>
        <w:spacing w:after="0" w:line="264"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Amended Executive Employment Agreement, dated February 9, 2016, by and between Grand Canyon Education, Inc. and Joseph N. Mildenhall†</w:t>
      </w:r>
    </w:p>
    <w:p>
      <w:pPr>
        <w:spacing w:after="0" w:line="73" w:lineRule="exact"/>
        <w:rPr>
          <w:sz w:val="20"/>
          <w:szCs w:val="20"/>
          <w:color w:val="auto"/>
        </w:rPr>
      </w:pPr>
    </w:p>
    <w:p>
      <w:pPr>
        <w:jc w:val="right"/>
        <w:ind w:right="40"/>
        <w:spacing w:after="0" w:line="308" w:lineRule="auto"/>
        <w:rPr>
          <w:sz w:val="20"/>
          <w:szCs w:val="20"/>
          <w:color w:val="auto"/>
        </w:rPr>
      </w:pPr>
      <w:r>
        <w:rPr>
          <w:rFonts w:ascii="Arial" w:cs="Arial" w:eastAsia="Arial" w:hAnsi="Arial"/>
          <w:sz w:val="17"/>
          <w:szCs w:val="17"/>
          <w:color w:val="auto"/>
        </w:rPr>
        <w:t>10.5      Amended Executive Employment Agreement, dated February 9, 2016, by and between Grand Canyon Education, Inc. and Brian M. Roberts†</w:t>
      </w:r>
    </w:p>
    <w:p>
      <w:pPr>
        <w:spacing w:after="0" w:line="38" w:lineRule="exact"/>
        <w:rPr>
          <w:sz w:val="20"/>
          <w:szCs w:val="20"/>
          <w:color w:val="auto"/>
        </w:rPr>
      </w:pPr>
    </w:p>
    <w:p>
      <w:pPr>
        <w:jc w:val="both"/>
        <w:ind w:left="820" w:right="240" w:hanging="809"/>
        <w:spacing w:after="0" w:line="264" w:lineRule="auto"/>
        <w:tabs>
          <w:tab w:leader="none" w:pos="8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Amendment No. 1 to Credit Agreement, dated January 15, 2016, by and among Grand Canyon Education, Inc., Bank of America, N.A., and the other parties named therein.</w:t>
      </w:r>
    </w:p>
    <w:p>
      <w:pPr>
        <w:spacing w:after="0" w:line="73" w:lineRule="exact"/>
        <w:rPr>
          <w:sz w:val="20"/>
          <w:szCs w:val="20"/>
          <w:color w:val="auto"/>
        </w:rPr>
      </w:pPr>
    </w:p>
    <w:p>
      <w:pPr>
        <w:ind w:left="820" w:right="320" w:hanging="809"/>
        <w:spacing w:after="0" w:line="264" w:lineRule="auto"/>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Principal Executive Officer pursuant to Rules 13a-14(a) and 15d-14(a), as adopted pursuant to Section 302 of the Sarbanes-Oxley Act of 2002.</w:t>
      </w:r>
    </w:p>
    <w:p>
      <w:pPr>
        <w:spacing w:after="0" w:line="73" w:lineRule="exact"/>
        <w:rPr>
          <w:sz w:val="20"/>
          <w:szCs w:val="20"/>
          <w:color w:val="auto"/>
        </w:rPr>
      </w:pPr>
    </w:p>
    <w:p>
      <w:pPr>
        <w:ind w:left="820" w:hanging="809"/>
        <w:spacing w:after="0" w:line="264"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Principal Financial Officer pursuant to Rules 13a-14(a) and 15d-14(a), as adopted pursuant to Section 302 of the Sarbanes-Oxley Act of 2002.</w:t>
      </w:r>
    </w:p>
    <w:p>
      <w:pPr>
        <w:spacing w:after="0" w:line="73" w:lineRule="exact"/>
        <w:rPr>
          <w:sz w:val="20"/>
          <w:szCs w:val="20"/>
          <w:color w:val="auto"/>
        </w:rPr>
      </w:pPr>
    </w:p>
    <w:p>
      <w:pPr>
        <w:jc w:val="both"/>
        <w:ind w:left="820" w:right="360" w:hanging="809"/>
        <w:spacing w:after="0" w:line="264"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Principal Executive Officer pursuant to 18 U.S.C. Section 1350, as adopted pursuant to Section 906 of the Sarbanes-Oxley Act of 2002. ††</w:t>
      </w:r>
    </w:p>
    <w:p>
      <w:pPr>
        <w:spacing w:after="0" w:line="73" w:lineRule="exact"/>
        <w:rPr>
          <w:sz w:val="20"/>
          <w:szCs w:val="20"/>
          <w:color w:val="auto"/>
        </w:rPr>
      </w:pPr>
    </w:p>
    <w:p>
      <w:pPr>
        <w:jc w:val="both"/>
        <w:ind w:left="820" w:right="360" w:hanging="809"/>
        <w:spacing w:after="0" w:line="264"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Principal Financial Officer pursuant to 18 U.S.C. Section 1350, as adopted pursuant to Section 906 of the Sarbanes-Oxley Act of 2002.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10.5.1 to the University’s Annual Report on Form 10-K filed with the SEC on February 17, 2016.</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10.6.1 to the University’s Annual Report on Form 10-K filed with the SEC on February 17, 2016.</w:t>
      </w:r>
    </w:p>
    <w:p>
      <w:pPr>
        <w:spacing w:after="0" w:line="23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10.7.1 to the University’s Annual Report on Form 10-K filed with the SEC on February 17, 2016.</w:t>
      </w:r>
    </w:p>
    <w:p>
      <w:pPr>
        <w:spacing w:after="0" w:line="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10.8.1 to the University’s Annual Report on Form 10-K filed with the SEC on February 17, 2016.</w:t>
      </w:r>
    </w:p>
    <w:p>
      <w:pPr>
        <w:spacing w:after="0" w:line="1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Incorporated by reference to Exhibit 10.10.1 to the University’s Annual Report on Form 10-K filed with the SEC on February 17,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76" w:lineRule="exact"/>
        <w:rPr>
          <w:sz w:val="20"/>
          <w:szCs w:val="20"/>
          <w:color w:val="auto"/>
        </w:rPr>
      </w:pPr>
    </w:p>
    <w:p>
      <w:pPr>
        <w:sectPr>
          <w:pgSz w:w="11900" w:h="16838" w:orient="portrait"/>
          <w:cols w:equalWidth="0" w:num="2">
            <w:col w:w="5940" w:space="340"/>
            <w:col w:w="5080"/>
          </w:cols>
          <w:pgMar w:left="240" w:top="459" w:right="299" w:bottom="1440" w:gutter="0" w:footer="0" w:header="0"/>
        </w:sectPr>
      </w:pPr>
    </w:p>
    <w:p>
      <w:pPr>
        <w:spacing w:after="0" w:line="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36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spacing w:after="0"/>
        <w:tabs>
          <w:tab w:leader="none" w:pos="6080" w:val="left"/>
          <w:tab w:leader="none" w:pos="6500" w:val="left"/>
        </w:tabs>
        <w:rPr>
          <w:sz w:val="20"/>
          <w:szCs w:val="20"/>
          <w:color w:val="auto"/>
        </w:rPr>
      </w:pPr>
      <w:r>
        <w:rPr>
          <w:rFonts w:ascii="Arial" w:cs="Arial" w:eastAsia="Arial" w:hAnsi="Arial"/>
          <w:sz w:val="18"/>
          <w:szCs w:val="18"/>
          <w:color w:val="auto"/>
        </w:rPr>
        <w:t>Date: May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1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40"/>
          </w:cols>
          <w:pgMar w:left="240" w:top="459" w:right="9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1280"/>
          </w:cols>
          <w:pgMar w:left="240" w:top="459" w:right="37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508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0"/>
              </w:rPr>
              <w:t>Amended Executive Employment Agreement, dated February 9, 2016,</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1"/>
              </w:rPr>
              <w:t>by and between Grand Canyon Education, Inc. and Brian E. Mueller†</w:t>
            </w:r>
          </w:p>
        </w:tc>
      </w:tr>
      <w:tr>
        <w:trPr>
          <w:trHeight w:val="526"/>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0"/>
              </w:rPr>
              <w:t>Amended Executive Employment Agreement, dated February 9, 2016,</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3"/>
              </w:rPr>
              <w:t>by and between Grand Canyon Education, Inc. and W. Stan Meyer†</w:t>
            </w:r>
          </w:p>
        </w:tc>
      </w:tr>
      <w:tr>
        <w:trPr>
          <w:trHeight w:val="526"/>
        </w:trPr>
        <w:tc>
          <w:tcPr>
            <w:tcW w:w="740" w:type="dxa"/>
            <w:vAlign w:val="bottom"/>
          </w:tcPr>
          <w:p>
            <w:pPr>
              <w:spacing w:after="0"/>
              <w:rPr>
                <w:sz w:val="20"/>
                <w:szCs w:val="20"/>
                <w:color w:val="auto"/>
              </w:rPr>
            </w:pPr>
            <w:r>
              <w:rPr>
                <w:rFonts w:ascii="Arial" w:cs="Arial" w:eastAsia="Arial" w:hAnsi="Arial"/>
                <w:sz w:val="18"/>
                <w:szCs w:val="18"/>
                <w:color w:val="auto"/>
              </w:rPr>
              <w:t>10.3</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0"/>
              </w:rPr>
              <w:t>Amended Executive Employment Agreement, dated February 9, 2016,</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0"/>
              </w:rPr>
              <w:t>by and between Grand Canyon Education, Inc. and Daniel E. Bachus†</w:t>
            </w:r>
          </w:p>
        </w:tc>
      </w:tr>
      <w:tr>
        <w:trPr>
          <w:trHeight w:val="526"/>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0"/>
              </w:rPr>
              <w:t>Amended Executive Employment Agreement, dated February 9, 2016,</w:t>
            </w:r>
          </w:p>
        </w:tc>
      </w:tr>
      <w:tr>
        <w:trPr>
          <w:trHeight w:val="216"/>
        </w:trPr>
        <w:tc>
          <w:tcPr>
            <w:tcW w:w="740" w:type="dxa"/>
            <w:vAlign w:val="bottom"/>
          </w:tcPr>
          <w:p>
            <w:pPr>
              <w:spacing w:after="0"/>
              <w:rPr>
                <w:sz w:val="18"/>
                <w:szCs w:val="18"/>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by and between Grand Canyon Education, Inc. and Joseph N.</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Mildenhall†</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0"/>
              </w:rPr>
              <w:t>Amended Executive Employment Agreement, dated February 9, 2016,</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0"/>
              </w:rPr>
              <w:t>by and between Grand Canyon Education, Inc. and Brian M. Roberts†</w:t>
            </w:r>
          </w:p>
        </w:tc>
      </w:tr>
      <w:tr>
        <w:trPr>
          <w:trHeight w:val="526"/>
        </w:trPr>
        <w:tc>
          <w:tcPr>
            <w:tcW w:w="740" w:type="dxa"/>
            <w:vAlign w:val="bottom"/>
          </w:tcPr>
          <w:p>
            <w:pPr>
              <w:spacing w:after="0"/>
              <w:rPr>
                <w:sz w:val="20"/>
                <w:szCs w:val="20"/>
                <w:color w:val="auto"/>
              </w:rPr>
            </w:pPr>
            <w:r>
              <w:rPr>
                <w:rFonts w:ascii="Arial" w:cs="Arial" w:eastAsia="Arial" w:hAnsi="Arial"/>
                <w:sz w:val="18"/>
                <w:szCs w:val="18"/>
                <w:color w:val="auto"/>
              </w:rPr>
              <w:t>10.6</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3"/>
              </w:rPr>
              <w:t>Amendment No. 1 to Credit Agreement, dated January 15, 2016, by</w:t>
            </w:r>
          </w:p>
        </w:tc>
      </w:tr>
      <w:tr>
        <w:trPr>
          <w:trHeight w:val="216"/>
        </w:trPr>
        <w:tc>
          <w:tcPr>
            <w:tcW w:w="740" w:type="dxa"/>
            <w:vAlign w:val="bottom"/>
          </w:tcPr>
          <w:p>
            <w:pPr>
              <w:spacing w:after="0"/>
              <w:rPr>
                <w:sz w:val="18"/>
                <w:szCs w:val="18"/>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5"/>
              </w:rPr>
              <w:t>and among Grand Canyon Education, Inc., Bank of America, N.A.,</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and the other parties named therein.</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7"/>
              </w:rPr>
              <w:t>Certification of Principal Executive Officer pursuant to Rules 13a-</w:t>
            </w:r>
          </w:p>
        </w:tc>
      </w:tr>
      <w:tr>
        <w:trPr>
          <w:trHeight w:val="216"/>
        </w:trPr>
        <w:tc>
          <w:tcPr>
            <w:tcW w:w="740" w:type="dxa"/>
            <w:vAlign w:val="bottom"/>
          </w:tcPr>
          <w:p>
            <w:pPr>
              <w:spacing w:after="0"/>
              <w:rPr>
                <w:sz w:val="18"/>
                <w:szCs w:val="18"/>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14(a) and 15d-14(a), as adopted pursuant to Section 302 of the</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8"/>
              </w:rPr>
              <w:t>Certification of Principal Financial Officer pursuant to Rules 13a-</w:t>
            </w:r>
          </w:p>
        </w:tc>
      </w:tr>
      <w:tr>
        <w:trPr>
          <w:trHeight w:val="216"/>
        </w:trPr>
        <w:tc>
          <w:tcPr>
            <w:tcW w:w="740" w:type="dxa"/>
            <w:vAlign w:val="bottom"/>
          </w:tcPr>
          <w:p>
            <w:pPr>
              <w:spacing w:after="0"/>
              <w:rPr>
                <w:sz w:val="18"/>
                <w:szCs w:val="18"/>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14(a) and 15d-14(a), as adopted pursuant to Section 302 of the</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Sarbanes-Oxley Act of 2002.</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9"/>
              </w:rPr>
              <w:t>Certification of Principal Executive Officer pursuant to 18 U.S.C.</w:t>
            </w:r>
          </w:p>
        </w:tc>
      </w:tr>
      <w:tr>
        <w:trPr>
          <w:trHeight w:val="216"/>
        </w:trPr>
        <w:tc>
          <w:tcPr>
            <w:tcW w:w="740" w:type="dxa"/>
            <w:vAlign w:val="bottom"/>
          </w:tcPr>
          <w:p>
            <w:pPr>
              <w:spacing w:after="0"/>
              <w:rPr>
                <w:sz w:val="18"/>
                <w:szCs w:val="18"/>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Oxley Act of 2002. ††</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740" w:type="dxa"/>
            <w:vAlign w:val="bottom"/>
          </w:tcPr>
          <w:p>
            <w:pPr>
              <w:spacing w:after="0"/>
              <w:rPr>
                <w:sz w:val="18"/>
                <w:szCs w:val="18"/>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740" w:type="dxa"/>
            <w:vAlign w:val="bottom"/>
          </w:tcPr>
          <w:p>
            <w:pPr>
              <w:spacing w:after="0"/>
              <w:rPr>
                <w:sz w:val="20"/>
                <w:szCs w:val="20"/>
                <w:color w:val="auto"/>
              </w:rPr>
            </w:pPr>
          </w:p>
        </w:tc>
        <w:tc>
          <w:tcPr>
            <w:tcW w:w="5300" w:type="dxa"/>
            <w:vAlign w:val="bottom"/>
            <w:gridSpan w:val="2"/>
          </w:tcPr>
          <w:p>
            <w:pPr>
              <w:ind w:left="220"/>
              <w:spacing w:after="0"/>
              <w:rPr>
                <w:sz w:val="20"/>
                <w:szCs w:val="20"/>
                <w:color w:val="auto"/>
              </w:rPr>
            </w:pPr>
            <w:r>
              <w:rPr>
                <w:rFonts w:ascii="Arial" w:cs="Arial" w:eastAsia="Arial" w:hAnsi="Arial"/>
                <w:sz w:val="18"/>
                <w:szCs w:val="18"/>
                <w:color w:val="auto"/>
              </w:rPr>
              <w:t>Oxley Act of 2002. ††</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31984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Incorporated by reference to Exhibit 10.4.1 to the University’s Annual Report on Form 10-K filed with the SEC on February 17, 2016.</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Incorporated by reference to Exhibit 10.5.1 to the University’s Annual Report on Form 10-K filed with the SEC on February 17, 2016.</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Incorporated by reference to Exhibit 10.6.1 to the University’s Annual Report on Form 10-K filed with the SEC on February 17, 2016.</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Incorporated by reference to Exhibit 10.7.1 to the University’s Annual Report on Form 10-K filed with the SEC on February 17, 2016.</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Incorporated by reference to Exhibit 10.8.1 to the University’s Annual Report on Form 10-K filed with the SEC on February 17, 2016.</w:t>
      </w:r>
    </w:p>
    <w:p>
      <w:pPr>
        <w:spacing w:after="0" w:line="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Incorporated by reference to Exhibit 10.10.1 to the University’s Annual Report on Form 10-K filed with the SEC on February 17,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55" w:lineRule="exact"/>
        <w:rPr>
          <w:sz w:val="20"/>
          <w:szCs w:val="20"/>
          <w:color w:val="auto"/>
        </w:rPr>
      </w:pPr>
    </w:p>
    <w:p>
      <w:pPr>
        <w:sectPr>
          <w:pgSz w:w="11900" w:h="16838" w:orient="portrait"/>
          <w:cols w:equalWidth="0" w:num="2">
            <w:col w:w="6040" w:space="340"/>
            <w:col w:w="4900"/>
          </w:cols>
          <w:pgMar w:left="240" w:top="459" w:right="379" w:bottom="1440" w:gutter="0" w:footer="0" w:header="0"/>
          <w:type w:val="continuous"/>
        </w:sectPr>
      </w:pPr>
    </w:p>
    <w:p>
      <w:pPr>
        <w:spacing w:after="0" w:line="2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28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59" w:right="37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17"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2016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2016</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17" w:lineRule="exact"/>
        <w:rPr>
          <w:sz w:val="20"/>
          <w:szCs w:val="20"/>
          <w:color w:val="auto"/>
        </w:rPr>
      </w:pPr>
    </w:p>
    <w:p>
      <w:pPr>
        <w:ind w:left="640" w:hanging="17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ending March 31, 2016 of Grand Canyon Education, Inc.;</w:t>
      </w:r>
    </w:p>
    <w:p>
      <w:pPr>
        <w:spacing w:after="0" w:line="117"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260" w:firstLine="464"/>
        <w:spacing w:after="0" w:line="264"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464"/>
        <w:spacing w:after="0" w:line="308" w:lineRule="auto"/>
        <w:tabs>
          <w:tab w:leader="none" w:pos="6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firstLine="921"/>
        <w:spacing w:after="0" w:line="277" w:lineRule="auto"/>
        <w:tabs>
          <w:tab w:leader="none" w:pos="10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20" w:firstLine="921"/>
        <w:spacing w:after="0" w:line="277" w:lineRule="auto"/>
        <w:tabs>
          <w:tab w:leader="none" w:pos="10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May 9, 2016</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2016 as filed with the Securities and Exchange Commission on the date hereof (the “Report”), I, Brian E. Mueller, Chief Executive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Quarterly Report on Form 10Q of Grand Canyon Education, Inc. (the “University”) for the quarter ended March 31, 2016 as filed with the Securities and Exchange Commission on the date hereof (the “Report”), I, Daniel E. Bachus, Chief Financial Officer, of the University, certify, pursuant to 18 U.S.C. Section 1350, as adopted pursuant to Section 906 of the Sarbanes-Oxley Act of 2002, that to the best of my knowledge:</w:t>
      </w:r>
    </w:p>
    <w:p>
      <w:pPr>
        <w:spacing w:after="0" w:line="71" w:lineRule="exact"/>
        <w:rPr>
          <w:sz w:val="20"/>
          <w:szCs w:val="20"/>
          <w:color w:val="auto"/>
        </w:rPr>
      </w:pPr>
    </w:p>
    <w:p>
      <w:pPr>
        <w:ind w:left="460" w:right="2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45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2019-12-29T11:48:06Z</dcterms:created>
  <dcterms:modified xsi:type="dcterms:W3CDTF">2019-12-29T11:48:06Z</dcterms:modified>
</cp:coreProperties>
</file>