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November 12, 2008</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333-150876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6</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REGISTRATION STATEMENT</w:t>
      </w:r>
    </w:p>
    <w:p>
      <w:pPr>
        <w:spacing w:after="0" w:line="11"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THE SECURITIES ACT OF 1933</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Grand Canyon Education,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0780"/>
          </w:cols>
          <w:pgMar w:left="560" w:top="205" w:right="559" w:bottom="1440" w:gutter="0" w:footer="0" w:header="0"/>
        </w:sectPr>
      </w:pPr>
    </w:p>
    <w:p>
      <w:pPr>
        <w:spacing w:after="0" w:line="48" w:lineRule="exact"/>
        <w:rPr>
          <w:sz w:val="24"/>
          <w:szCs w:val="24"/>
          <w:color w:val="auto"/>
        </w:rPr>
      </w:pPr>
    </w:p>
    <w:p>
      <w:pPr>
        <w:ind w:left="1600"/>
        <w:spacing w:after="0"/>
        <w:rPr>
          <w:sz w:val="20"/>
          <w:szCs w:val="20"/>
          <w:color w:val="auto"/>
        </w:rPr>
      </w:pPr>
      <w:r>
        <w:rPr>
          <w:rFonts w:ascii="Arial" w:cs="Arial" w:eastAsia="Arial" w:hAnsi="Arial"/>
          <w:sz w:val="9"/>
          <w:szCs w:val="9"/>
          <w:b w:val="1"/>
          <w:bCs w:val="1"/>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2440"/>
        <w:spacing w:after="0"/>
        <w:rPr>
          <w:sz w:val="20"/>
          <w:szCs w:val="20"/>
          <w:color w:val="auto"/>
        </w:rPr>
      </w:pPr>
      <w:r>
        <w:rPr>
          <w:rFonts w:ascii="Arial" w:cs="Arial" w:eastAsia="Arial" w:hAnsi="Arial"/>
          <w:sz w:val="9"/>
          <w:szCs w:val="9"/>
          <w:b w:val="1"/>
          <w:bCs w:val="1"/>
          <w:color w:val="auto"/>
        </w:rPr>
        <w:t>8221</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20-3356009</w:t>
      </w:r>
    </w:p>
    <w:p>
      <w:pPr>
        <w:spacing w:after="0" w:line="41" w:lineRule="exact"/>
        <w:rPr>
          <w:sz w:val="24"/>
          <w:szCs w:val="24"/>
          <w:color w:val="auto"/>
        </w:rPr>
      </w:pPr>
    </w:p>
    <w:p>
      <w:pPr>
        <w:sectPr>
          <w:pgSz w:w="11900" w:h="16838" w:orient="portrait"/>
          <w:cols w:equalWidth="0" w:num="3">
            <w:col w:w="4660" w:space="720"/>
            <w:col w:w="2680" w:space="720"/>
            <w:col w:w="2000"/>
          </w:cols>
          <w:pgMar w:left="560" w:top="205" w:right="559" w:bottom="1440" w:gutter="0" w:footer="0" w:header="0"/>
          <w:type w:val="continuous"/>
        </w:sectPr>
      </w:pPr>
    </w:p>
    <w:p>
      <w:pPr>
        <w:spacing w:after="0" w:line="7" w:lineRule="exact"/>
        <w:rPr>
          <w:sz w:val="24"/>
          <w:szCs w:val="24"/>
          <w:color w:val="auto"/>
        </w:rPr>
      </w:pPr>
    </w:p>
    <w:p>
      <w:pPr>
        <w:ind w:left="1200"/>
        <w:spacing w:after="0"/>
        <w:rPr>
          <w:sz w:val="20"/>
          <w:szCs w:val="20"/>
          <w:color w:val="auto"/>
        </w:rPr>
      </w:pPr>
      <w:r>
        <w:rPr>
          <w:rFonts w:ascii="Arial" w:cs="Arial" w:eastAsia="Arial" w:hAnsi="Arial"/>
          <w:sz w:val="9"/>
          <w:szCs w:val="9"/>
          <w:i w:val="1"/>
          <w:iCs w:val="1"/>
          <w:color w:val="auto"/>
        </w:rPr>
        <w:t>(State or Other Jurisdiction of</w:t>
      </w:r>
    </w:p>
    <w:p>
      <w:pPr>
        <w:spacing w:after="0" w:line="5" w:lineRule="exact"/>
        <w:rPr>
          <w:sz w:val="24"/>
          <w:szCs w:val="24"/>
          <w:color w:val="auto"/>
        </w:rPr>
      </w:pPr>
    </w:p>
    <w:p>
      <w:pPr>
        <w:ind w:left="118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5" w:lineRule="exact"/>
        <w:rPr>
          <w:sz w:val="24"/>
          <w:szCs w:val="24"/>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14" w:lineRule="exact"/>
        <w:rPr>
          <w:sz w:val="24"/>
          <w:szCs w:val="24"/>
          <w:color w:val="auto"/>
        </w:rPr>
      </w:pPr>
    </w:p>
    <w:p>
      <w:pPr>
        <w:sectPr>
          <w:pgSz w:w="11900" w:h="16838" w:orient="portrait"/>
          <w:cols w:equalWidth="0" w:num="3">
            <w:col w:w="4180" w:space="720"/>
            <w:col w:w="2960" w:space="720"/>
            <w:col w:w="2200"/>
          </w:cols>
          <w:pgMar w:left="560" w:top="205" w:right="55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3300 W. Camelback Road</w:t>
      </w:r>
    </w:p>
    <w:p>
      <w:pPr>
        <w:jc w:val="center"/>
        <w:ind w:right="-1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Christopher C. Richardson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Grand Canyon Education,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3300 W. Camelback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Copies to:</w:t>
      </w:r>
    </w:p>
    <w:p>
      <w:pPr>
        <w:sectPr>
          <w:pgSz w:w="11900" w:h="16838" w:orient="portrait"/>
          <w:cols w:equalWidth="0" w:num="1">
            <w:col w:w="10780"/>
          </w:cols>
          <w:pgMar w:left="560" w:top="205" w:right="559" w:bottom="1440" w:gutter="0" w:footer="0" w:header="0"/>
          <w:type w:val="continuous"/>
        </w:sectPr>
      </w:pPr>
    </w:p>
    <w:p>
      <w:pPr>
        <w:spacing w:after="0" w:line="66" w:lineRule="exact"/>
        <w:rPr>
          <w:sz w:val="24"/>
          <w:szCs w:val="24"/>
          <w:color w:val="auto"/>
        </w:rPr>
      </w:pPr>
    </w:p>
    <w:tbl>
      <w:tblPr>
        <w:tblLayout w:type="fixed"/>
        <w:tblInd w:w="1760" w:type="dxa"/>
        <w:tblCellMar>
          <w:top w:w="0" w:type="dxa"/>
          <w:left w:w="0" w:type="dxa"/>
          <w:bottom w:w="0" w:type="dxa"/>
          <w:right w:w="0" w:type="dxa"/>
        </w:tblCellMar>
      </w:tblP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5"/>
              </w:rPr>
              <w:t>Steven D. Pidgeon, Esq.</w:t>
            </w:r>
          </w:p>
        </w:tc>
        <w:tc>
          <w:tcPr>
            <w:tcW w:w="3380" w:type="dxa"/>
            <w:vAlign w:val="bottom"/>
          </w:tcPr>
          <w:p>
            <w:pPr>
              <w:jc w:val="center"/>
              <w:ind w:left="1821"/>
              <w:spacing w:after="0"/>
              <w:rPr>
                <w:sz w:val="20"/>
                <w:szCs w:val="20"/>
                <w:color w:val="auto"/>
              </w:rPr>
            </w:pPr>
            <w:r>
              <w:rPr>
                <w:rFonts w:ascii="Arial" w:cs="Arial" w:eastAsia="Arial" w:hAnsi="Arial"/>
                <w:sz w:val="12"/>
                <w:szCs w:val="12"/>
                <w:b w:val="1"/>
                <w:bCs w:val="1"/>
                <w:color w:val="auto"/>
                <w:w w:val="89"/>
              </w:rPr>
              <w:t>Mark A. Stegemoeller, Esq.</w:t>
            </w:r>
          </w:p>
        </w:tc>
      </w:t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7"/>
              </w:rPr>
              <w:t>David P. Lewis, Esq.</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Steven B. Stokdyk, Esq.</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96"/>
              </w:rPr>
              <w:t>DLA Piper LLP (US)</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95"/>
              </w:rPr>
              <w:t>Latham &amp; Watkins LLP</w:t>
            </w:r>
          </w:p>
        </w:tc>
      </w:tr>
      <w:tr>
        <w:trPr>
          <w:trHeight w:val="147"/>
        </w:trPr>
        <w:tc>
          <w:tcPr>
            <w:tcW w:w="3760" w:type="dxa"/>
            <w:vAlign w:val="bottom"/>
          </w:tcPr>
          <w:p>
            <w:pPr>
              <w:spacing w:after="0"/>
              <w:rPr>
                <w:sz w:val="20"/>
                <w:szCs w:val="20"/>
                <w:color w:val="auto"/>
              </w:rPr>
            </w:pPr>
            <w:r>
              <w:rPr>
                <w:rFonts w:ascii="Arial" w:cs="Arial" w:eastAsia="Arial" w:hAnsi="Arial"/>
                <w:sz w:val="12"/>
                <w:szCs w:val="12"/>
                <w:b w:val="1"/>
                <w:bCs w:val="1"/>
                <w:color w:val="auto"/>
              </w:rPr>
              <w:t>2415 East Camelback Road, Suite 700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355 South Grand Avenue</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89"/>
              </w:rPr>
              <w:t>Phoenix, Arizona 85016</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Los Angeles, California 90071</w:t>
            </w:r>
          </w:p>
        </w:tc>
      </w:tr>
      <w:tr>
        <w:trPr>
          <w:trHeight w:val="151"/>
        </w:trPr>
        <w:tc>
          <w:tcPr>
            <w:tcW w:w="3760" w:type="dxa"/>
            <w:vAlign w:val="bottom"/>
          </w:tcPr>
          <w:p>
            <w:pPr>
              <w:jc w:val="center"/>
              <w:ind w:right="1801"/>
              <w:spacing w:after="0"/>
              <w:rPr>
                <w:sz w:val="20"/>
                <w:szCs w:val="20"/>
                <w:color w:val="auto"/>
              </w:rPr>
            </w:pPr>
            <w:r>
              <w:rPr>
                <w:rFonts w:ascii="Arial" w:cs="Arial" w:eastAsia="Arial" w:hAnsi="Arial"/>
                <w:sz w:val="12"/>
                <w:szCs w:val="12"/>
                <w:b w:val="1"/>
                <w:bCs w:val="1"/>
                <w:color w:val="auto"/>
                <w:w w:val="90"/>
              </w:rPr>
              <w:t>(480) 606-5100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(213) 485-1234</w:t>
            </w:r>
          </w:p>
        </w:tc>
      </w:tr>
    </w:tbl>
    <w:p>
      <w:pPr>
        <w:spacing w:after="0" w:line="224" w:lineRule="exact"/>
        <w:rPr>
          <w:sz w:val="24"/>
          <w:szCs w:val="24"/>
          <w:color w:val="auto"/>
        </w:rPr>
      </w:pPr>
    </w:p>
    <w:p>
      <w:pPr>
        <w:ind w:left="220"/>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As soon as practicable after this registration statement becomes effective.</w:t>
      </w:r>
    </w:p>
    <w:p>
      <w:pPr>
        <w:spacing w:after="0" w:line="86" w:lineRule="exact"/>
        <w:rPr>
          <w:sz w:val="24"/>
          <w:szCs w:val="24"/>
          <w:color w:val="auto"/>
        </w:rPr>
      </w:pPr>
    </w:p>
    <w:p>
      <w:pPr>
        <w:ind w:left="220"/>
        <w:spacing w:after="0"/>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 o</w:t>
      </w:r>
    </w:p>
    <w:p>
      <w:pPr>
        <w:spacing w:after="0" w:line="82" w:lineRule="exact"/>
        <w:rPr>
          <w:sz w:val="24"/>
          <w:szCs w:val="24"/>
          <w:color w:val="auto"/>
        </w:rPr>
      </w:pPr>
    </w:p>
    <w:p>
      <w:pPr>
        <w:ind w:right="120" w:firstLine="216"/>
        <w:spacing w:after="0" w:line="259" w:lineRule="auto"/>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57" w:lineRule="exact"/>
        <w:rPr>
          <w:sz w:val="24"/>
          <w:szCs w:val="24"/>
          <w:color w:val="auto"/>
        </w:rPr>
      </w:pPr>
    </w:p>
    <w:p>
      <w:pPr>
        <w:ind w:left="220" w:right="160"/>
        <w:spacing w:after="0" w:line="455" w:lineRule="auto"/>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 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left="22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3" w:lineRule="exact"/>
        <w:rPr>
          <w:sz w:val="24"/>
          <w:szCs w:val="24"/>
          <w:color w:val="auto"/>
        </w:rPr>
      </w:pPr>
    </w:p>
    <w:p>
      <w:pPr>
        <w:spacing w:after="0"/>
        <w:rPr>
          <w:sz w:val="20"/>
          <w:szCs w:val="20"/>
          <w:color w:val="auto"/>
        </w:rPr>
      </w:pPr>
      <w:r>
        <w:rPr>
          <w:rFonts w:ascii="Arial" w:cs="Arial" w:eastAsia="Arial" w:hAnsi="Arial"/>
          <w:sz w:val="10"/>
          <w:szCs w:val="10"/>
          <w:color w:val="auto"/>
        </w:rPr>
        <w:t>Rule 12b-2 of the Exchange Act. (Check one):</w:t>
      </w:r>
    </w:p>
    <w:p>
      <w:pPr>
        <w:spacing w:after="0" w:line="34" w:lineRule="exact"/>
        <w:rPr>
          <w:sz w:val="24"/>
          <w:szCs w:val="24"/>
          <w:color w:val="auto"/>
        </w:rPr>
      </w:pPr>
    </w:p>
    <w:p>
      <w:pPr>
        <w:ind w:left="2060" w:hanging="5071"/>
        <w:spacing w:after="0" w:line="135" w:lineRule="exact"/>
        <w:tabs>
          <w:tab w:leader="none" w:pos="2040" w:val="left"/>
        </w:tabs>
        <w:rPr>
          <w:sz w:val="20"/>
          <w:szCs w:val="20"/>
          <w:color w:val="auto"/>
        </w:rPr>
      </w:pPr>
      <w:r>
        <w:rPr>
          <w:rFonts w:ascii="Arial" w:cs="Arial" w:eastAsia="Arial" w:hAnsi="Arial"/>
          <w:sz w:val="10"/>
          <w:szCs w:val="10"/>
          <w:color w:val="auto"/>
        </w:rPr>
        <w:t>Large accelerated filer o</w:t>
      </w:r>
      <w:r>
        <w:rPr>
          <w:sz w:val="20"/>
          <w:szCs w:val="20"/>
          <w:color w:val="auto"/>
        </w:rPr>
        <w:tab/>
      </w:r>
      <w:r>
        <w:rPr>
          <w:rFonts w:ascii="Arial" w:cs="Arial" w:eastAsia="Arial" w:hAnsi="Arial"/>
          <w:sz w:val="10"/>
          <w:szCs w:val="10"/>
          <w:color w:val="auto"/>
        </w:rPr>
        <w:t xml:space="preserve">Accelerated filer o Non-accelerated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 o (Do not check if a smaller reporting company)</w:t>
      </w:r>
    </w:p>
    <w:p>
      <w:pPr>
        <w:spacing w:after="0" w:line="200" w:lineRule="exact"/>
        <w:rPr>
          <w:sz w:val="24"/>
          <w:szCs w:val="24"/>
          <w:color w:val="auto"/>
        </w:rPr>
      </w:pPr>
    </w:p>
    <w:p>
      <w:pPr>
        <w:ind w:right="160" w:firstLine="324"/>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187325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560" w:top="205" w:right="5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b w:val="1"/>
          <w:bCs w:val="1"/>
          <w:color w:val="auto"/>
        </w:rPr>
        <w:t>Explanatory Note</w:t>
      </w:r>
    </w:p>
    <w:p>
      <w:pPr>
        <w:spacing w:after="0" w:line="81"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This Amendment No. 6 to the Registrant’s Registration Statement on Form S-1 (File No. 333-150876) is being filed solely for the purpose of filing a revised version of Exhibit 3.1 and Exhibit 3.2, and no changes or additions are being made hereby to the prospectus that forms a part of the Registration Statement. Accordingly, the prospectus is being omitted from this filing.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1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81"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Authority, Inc. filing fee. The following expenses will be borne solely by the registrant.</w:t>
      </w:r>
    </w:p>
    <w:p>
      <w:pPr>
        <w:sectPr>
          <w:pgSz w:w="11900" w:h="16838" w:orient="portrait"/>
          <w:cols w:equalWidth="0" w:num="1">
            <w:col w:w="9980"/>
          </w:cols>
          <w:pgMar w:left="900" w:top="726" w:right="101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335395" cy="9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335395" cy="99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Legal fees and expenses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335395" cy="99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Printing expenses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6335395" cy="99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335395" cy="99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608" w:hanging="608"/>
        <w:spacing w:after="0"/>
        <w:tabs>
          <w:tab w:leader="none" w:pos="608" w:val="left"/>
        </w:tabs>
        <w:numPr>
          <w:ilvl w:val="0"/>
          <w:numId w:val="1"/>
        </w:numPr>
        <w:rPr>
          <w:rFonts w:ascii="Arial" w:cs="Arial" w:eastAsia="Arial" w:hAnsi="Arial"/>
          <w:sz w:val="11"/>
          <w:szCs w:val="11"/>
          <w:color w:val="auto"/>
        </w:rPr>
      </w:pPr>
      <w:r>
        <w:rPr>
          <w:rFonts w:ascii="Arial" w:cs="Arial" w:eastAsia="Arial" w:hAnsi="Arial"/>
          <w:sz w:val="11"/>
          <w:szCs w:val="11"/>
          <w:color w:val="auto"/>
        </w:rPr>
        <w:t>9,491</w:t>
      </w:r>
    </w:p>
    <w:p>
      <w:pPr>
        <w:spacing w:after="0" w:line="38" w:lineRule="exact"/>
        <w:rPr>
          <w:rFonts w:ascii="Arial" w:cs="Arial" w:eastAsia="Arial" w:hAnsi="Arial"/>
          <w:sz w:val="11"/>
          <w:szCs w:val="11"/>
          <w:color w:val="auto"/>
        </w:rPr>
      </w:pPr>
    </w:p>
    <w:p>
      <w:pPr>
        <w:ind w:left="528"/>
        <w:spacing w:after="0"/>
        <w:rPr>
          <w:rFonts w:ascii="Arial" w:cs="Arial" w:eastAsia="Arial" w:hAnsi="Arial"/>
          <w:sz w:val="11"/>
          <w:szCs w:val="11"/>
          <w:color w:val="auto"/>
        </w:rPr>
      </w:pPr>
      <w:r>
        <w:rPr>
          <w:rFonts w:ascii="Arial" w:cs="Arial" w:eastAsia="Arial" w:hAnsi="Arial"/>
          <w:sz w:val="11"/>
          <w:szCs w:val="11"/>
          <w:color w:val="auto"/>
        </w:rPr>
        <w:t>24,650</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125,000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2,500,000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2,600,000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240,859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76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368" w:hanging="368"/>
        <w:spacing w:after="0"/>
        <w:tabs>
          <w:tab w:leader="none" w:pos="368" w:val="left"/>
        </w:tabs>
        <w:numPr>
          <w:ilvl w:val="0"/>
          <w:numId w:val="2"/>
        </w:numPr>
        <w:rPr>
          <w:rFonts w:ascii="Arial" w:cs="Arial" w:eastAsia="Arial" w:hAnsi="Arial"/>
          <w:sz w:val="11"/>
          <w:szCs w:val="11"/>
          <w:color w:val="auto"/>
        </w:rPr>
      </w:pPr>
      <w:r>
        <w:rPr>
          <w:rFonts w:ascii="Arial" w:cs="Arial" w:eastAsia="Arial" w:hAnsi="Arial"/>
          <w:sz w:val="11"/>
          <w:szCs w:val="11"/>
          <w:color w:val="auto"/>
        </w:rPr>
        <w:t>6,100,000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272" w:space="720"/>
            <w:col w:w="988"/>
          </w:cols>
          <w:pgMar w:left="900" w:top="726" w:right="1019" w:bottom="1440" w:gutter="0" w:footer="0" w:header="0"/>
          <w:type w:val="continuous"/>
        </w:sectPr>
      </w:pPr>
    </w:p>
    <w:p>
      <w:pPr>
        <w:spacing w:after="0" w:line="1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type w:val="continuous"/>
        </w:sectPr>
      </w:pPr>
    </w:p>
    <w:bookmarkStart w:id="2" w:name="page3"/>
    <w:bookmarkEnd w:id="2"/>
    <w:p>
      <w:pPr>
        <w:ind w:right="80" w:firstLine="399"/>
        <w:spacing w:after="0" w:line="260"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0"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Section 8.1 of our bylaws that will be in effect upon completion of this offering will provide that we will indemnify, to the fullest extend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that will be in effect upon completion of this offering will further provide for the advancement of expenses to each of our officers and directors.</w:t>
      </w:r>
    </w:p>
    <w:p>
      <w:pPr>
        <w:spacing w:after="0" w:line="59"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Article VIII of our charter that will be in effect upon completion of this offering will provide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2"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 connection with the sale of common stock being registered hereby, we intend to enter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59"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the three years preceding the filing of this registration statement, we have issued the following securities that were not registered under the Securities Act:</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On March 31, 2005, we sold $14.0 million aggregate principal amount of notes to the Endeavour Entities. On August 24, 2005, we sold 5,953 shares of our newly designated Series A convertible preferred stock at a purchase price of $3,233.67 per share, or $19.3 million total,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sales were made in reliance on Section 4(2) of the Securities Act.</w:t>
      </w:r>
    </w:p>
    <w:p>
      <w:pPr>
        <w:spacing w:after="0" w:line="7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On December 31, 2005, we issued 2,163 shares of our newly designated Series B preferred stock and received gross proceeds of approximately $7.0 million, or $3,236.25 per share, in the form of a stock</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 w:name="page4"/>
    <w:bookmarkEnd w:id="3"/>
    <w:p>
      <w:pPr>
        <w:spacing w:after="0"/>
        <w:rPr>
          <w:sz w:val="20"/>
          <w:szCs w:val="20"/>
          <w:color w:val="auto"/>
        </w:rPr>
      </w:pPr>
      <w:r>
        <w:rPr>
          <w:rFonts w:ascii="Arial" w:cs="Arial" w:eastAsia="Arial" w:hAnsi="Arial"/>
          <w:sz w:val="11"/>
          <w:szCs w:val="11"/>
          <w:color w:val="auto"/>
        </w:rPr>
        <w:t>subscription receivable. The receivable was subsequently paid in April 2006. Of these shares, 1,298 were sold to the Endeavour Entities and 865 were sold to Rich Crow Enterprises, LLC.</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The sales were made in reliance on Section 4(2) of the Securities Act.</w:t>
      </w:r>
    </w:p>
    <w:p>
      <w:pPr>
        <w:spacing w:after="0" w:line="8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and 935 shares were sold to the 220 Entities. The purchase price payable by Rich Crow Enterprises for its shares of Series C preferred stock was paid in part by the exchange of the 865 outstanding shares of Series B preferred stock it purchased in 2006. The sales were made in reliance on Rule 506 of Regulation D promulgated under the Securities Act.</w:t>
      </w:r>
    </w:p>
    <w:p>
      <w:pPr>
        <w:spacing w:after="0" w:line="14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Exhibits.</w:t>
      </w:r>
    </w:p>
    <w:p>
      <w:pPr>
        <w:spacing w:after="0" w:line="98" w:lineRule="exact"/>
        <w:rPr>
          <w:sz w:val="20"/>
          <w:szCs w:val="20"/>
          <w:color w:val="auto"/>
        </w:rPr>
      </w:pPr>
    </w:p>
    <w:p>
      <w:pPr>
        <w:ind w:left="360"/>
        <w:spacing w:after="0"/>
        <w:tabs>
          <w:tab w:leader="none" w:pos="538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12700</wp:posOffset>
            </wp:positionV>
            <wp:extent cx="635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80"/>
          </w:cols>
          <w:pgMar w:left="900" w:top="720" w:right="1119" w:bottom="1440" w:gutter="0" w:footer="0" w:header="0"/>
        </w:sectPr>
      </w:pPr>
    </w:p>
    <w:bookmarkStart w:id="4" w:name="page5"/>
    <w:bookmarkEnd w:id="4"/>
    <w:p>
      <w:pPr>
        <w:ind w:left="360"/>
        <w:spacing w:after="0"/>
        <w:tabs>
          <w:tab w:leader="none" w:pos="538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12700</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15"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82359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220" w:hanging="213"/>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220" w:hanging="213"/>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600" w:hanging="194"/>
        <w:spacing w:after="0"/>
        <w:tabs>
          <w:tab w:leader="none" w:pos="600" w:val="left"/>
        </w:tabs>
        <w:numPr>
          <w:ilvl w:val="1"/>
          <w:numId w:val="4"/>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firstLine="805"/>
        <w:spacing w:after="0" w:line="264" w:lineRule="auto"/>
        <w:tabs>
          <w:tab w:leader="none" w:pos="955"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right="520" w:firstLine="805"/>
        <w:spacing w:after="0" w:line="320" w:lineRule="auto"/>
        <w:tabs>
          <w:tab w:leader="none" w:pos="991" w:val="left"/>
        </w:tabs>
        <w:numPr>
          <w:ilvl w:val="0"/>
          <w:numId w:val="5"/>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2" w:right="10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November 12,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E. Mueller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8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Pursuant to the requirements of the Securities Act, this registration statement and the Power of Attorney has been signed by the following persons in the capacities and on the dates indicated.</w:t>
      </w:r>
    </w:p>
    <w:p>
      <w:pPr>
        <w:spacing w:after="0" w:line="61" w:lineRule="exact"/>
        <w:rPr>
          <w:sz w:val="20"/>
          <w:szCs w:val="20"/>
          <w:color w:val="auto"/>
        </w:rPr>
      </w:pPr>
    </w:p>
    <w:p>
      <w:pPr>
        <w:ind w:left="2720"/>
        <w:spacing w:after="0"/>
        <w:tabs>
          <w:tab w:leader="none" w:pos="6840" w:val="left"/>
          <w:tab w:leader="none" w:pos="98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740" w:type="dxa"/>
            <w:vAlign w:val="bottom"/>
          </w:tcPr>
          <w:p>
            <w:pPr>
              <w:jc w:val="center"/>
              <w:ind w:left="354"/>
              <w:spacing w:after="0"/>
              <w:rPr>
                <w:sz w:val="20"/>
                <w:szCs w:val="20"/>
                <w:color w:val="auto"/>
              </w:rPr>
            </w:pPr>
            <w:r>
              <w:rPr>
                <w:rFonts w:ascii="Arial" w:cs="Arial" w:eastAsia="Arial" w:hAnsi="Arial"/>
                <w:sz w:val="13"/>
                <w:szCs w:val="13"/>
                <w:color w:val="auto"/>
                <w:w w:val="92"/>
              </w:rPr>
              <w:t>Executive Chairman</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12,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Brent D. Richardson</w:t>
            </w:r>
          </w:p>
        </w:tc>
        <w:tc>
          <w:tcPr>
            <w:tcW w:w="37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E. Mueller</w:t>
            </w:r>
          </w:p>
        </w:tc>
        <w:tc>
          <w:tcPr>
            <w:tcW w:w="3740" w:type="dxa"/>
            <w:vAlign w:val="bottom"/>
          </w:tcPr>
          <w:p>
            <w:pPr>
              <w:jc w:val="center"/>
              <w:ind w:left="374"/>
              <w:spacing w:after="0"/>
              <w:rPr>
                <w:sz w:val="20"/>
                <w:szCs w:val="20"/>
                <w:color w:val="auto"/>
              </w:rPr>
            </w:pPr>
            <w:r>
              <w:rPr>
                <w:rFonts w:ascii="Arial" w:cs="Arial" w:eastAsia="Arial" w:hAnsi="Arial"/>
                <w:sz w:val="13"/>
                <w:szCs w:val="13"/>
                <w:color w:val="auto"/>
                <w:w w:val="95"/>
              </w:rPr>
              <w:t>Chief Executive Officer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12, 2008</w:t>
            </w: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Brian E. Mueller</w:t>
            </w:r>
          </w:p>
        </w:tc>
        <w:tc>
          <w:tcPr>
            <w:tcW w:w="3740" w:type="dxa"/>
            <w:vAlign w:val="bottom"/>
          </w:tcPr>
          <w:p>
            <w:pPr>
              <w:jc w:val="center"/>
              <w:ind w:left="354"/>
              <w:spacing w:after="0" w:line="145" w:lineRule="exact"/>
              <w:rPr>
                <w:sz w:val="20"/>
                <w:szCs w:val="20"/>
                <w:color w:val="auto"/>
              </w:rPr>
            </w:pPr>
            <w:r>
              <w:rPr>
                <w:rFonts w:ascii="Arial" w:cs="Arial" w:eastAsia="Arial" w:hAnsi="Arial"/>
                <w:sz w:val="13"/>
                <w:szCs w:val="13"/>
                <w:color w:val="auto"/>
                <w:w w:val="94"/>
              </w:rPr>
              <w:t>(Principal Executive Officer)</w:t>
            </w:r>
          </w:p>
        </w:tc>
        <w:tc>
          <w:tcPr>
            <w:tcW w:w="292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E. Bachus</w:t>
            </w:r>
          </w:p>
        </w:tc>
        <w:tc>
          <w:tcPr>
            <w:tcW w:w="3740" w:type="dxa"/>
            <w:vAlign w:val="bottom"/>
          </w:tcPr>
          <w:p>
            <w:pPr>
              <w:jc w:val="center"/>
              <w:ind w:left="374"/>
              <w:spacing w:after="0"/>
              <w:rPr>
                <w:sz w:val="20"/>
                <w:szCs w:val="20"/>
                <w:color w:val="auto"/>
              </w:rPr>
            </w:pPr>
            <w:r>
              <w:rPr>
                <w:rFonts w:ascii="Arial" w:cs="Arial" w:eastAsia="Arial" w:hAnsi="Arial"/>
                <w:sz w:val="13"/>
                <w:szCs w:val="13"/>
                <w:color w:val="auto"/>
                <w:w w:val="95"/>
              </w:rPr>
              <w:t>Chief Financial Officer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12, 2008</w:t>
            </w:r>
          </w:p>
        </w:tc>
      </w:tr>
      <w:tr>
        <w:trPr>
          <w:trHeight w:val="130"/>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line="130" w:lineRule="exact"/>
              <w:rPr>
                <w:sz w:val="20"/>
                <w:szCs w:val="20"/>
                <w:color w:val="auto"/>
              </w:rPr>
            </w:pPr>
            <w:r>
              <w:rPr>
                <w:rFonts w:ascii="Arial" w:cs="Arial" w:eastAsia="Arial" w:hAnsi="Arial"/>
                <w:sz w:val="13"/>
                <w:szCs w:val="13"/>
                <w:color w:val="auto"/>
              </w:rPr>
              <w:t>Daniel E. Bachus</w:t>
            </w:r>
          </w:p>
        </w:tc>
        <w:tc>
          <w:tcPr>
            <w:tcW w:w="3740" w:type="dxa"/>
            <w:vAlign w:val="bottom"/>
          </w:tcPr>
          <w:p>
            <w:pPr>
              <w:jc w:val="center"/>
              <w:ind w:left="354"/>
              <w:spacing w:after="0" w:line="130" w:lineRule="exact"/>
              <w:rPr>
                <w:sz w:val="20"/>
                <w:szCs w:val="20"/>
                <w:color w:val="auto"/>
              </w:rPr>
            </w:pPr>
            <w:r>
              <w:rPr>
                <w:rFonts w:ascii="Arial" w:cs="Arial" w:eastAsia="Arial" w:hAnsi="Arial"/>
                <w:sz w:val="13"/>
                <w:szCs w:val="13"/>
                <w:color w:val="auto"/>
                <w:w w:val="93"/>
              </w:rPr>
              <w:t>(Principal Financial and Principal</w:t>
            </w:r>
          </w:p>
        </w:tc>
        <w:tc>
          <w:tcPr>
            <w:tcW w:w="2920" w:type="dxa"/>
            <w:vAlign w:val="bottom"/>
          </w:tcPr>
          <w:p>
            <w:pPr>
              <w:spacing w:after="0"/>
              <w:rPr>
                <w:sz w:val="11"/>
                <w:szCs w:val="11"/>
                <w:color w:val="auto"/>
              </w:rPr>
            </w:pPr>
          </w:p>
        </w:tc>
      </w:tr>
      <w:tr>
        <w:trPr>
          <w:trHeight w:val="165"/>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740" w:type="dxa"/>
            <w:vAlign w:val="bottom"/>
          </w:tcPr>
          <w:p>
            <w:pPr>
              <w:jc w:val="center"/>
              <w:ind w:left="374"/>
              <w:spacing w:after="0"/>
              <w:rPr>
                <w:sz w:val="20"/>
                <w:szCs w:val="20"/>
                <w:color w:val="auto"/>
              </w:rPr>
            </w:pPr>
            <w:r>
              <w:rPr>
                <w:rFonts w:ascii="Arial" w:cs="Arial" w:eastAsia="Arial" w:hAnsi="Arial"/>
                <w:sz w:val="13"/>
                <w:szCs w:val="13"/>
                <w:color w:val="auto"/>
                <w:w w:val="95"/>
              </w:rPr>
              <w:t>Accounting Officer)</w:t>
            </w:r>
          </w:p>
        </w:tc>
        <w:tc>
          <w:tcPr>
            <w:tcW w:w="2920" w:type="dxa"/>
            <w:vAlign w:val="bottom"/>
          </w:tcPr>
          <w:p>
            <w:pPr>
              <w:spacing w:after="0"/>
              <w:rPr>
                <w:sz w:val="14"/>
                <w:szCs w:val="14"/>
                <w:color w:val="auto"/>
              </w:rPr>
            </w:pPr>
          </w:p>
        </w:tc>
      </w:tr>
      <w:tr>
        <w:trPr>
          <w:trHeight w:val="315"/>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c>
          <w:tcPr>
            <w:tcW w:w="3740" w:type="dxa"/>
            <w:vAlign w:val="bottom"/>
          </w:tcPr>
          <w:p>
            <w:pPr>
              <w:jc w:val="center"/>
              <w:ind w:left="354"/>
              <w:spacing w:after="0"/>
              <w:rPr>
                <w:sz w:val="20"/>
                <w:szCs w:val="20"/>
                <w:color w:val="auto"/>
              </w:rPr>
            </w:pPr>
            <w:r>
              <w:rPr>
                <w:rFonts w:ascii="Arial" w:cs="Arial" w:eastAsia="Arial" w:hAnsi="Arial"/>
                <w:sz w:val="13"/>
                <w:szCs w:val="13"/>
                <w:color w:val="auto"/>
                <w:w w:val="90"/>
              </w:rPr>
              <w:t>General Counsel and Director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12,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37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74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12,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 Mark Dorman</w:t>
            </w:r>
          </w:p>
        </w:tc>
        <w:tc>
          <w:tcPr>
            <w:tcW w:w="37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74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12,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Chad N. Heath</w:t>
            </w:r>
          </w:p>
        </w:tc>
        <w:tc>
          <w:tcPr>
            <w:tcW w:w="37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6"/>
        </w:trPr>
        <w:tc>
          <w:tcPr>
            <w:tcW w:w="4800" w:type="dxa"/>
            <w:vAlign w:val="bottom"/>
            <w:gridSpan w:val="3"/>
          </w:tcPr>
          <w:p>
            <w:pPr>
              <w:ind w:left="680"/>
              <w:spacing w:after="0"/>
              <w:rPr>
                <w:sz w:val="20"/>
                <w:szCs w:val="20"/>
                <w:color w:val="auto"/>
              </w:rPr>
            </w:pPr>
            <w:r>
              <w:rPr>
                <w:rFonts w:ascii="Arial" w:cs="Arial" w:eastAsia="Arial" w:hAnsi="Arial"/>
                <w:sz w:val="13"/>
                <w:szCs w:val="13"/>
                <w:color w:val="auto"/>
              </w:rPr>
              <w:t>*By: /s/ Christopher C. Richardson</w:t>
            </w:r>
          </w:p>
        </w:tc>
        <w:tc>
          <w:tcPr>
            <w:tcW w:w="37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39"/>
        </w:trPr>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3"/>
                <w:szCs w:val="13"/>
                <w:color w:val="auto"/>
              </w:rPr>
              <w:t>Christopher C. Richardson</w:t>
            </w:r>
          </w:p>
        </w:tc>
        <w:tc>
          <w:tcPr>
            <w:tcW w:w="3740" w:type="dxa"/>
            <w:vAlign w:val="bottom"/>
          </w:tcPr>
          <w:p>
            <w:pPr>
              <w:spacing w:after="0"/>
              <w:rPr>
                <w:sz w:val="12"/>
                <w:szCs w:val="12"/>
                <w:color w:val="auto"/>
              </w:rPr>
            </w:pPr>
          </w:p>
        </w:tc>
        <w:tc>
          <w:tcPr>
            <w:tcW w:w="2920" w:type="dxa"/>
            <w:vAlign w:val="bottom"/>
          </w:tcPr>
          <w:p>
            <w:pPr>
              <w:spacing w:after="0"/>
              <w:rPr>
                <w:sz w:val="12"/>
                <w:szCs w:val="12"/>
                <w:color w:val="auto"/>
              </w:rPr>
            </w:pPr>
          </w:p>
        </w:tc>
      </w:tr>
      <w:tr>
        <w:trPr>
          <w:trHeight w:val="165"/>
        </w:trPr>
        <w:tc>
          <w:tcPr>
            <w:tcW w:w="100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3"/>
                <w:szCs w:val="13"/>
                <w:color w:val="auto"/>
              </w:rPr>
              <w:t>Attorney-in-fact</w:t>
            </w:r>
          </w:p>
        </w:tc>
        <w:tc>
          <w:tcPr>
            <w:tcW w:w="374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44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40" w:type="dxa"/>
            <w:vAlign w:val="bottom"/>
          </w:tcPr>
          <w:p>
            <w:pPr>
              <w:ind w:left="780"/>
              <w:spacing w:after="0"/>
              <w:rPr>
                <w:sz w:val="20"/>
                <w:szCs w:val="20"/>
                <w:color w:val="auto"/>
              </w:rPr>
            </w:pPr>
            <w:r>
              <w:rPr>
                <w:rFonts w:ascii="Arial" w:cs="Arial" w:eastAsia="Arial" w:hAnsi="Arial"/>
                <w:sz w:val="13"/>
                <w:szCs w:val="13"/>
                <w:color w:val="auto"/>
              </w:rPr>
              <w:t>II-5</w:t>
            </w:r>
          </w:p>
        </w:tc>
        <w:tc>
          <w:tcPr>
            <w:tcW w:w="2920" w:type="dxa"/>
            <w:vAlign w:val="bottom"/>
          </w:tcPr>
          <w:p>
            <w:pPr>
              <w:spacing w:after="0"/>
              <w:rPr>
                <w:sz w:val="24"/>
                <w:szCs w:val="24"/>
                <w:color w:val="auto"/>
              </w:rPr>
            </w:pPr>
          </w:p>
        </w:tc>
      </w:tr>
      <w:tr>
        <w:trPr>
          <w:trHeight w:val="163"/>
        </w:trPr>
        <w:tc>
          <w:tcPr>
            <w:tcW w:w="10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12700</wp:posOffset>
            </wp:positionV>
            <wp:extent cx="635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102235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420"/>
          </w:cols>
          <w:pgMar w:left="1200" w:top="716" w:right="1279" w:bottom="1440" w:gutter="0" w:footer="0" w:header="0"/>
        </w:sectPr>
      </w:pPr>
    </w:p>
    <w:bookmarkStart w:id="7" w:name="page8"/>
    <w:bookmarkEnd w:id="7"/>
    <w:p>
      <w:pPr>
        <w:ind w:left="360"/>
        <w:spacing w:after="0"/>
        <w:tabs>
          <w:tab w:leader="none" w:pos="538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12700</wp:posOffset>
            </wp:positionV>
            <wp:extent cx="6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15"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82359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Significant Education, LLC is the predecessor to Significant Education, Inc., which is the former name of Grand Canyon Education, Inc.</w:t>
      </w:r>
    </w:p>
    <w:p>
      <w:pPr>
        <w:spacing w:after="0" w:line="68" w:lineRule="exact"/>
        <w:rPr>
          <w:sz w:val="20"/>
          <w:szCs w:val="20"/>
          <w:color w:val="auto"/>
        </w:rPr>
      </w:pPr>
    </w:p>
    <w:p>
      <w:pPr>
        <w:ind w:left="220" w:hanging="213"/>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7" w:lineRule="exact"/>
        <w:rPr>
          <w:sz w:val="20"/>
          <w:szCs w:val="20"/>
          <w:color w:val="auto"/>
        </w:rPr>
      </w:pPr>
    </w:p>
    <w:p>
      <w:pPr>
        <w:ind w:left="220" w:hanging="213"/>
        <w:spacing w:after="0"/>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9559"/>
          </w:cols>
          <w:pgMar w:left="900" w:top="722"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3"/>
          <w:szCs w:val="13"/>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CERTIFICATE OF INCORPORATION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GRAND CANYON EDUCATION, INC.</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Grand Canyon Education,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90" w:lineRule="exact"/>
        <w:rPr>
          <w:sz w:val="20"/>
          <w:szCs w:val="20"/>
          <w:color w:val="auto"/>
        </w:rPr>
      </w:pPr>
    </w:p>
    <w:p>
      <w:pPr>
        <w:ind w:right="480" w:firstLine="161"/>
        <w:spacing w:after="0" w:line="276" w:lineRule="auto"/>
        <w:rPr>
          <w:sz w:val="20"/>
          <w:szCs w:val="20"/>
          <w:color w:val="auto"/>
        </w:rPr>
      </w:pPr>
      <w:r>
        <w:rPr>
          <w:rFonts w:ascii="Arial" w:cs="Arial" w:eastAsia="Arial" w:hAnsi="Arial"/>
          <w:sz w:val="13"/>
          <w:szCs w:val="13"/>
          <w:color w:val="auto"/>
        </w:rPr>
        <w:t>The address of the Corporation’s registered office in the State of Delaware is 615 South Dupont Highway, Dover, County of Kent, Delaware 19901. The name of its registered agent at such address is Capitol Services, Inc.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90" w:lineRule="exact"/>
        <w:rPr>
          <w:sz w:val="20"/>
          <w:szCs w:val="20"/>
          <w:color w:val="auto"/>
        </w:rPr>
      </w:pPr>
    </w:p>
    <w:p>
      <w:pPr>
        <w:ind w:right="200" w:firstLine="161"/>
        <w:spacing w:after="0" w:line="320" w:lineRule="auto"/>
        <w:rPr>
          <w:sz w:val="20"/>
          <w:szCs w:val="20"/>
          <w:color w:val="auto"/>
        </w:rPr>
      </w:pPr>
      <w:r>
        <w:rPr>
          <w:rFonts w:ascii="Arial" w:cs="Arial" w:eastAsia="Arial" w:hAnsi="Arial"/>
          <w:sz w:val="12"/>
          <w:szCs w:val="12"/>
          <w:color w:val="auto"/>
        </w:rPr>
        <w:t>The nature of the business of the Corporation and the purposes for which it is organized are to engage in any business and in any lawful act or activity for which corporations may be organized under the Delaware General Corporation Law and to possess and employ all powers and privileges now or hereafter granted or available under the laws of the State of Delaware to such corporations.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90" w:lineRule="exact"/>
        <w:rPr>
          <w:sz w:val="20"/>
          <w:szCs w:val="20"/>
          <w:color w:val="auto"/>
        </w:rPr>
      </w:pPr>
    </w:p>
    <w:p>
      <w:pPr>
        <w:ind w:right="240" w:firstLine="161"/>
        <w:spacing w:after="0" w:line="320" w:lineRule="auto"/>
        <w:rPr>
          <w:sz w:val="20"/>
          <w:szCs w:val="20"/>
          <w:color w:val="auto"/>
        </w:rPr>
      </w:pPr>
      <w:r>
        <w:rPr>
          <w:rFonts w:ascii="Arial" w:cs="Arial" w:eastAsia="Arial" w:hAnsi="Arial"/>
          <w:sz w:val="12"/>
          <w:szCs w:val="12"/>
          <w:color w:val="auto"/>
        </w:rPr>
        <w:t>The Corporation is authorized to issue two classes of stock, to be designated “Common Stock,” with a par value of $0.01 per share, and “Preferred Stock,” with a par value of $0.01 per share. The total number of shares of Common Stock that the Corporation shall have authority to issue is 100,000,000, and the total number of shares of Preferred Stock that the Corporation shall have authority to issue is 10,000,000.</w:t>
      </w:r>
    </w:p>
    <w:p>
      <w:pPr>
        <w:spacing w:after="0" w:line="25" w:lineRule="exact"/>
        <w:rPr>
          <w:sz w:val="20"/>
          <w:szCs w:val="20"/>
          <w:color w:val="auto"/>
        </w:rPr>
      </w:pPr>
    </w:p>
    <w:p>
      <w:pPr>
        <w:ind w:right="20" w:firstLine="161"/>
        <w:spacing w:after="0" w:line="258" w:lineRule="auto"/>
        <w:rPr>
          <w:sz w:val="20"/>
          <w:szCs w:val="20"/>
          <w:color w:val="auto"/>
        </w:rPr>
      </w:pPr>
      <w:r>
        <w:rPr>
          <w:rFonts w:ascii="Arial" w:cs="Arial" w:eastAsia="Arial" w:hAnsi="Arial"/>
          <w:sz w:val="13"/>
          <w:szCs w:val="13"/>
          <w:color w:val="auto"/>
        </w:rPr>
        <w:t>The Corporation’s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thereof. The number of authorized shares of any class of capital stock of the Corporation may be increased or decreased (but not below the number of shares thereof then outstanding) by the affirmative vote of the holders of a majority of the outstanding Common Stock of the Corporation, without the approval of the holders of the Preferred Stock, or of any series thereof, unless the approval of any such holders is required pursuant to the certificate or certificates establishing any series of Preferred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9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 w:name="page10"/>
    <w:bookmarkEnd w:id="9"/>
    <w:p>
      <w:pPr>
        <w:ind w:right="420" w:firstLine="157"/>
        <w:spacing w:after="0" w:line="371" w:lineRule="auto"/>
        <w:rPr>
          <w:sz w:val="20"/>
          <w:szCs w:val="20"/>
          <w:color w:val="auto"/>
        </w:rPr>
      </w:pPr>
      <w:r>
        <w:rPr>
          <w:rFonts w:ascii="Arial" w:cs="Arial" w:eastAsia="Arial" w:hAnsi="Arial"/>
          <w:sz w:val="11"/>
          <w:szCs w:val="11"/>
          <w:color w:val="auto"/>
        </w:rPr>
        <w:t>A. The business and affairs of the Corporation shall be managed by or under the direction of the Board of Directors. In addition to the powers and authority expressly conferred upon them by statute or by this Certificate of Incorporation or the By-Laws of the Corporation, the directors are hereby empowered to exercise all such powers and do all such acts and things as may be exercised or done by the Corporation.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 The directors of the Corporation need not be elected by written ballot unless the By-Laws so provide.</w:t>
      </w:r>
    </w:p>
    <w:p>
      <w:pPr>
        <w:spacing w:after="0" w:line="86"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C. Effective upon the closing of the Corporation’s initial public offering of Common Stock pursuant to an effective registration statement filed under the Securities Act of 1933, as amended (the “Initial Public Offering”), any action required or permitted to be taken by the stockholders of the Corporation must be effected at a duly called annual or special meeting of stockholders of the Corporation and may not be effected by any consent in writing by such stockholders. At all times prior to the closing of the Corporation’s Initial Public Offering, any action which may be taken at any annual or special meeting of stockholders may be taken without a meeting and without prior notice, if a consent in writing, setting forth the actions so taken, is signed by the holders of outstanding shares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Prompt notice of the taking of a corporate action without a meeting by less than unanimous written consent shall be given to those stockholders who have not consented in writing.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 Special meetings of stockholders of the Corporation may be called only by either the Board of Directors, the Chairman of the Board or the President.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w:t>
      </w:r>
    </w:p>
    <w:p>
      <w:pPr>
        <w:spacing w:after="0" w:line="90" w:lineRule="exact"/>
        <w:rPr>
          <w:sz w:val="20"/>
          <w:szCs w:val="20"/>
          <w:color w:val="auto"/>
        </w:rPr>
      </w:pPr>
    </w:p>
    <w:p>
      <w:pPr>
        <w:ind w:right="320" w:firstLine="157"/>
        <w:spacing w:after="0" w:line="276" w:lineRule="auto"/>
        <w:rPr>
          <w:sz w:val="20"/>
          <w:szCs w:val="20"/>
          <w:color w:val="auto"/>
        </w:rPr>
      </w:pPr>
      <w:r>
        <w:rPr>
          <w:rFonts w:ascii="Arial" w:cs="Arial" w:eastAsia="Arial" w:hAnsi="Arial"/>
          <w:sz w:val="13"/>
          <w:szCs w:val="13"/>
          <w:color w:val="auto"/>
        </w:rPr>
        <w:t>A. The number of directors shall initially be six (6) and, thereafter, shall be fixed from time to time exclusively by the Board of Directors. All directors shall hold office until the expiration of the term for which elected, and until their respective successors are elected, except in the case of the death, resignation, or removal of any director.</w:t>
      </w:r>
    </w:p>
    <w:p>
      <w:pPr>
        <w:spacing w:after="0" w:line="49"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B. Subject to the rights of the holders of any series of Preferred Stock then outstanding, newly created directorships resulting from any increase in the authorized number of directors or any vacancies in the Board of Directors resulting from death, resignation or other cause (including removal from office by a vote of the stockholders) may be filled only by a majority vote of the directors then in office, though less than a quorum, or by the sole remaining director and directors so chosen shall hold office for a term expiring at the next annual meeting of stockholders at which the term of office of the class to which they have been elected expires, and until their respective successors are elected, except in the case of the death, resignation, or removal of any director. No decrease in the number of directors constituting the Board of Directors shall shorten the term of any incumbent director.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 w:name="page11"/>
    <w:bookmarkEnd w:id="10"/>
    <w:p>
      <w:pPr>
        <w:ind w:right="120" w:firstLine="164"/>
        <w:spacing w:after="0" w:line="264" w:lineRule="auto"/>
        <w:rPr>
          <w:sz w:val="20"/>
          <w:szCs w:val="20"/>
          <w:color w:val="auto"/>
        </w:rPr>
      </w:pPr>
      <w:r>
        <w:rPr>
          <w:rFonts w:ascii="Arial" w:cs="Arial" w:eastAsia="Arial" w:hAnsi="Arial"/>
          <w:sz w:val="13"/>
          <w:szCs w:val="13"/>
          <w:color w:val="auto"/>
        </w:rPr>
        <w:t>C. Subject to the rights of the holders of any series of Preferred Stock then outstanding, any directors, or the entire Board of Directors, may be removed from office at any time, but only for cause and only by the affirmative vote of the holders of at least a majority of the voting power of all of the then outstanding shares of capital stock of the Corporation entitled to vote generally in the election of directors, voting together as a single class.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90" w:lineRule="exact"/>
        <w:rPr>
          <w:sz w:val="20"/>
          <w:szCs w:val="20"/>
          <w:color w:val="auto"/>
        </w:rPr>
      </w:pPr>
    </w:p>
    <w:p>
      <w:pPr>
        <w:ind w:right="380" w:firstLine="161"/>
        <w:spacing w:after="0" w:line="260" w:lineRule="auto"/>
        <w:rPr>
          <w:sz w:val="20"/>
          <w:szCs w:val="20"/>
          <w:color w:val="auto"/>
        </w:rPr>
      </w:pPr>
      <w:r>
        <w:rPr>
          <w:rFonts w:ascii="Arial" w:cs="Arial" w:eastAsia="Arial" w:hAnsi="Arial"/>
          <w:sz w:val="13"/>
          <w:szCs w:val="13"/>
          <w:color w:val="auto"/>
        </w:rPr>
        <w:t>The Board of Directors is expressly empowered to adopt, amend or repeal By-Laws of the Corporation. The stockholders shall also have power to adopt, amend or repeal the By-Laws of the Corporation. Any adoption, amendment or repeal of By-Laws of the Corporation by the stockholders shall require, in addition to any vote of the holders of any class or series of stock of the Corporation required by law or by this Certificate of Incorporation, the affirmative vote of the holders of at least sixty-six and two-thirds percent (66-2/3%) of the voting power of all of the then outstanding shares of the capital stock of the Corporation entitled to vote generally in the election of directors, voting together as a single class.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VIII</w:t>
      </w:r>
    </w:p>
    <w:p>
      <w:pPr>
        <w:spacing w:after="0" w:line="90" w:lineRule="exact"/>
        <w:rPr>
          <w:sz w:val="20"/>
          <w:szCs w:val="20"/>
          <w:color w:val="auto"/>
        </w:rPr>
      </w:pPr>
    </w:p>
    <w:p>
      <w:pPr>
        <w:ind w:right="40" w:firstLine="157"/>
        <w:spacing w:after="0" w:line="257" w:lineRule="auto"/>
        <w:rPr>
          <w:sz w:val="20"/>
          <w:szCs w:val="20"/>
          <w:color w:val="auto"/>
        </w:rPr>
      </w:pPr>
      <w:r>
        <w:rPr>
          <w:rFonts w:ascii="Arial" w:cs="Arial" w:eastAsia="Arial" w:hAnsi="Arial"/>
          <w:sz w:val="13"/>
          <w:szCs w:val="13"/>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involved intentional misconduct or a knowing violation of law, (iii) under Section 174 of the Delaware General Corporation Law, or (iv) for any transaction from which the director derived an improper personal benefit.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 Any repeal or modification of the foregoing provisions of this Article EIGHTH by the stockholders of the Corporation shall not adversely affect any right or protection of a director of the Corporation existing at the time of such repeal or modification.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IX</w:t>
      </w:r>
    </w:p>
    <w:p>
      <w:pPr>
        <w:spacing w:after="0" w:line="90"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 xml:space="preserve">The Corporation reserves the right to amend, alter, change,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notwithstanding any other provision of this Certificate of Incorporation or any provision of law which might otherwise permit a lesser vote or no vote, but in addition to any vote of the holders of any class or series of the stock of this Corporation required by law or by this Certificate of Incorporation, effective as of the closing of the Initial Public Offering, the affirmative vote of the holders of at least 66-2/3% of the voting power of all of the then outstanding shares of the capital stock of the Corporation entitled to vote generally in the election of directors, voting together as a single class, shall be required to amend or repeal this Article NINTH, Article FIFTH, Article SIXTH, Article SEVENTH or Article EIGHTH.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0"/>
          </w:cols>
          <w:pgMar w:left="220" w:top="720"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3"/>
          <w:szCs w:val="13"/>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BYLAWS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GRAND CANYON EDUCATION,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Delaware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PREAMBLE</w:t>
      </w:r>
    </w:p>
    <w:p>
      <w:pPr>
        <w:spacing w:after="0" w:line="90" w:lineRule="exact"/>
        <w:rPr>
          <w:sz w:val="20"/>
          <w:szCs w:val="20"/>
          <w:color w:val="auto"/>
        </w:rPr>
      </w:pPr>
    </w:p>
    <w:p>
      <w:pPr>
        <w:ind w:right="100" w:firstLine="161"/>
        <w:spacing w:after="0" w:line="264" w:lineRule="auto"/>
        <w:rPr>
          <w:sz w:val="20"/>
          <w:szCs w:val="20"/>
          <w:color w:val="auto"/>
        </w:rPr>
      </w:pPr>
      <w:r>
        <w:rPr>
          <w:rFonts w:ascii="Arial" w:cs="Arial" w:eastAsia="Arial" w:hAnsi="Arial"/>
          <w:sz w:val="13"/>
          <w:szCs w:val="13"/>
          <w:color w:val="auto"/>
        </w:rPr>
        <w:t>These amended and restated bylaws (the “Bylaws”) are subject to, and governed by, the General Corporate Law of the State of Delaware (the “DGCL”) and the amended and restated certificate of incorporation (the “Certificate”) of Grand Canyon Education, Inc., a Delaware corporation (the “Corporation”). In the event of a direct conflict between the provisions of these Bylaws and the mandatory provisions of the DGCL or the provisions of the Certificate, such provisions of the DGCL or the Certificate, as the case may be, will be controlling.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OFFICES</w:t>
      </w:r>
    </w:p>
    <w:p>
      <w:pPr>
        <w:spacing w:after="0" w:line="7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Registered Office and Agent</w:t>
      </w:r>
      <w:r>
        <w:rPr>
          <w:rFonts w:ascii="Arial" w:cs="Arial" w:eastAsia="Arial" w:hAnsi="Arial"/>
          <w:sz w:val="13"/>
          <w:szCs w:val="13"/>
          <w:color w:val="auto"/>
        </w:rPr>
        <w:t>. The registered office and registered agent of the Corporation shall be designated from time to time by the appropriate filing by the Corporation in the office of the Secretary of State of the State of Delaware.</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Other Offices</w:t>
      </w:r>
      <w:r>
        <w:rPr>
          <w:rFonts w:ascii="Arial" w:cs="Arial" w:eastAsia="Arial" w:hAnsi="Arial"/>
          <w:sz w:val="13"/>
          <w:szCs w:val="13"/>
          <w:color w:val="auto"/>
        </w:rPr>
        <w:t>. The Corporation may also have offices at such other places, both within and without the State of Delaware, as the Board of Directors may from time to time determine or as the business of the Corporation may require.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STOCKHOLDERS</w:t>
      </w:r>
    </w:p>
    <w:p>
      <w:pPr>
        <w:spacing w:after="0" w:line="79"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Place of Meetings</w:t>
      </w:r>
      <w:r>
        <w:rPr>
          <w:rFonts w:ascii="Arial" w:cs="Arial" w:eastAsia="Arial" w:hAnsi="Arial"/>
          <w:sz w:val="13"/>
          <w:szCs w:val="13"/>
          <w:color w:val="auto"/>
        </w:rPr>
        <w:t>. All meetings of stockholders shall be held at such place (if any) within or without the State of Delaware as may be designated from time to time by the Board of Directors or the President and Chief Executive Officer.</w:t>
      </w:r>
    </w:p>
    <w:p>
      <w:pPr>
        <w:spacing w:after="0" w:line="49"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Annual Meeting</w:t>
      </w:r>
      <w:r>
        <w:rPr>
          <w:rFonts w:ascii="Arial" w:cs="Arial" w:eastAsia="Arial" w:hAnsi="Arial"/>
          <w:sz w:val="13"/>
          <w:szCs w:val="13"/>
          <w:color w:val="auto"/>
        </w:rPr>
        <w:t>. The annual meeting of stockholders for the election of directors and for the transaction of such other business as may properly be brought before the meeting shall be held on a date to be fixed by the Board of Directors at the time and place to be fixed by the Board of Directors and stated in the notice of the meeting. In lieu of holding an annual meeting of stockholders at a designated place, the Board of Directors may, in its sole discretion, determine that any annual meeting of stockholders may be held solely by means of remote communication.</w:t>
      </w:r>
    </w:p>
    <w:p>
      <w:pPr>
        <w:spacing w:after="0" w:line="57"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stockholders may be called at any time by the Board of Directors for any purpose or purposes prescribed in the notice of the meeting and shall be held at such place (if any), on such date and at such time as the Board may fix. In lieu of holding a special meeting of stockholders at a designated place, the Board of Directors may, in its sole discretion, determine that any special meeting of stockholders may be held solely by means of remote communication. Business transacted at any special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t>stockholders shall be confined to the purpose or purposes stated in the notice of meeting.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Notice of Meetings</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503" w:val="left"/>
        </w:tabs>
        <w:numPr>
          <w:ilvl w:val="0"/>
          <w:numId w:val="8"/>
        </w:numPr>
        <w:rPr>
          <w:rFonts w:ascii="Arial" w:cs="Arial" w:eastAsia="Arial" w:hAnsi="Arial"/>
          <w:sz w:val="13"/>
          <w:szCs w:val="13"/>
          <w:color w:val="auto"/>
        </w:rPr>
      </w:pPr>
      <w:r>
        <w:rPr>
          <w:rFonts w:ascii="Arial" w:cs="Arial" w:eastAsia="Arial" w:hAnsi="Arial"/>
          <w:sz w:val="13"/>
          <w:szCs w:val="13"/>
          <w:color w:val="auto"/>
        </w:rPr>
        <w:t>Written notice of each meeting of stockholders, whether annual or special, shall be given not less than 10 nor more than 60 days before the date on which the meeting is to be held, to each stockholder entitled to vote at such meeting, except as otherwise provided herein or as required by law (meaning here and hereafter, as required from time to time by the DGCL or the Certificate). The notice of any meeting shall state the place, if any, date and hour of the meeting, and the means of remote communication, if any, by which stockholders and proxy holders may be deemed to be present in person and vote at such meeting. The notice of a special meeting shall state, in addition, the purpose or purposes for which the meeting is called. If mailed, notice is given when deposited in the United States mail, postage prepaid, directed to the stockholder at his, her or its address as it appears on the records of the Corporation.</w:t>
      </w:r>
    </w:p>
    <w:p>
      <w:pPr>
        <w:spacing w:after="0" w:line="61" w:lineRule="exact"/>
        <w:rPr>
          <w:rFonts w:ascii="Arial" w:cs="Arial" w:eastAsia="Arial" w:hAnsi="Arial"/>
          <w:sz w:val="13"/>
          <w:szCs w:val="13"/>
          <w:color w:val="auto"/>
        </w:rPr>
      </w:pPr>
    </w:p>
    <w:p>
      <w:pPr>
        <w:ind w:right="40" w:firstLine="326"/>
        <w:spacing w:after="0" w:line="281" w:lineRule="auto"/>
        <w:tabs>
          <w:tab w:leader="none" w:pos="513" w:val="left"/>
        </w:tabs>
        <w:numPr>
          <w:ilvl w:val="0"/>
          <w:numId w:val="8"/>
        </w:numPr>
        <w:rPr>
          <w:rFonts w:ascii="Arial" w:cs="Arial" w:eastAsia="Arial" w:hAnsi="Arial"/>
          <w:sz w:val="12"/>
          <w:szCs w:val="12"/>
          <w:color w:val="auto"/>
        </w:rPr>
      </w:pPr>
      <w:r>
        <w:rPr>
          <w:rFonts w:ascii="Arial" w:cs="Arial" w:eastAsia="Arial" w:hAnsi="Arial"/>
          <w:sz w:val="12"/>
          <w:szCs w:val="12"/>
          <w:color w:val="auto"/>
        </w:rPr>
        <w:t>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spacing w:after="0" w:line="48" w:lineRule="exact"/>
        <w:rPr>
          <w:rFonts w:ascii="Arial" w:cs="Arial" w:eastAsia="Arial" w:hAnsi="Arial"/>
          <w:sz w:val="12"/>
          <w:szCs w:val="12"/>
          <w:color w:val="auto"/>
        </w:rPr>
      </w:pPr>
    </w:p>
    <w:p>
      <w:pPr>
        <w:ind w:left="500" w:hanging="174"/>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Notice of any meeting of stockholders need not be given to any stockholder if waived by such stockholder either in a writing signed by such stockholder or by electronic</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 w:name="page14"/>
    <w:bookmarkEnd w:id="13"/>
    <w:p>
      <w:pPr>
        <w:ind w:right="240"/>
        <w:spacing w:after="0" w:line="276" w:lineRule="auto"/>
        <w:rPr>
          <w:sz w:val="20"/>
          <w:szCs w:val="20"/>
          <w:color w:val="auto"/>
        </w:rPr>
      </w:pPr>
      <w:r>
        <w:rPr>
          <w:rFonts w:ascii="Arial" w:cs="Arial" w:eastAsia="Arial" w:hAnsi="Arial"/>
          <w:sz w:val="13"/>
          <w:szCs w:val="13"/>
          <w:color w:val="auto"/>
        </w:rPr>
        <w:t>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spacing w:after="0" w:line="49"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Voting List</w:t>
      </w:r>
      <w:r>
        <w:rPr>
          <w:rFonts w:ascii="Arial" w:cs="Arial" w:eastAsia="Arial" w:hAnsi="Arial"/>
          <w:sz w:val="13"/>
          <w:szCs w:val="13"/>
          <w:color w:val="auto"/>
        </w:rPr>
        <w:t>. The officer who has charge of the stock ledger of the Corporation shall prepare, at least 10 days before each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such stockholder, for any purpose germane to the meeting, during ordinary business hours, for a period of at least 10 days prior to the meeting, in the manner provided by law. The list shall also be produced and kept at the time and place of the meeting during the whole time of the meeting, and may be inspected by any stockholder who is present. This list shall determine the identity of the stockholders entitled to vote at the meeting and the number of shares held by each of them.</w:t>
      </w:r>
    </w:p>
    <w:p>
      <w:pPr>
        <w:spacing w:after="0" w:line="61" w:lineRule="exact"/>
        <w:rPr>
          <w:sz w:val="20"/>
          <w:szCs w:val="20"/>
          <w:color w:val="auto"/>
        </w:rPr>
      </w:pPr>
    </w:p>
    <w:p>
      <w:pPr>
        <w:ind w:right="220" w:firstLine="164"/>
        <w:spacing w:after="0" w:line="264"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Quorum</w:t>
      </w:r>
      <w:r>
        <w:rPr>
          <w:rFonts w:ascii="Arial" w:cs="Arial" w:eastAsia="Arial" w:hAnsi="Arial"/>
          <w:sz w:val="13"/>
          <w:szCs w:val="13"/>
          <w:color w:val="auto"/>
        </w:rPr>
        <w:t>. Except as otherwise provided by law or these Bylaws, the holders of a majority of the shares of the capital stock of the Corporation entitled to vote at the meeting, present in person or represented by proxy, shall constitute a quorum for the transaction of business. Where a separate class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57"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u w:val="single" w:color="auto"/>
          <w:color w:val="auto"/>
        </w:rPr>
        <w:t>Adjournments</w:t>
      </w:r>
      <w:r>
        <w:rPr>
          <w:rFonts w:ascii="Arial" w:cs="Arial" w:eastAsia="Arial" w:hAnsi="Arial"/>
          <w:sz w:val="12"/>
          <w:szCs w:val="12"/>
          <w:color w:val="auto"/>
        </w:rPr>
        <w:t>. Any meeting of stockholders may be adjourned to any other time and to any other place at which a meeting of stockholders may be held under these Bylaws by the chairman of the meeting or, in the absence of such person, by any officer entitled to preside at or to act as Secretary of such meeting, or by the holders of a majority of the shares of stock present or represented at the meeting and entitled to vote, although less than a quorum. When a meeting is adjourned to another place, date or time, written notice need not be given of the adjourned meeting if the date, time, and place and the means of remote communication, if any, by which stockholders and proxy holders may be deemed to be present in person and vote at such adjourned meeting, are announced at the meeting at which the adjournment is taken; provided, however, that if the date of any adjourned meeting is more than 30 days after the date for which the meeting was originally noticed, or if a new record date is fixed for the adjourned meeting, written notice of the place, if any, date, and time of the adjourned meeting and the means of remote communications, if any, by which stockholders and proxy holders may be deemed to be present in person and vote at such adjourned meeting, shall be given in conformity with Section 2.4 hereof. At the adjourned meeting, the Corporation may transact any business that might have been transacted at the original meeting.</w:t>
      </w:r>
    </w:p>
    <w:p>
      <w:pPr>
        <w:spacing w:after="0" w:line="49"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Voting and Proxies</w:t>
      </w:r>
      <w:r>
        <w:rPr>
          <w:rFonts w:ascii="Arial" w:cs="Arial" w:eastAsia="Arial" w:hAnsi="Arial"/>
          <w:sz w:val="13"/>
          <w:szCs w:val="13"/>
          <w:color w:val="auto"/>
        </w:rPr>
        <w:t>. Each stockholder shall have one vote for each share of stock entitled to vote held of record by such stockholder and a proportionate vote for each fractional share so held, unless otherwise provided by law or in the Certificate. Each stockholder of record entitled to vote at a meeting of stockholders may vote in person or may authorize any other person or persons to vote or act for such stockholder by written proxy executed by the stockholder or its authorized agent or by a transmission permitted by law and delivered to the Secretary of the Corporation. Any copy, facsimile transmission or other reliable reproduction of the writing or transmission created pursuant to this Section may be substituted or used in lieu of the original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 w:name="page15"/>
    <w:bookmarkEnd w:id="14"/>
    <w:p>
      <w:pPr>
        <w:spacing w:after="0" w:line="276" w:lineRule="auto"/>
        <w:rPr>
          <w:sz w:val="20"/>
          <w:szCs w:val="20"/>
          <w:color w:val="auto"/>
        </w:rPr>
      </w:pPr>
      <w:r>
        <w:rPr>
          <w:rFonts w:ascii="Arial" w:cs="Arial" w:eastAsia="Arial" w:hAnsi="Arial"/>
          <w:sz w:val="13"/>
          <w:szCs w:val="13"/>
          <w:color w:val="auto"/>
        </w:rPr>
        <w:t>writing or transmission for any and all purposes for which the original writing or transmission could be used, provided that such copy, facsimile transmission or other reproduction shall be a complete reproduction of the entire original writing or transmission.</w:t>
      </w:r>
    </w:p>
    <w:p>
      <w:pPr>
        <w:spacing w:after="0" w:line="49"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u w:val="single" w:color="auto"/>
          <w:color w:val="auto"/>
        </w:rPr>
        <w:t>Record Date</w:t>
      </w:r>
      <w:r>
        <w:rPr>
          <w:rFonts w:ascii="Arial" w:cs="Arial" w:eastAsia="Arial" w:hAnsi="Arial"/>
          <w:sz w:val="12"/>
          <w:szCs w:val="12"/>
          <w:color w:val="auto"/>
        </w:rPr>
        <w:t>. The Board of Directors may fix in advance a record date for the determination of the stockholders entitled to notice of or to vote at any meeting of stockholders or to express consent to corporate action in writing without a meeting, or entitled to receive payment of any dividend or other distribution or allotment of any rights in respect of any change, concession or exchange of stock, or for the purpose of any other lawful action. Such record date shall not precede the date on which the resolution fixing the record date is adopted and shall not be more than 60 nor less than 10 days before the date of such meeting, nor more than 60 days prior to any other action to which such record date relates. If no record date is fixed by the Board of Directors,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by the Board of Directors, the record date for determining stockholders entitled to express consent to corporate action in writing without a meeting when no prior action by the Board of Directors is necessary shall be the day on which the first written consent is expressed. The record date for determining stockholders for any other purpose shall be at the close of business on the day on which the Board of Directors adopts the resolution relating to such purpose.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50"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Action at Meeting</w:t>
      </w:r>
      <w:r>
        <w:rPr>
          <w:rFonts w:ascii="Arial" w:cs="Arial" w:eastAsia="Arial" w:hAnsi="Arial"/>
          <w:sz w:val="12"/>
          <w:szCs w:val="12"/>
          <w:color w:val="auto"/>
        </w:rPr>
        <w:t>. When a quorum is present at any meeting, any election of directors shall be determined by a plurality of the votes cast by the stockholders entitled to vote at the election, and any other matter shall be determined by a majority in voting power of the shares present in person or represented by proxy and entitled to vote on the matter (or if there are two or more classes of stock entitled to vote as separate classes, then in the case of each such class, a majority of the shares of each such class present in person or represented by proxy and entitled to vote on the matter) shall decide such matter, except when a different vote is required by express provision of law, the Certificate or these Bylaws. All voting, except on the election of directors and where otherwise prohibited by law, may be by a voice vote; provided, however, that upon demand therefor by a stockholder entitled to vote or his, her or its proxy, a vote by ballot shall be taken. Each ballot shall state the name of the stockholder or proxy voting and such other information as may be required under the procedure established for the meeting. The Corporation may, and to the extent required by law, shall, in advance of any meeting of stockholders, appoint one or more inspectors to act at the meeting and make a written report thereof. The Corporation may designate one or more persons as an alternate inspector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faithfully execute the duties of inspector with strict impartiality and according to the best of his or her ability.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 w:name="page16"/>
    <w:bookmarkEnd w:id="15"/>
    <w:p>
      <w:pPr>
        <w:ind w:left="161"/>
        <w:spacing w:after="0"/>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Notice of Stockholder Business</w:t>
      </w:r>
      <w:r>
        <w:rPr>
          <w:rFonts w:ascii="Arial" w:cs="Arial" w:eastAsia="Arial" w:hAnsi="Arial"/>
          <w:sz w:val="13"/>
          <w:szCs w:val="13"/>
          <w:color w:val="auto"/>
        </w:rPr>
        <w:t>.</w:t>
      </w:r>
    </w:p>
    <w:p>
      <w:pPr>
        <w:spacing w:after="0" w:line="86" w:lineRule="exact"/>
        <w:rPr>
          <w:sz w:val="20"/>
          <w:szCs w:val="20"/>
          <w:color w:val="auto"/>
        </w:rPr>
      </w:pPr>
    </w:p>
    <w:p>
      <w:pPr>
        <w:ind w:left="1" w:right="20" w:firstLine="326"/>
        <w:spacing w:after="0" w:line="305" w:lineRule="auto"/>
        <w:tabs>
          <w:tab w:leader="none" w:pos="500" w:val="left"/>
        </w:tabs>
        <w:numPr>
          <w:ilvl w:val="1"/>
          <w:numId w:val="9"/>
        </w:numPr>
        <w:rPr>
          <w:rFonts w:ascii="Arial" w:cs="Arial" w:eastAsia="Arial" w:hAnsi="Arial"/>
          <w:sz w:val="11"/>
          <w:szCs w:val="11"/>
          <w:color w:val="auto"/>
        </w:rPr>
      </w:pPr>
      <w:r>
        <w:rPr>
          <w:rFonts w:ascii="Arial" w:cs="Arial" w:eastAsia="Arial" w:hAnsi="Arial"/>
          <w:sz w:val="11"/>
          <w:szCs w:val="11"/>
          <w:color w:val="auto"/>
        </w:rPr>
        <w:t>At an annual or special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properly brought before the meeting by or at the direction of the Board of Directors, or</w:t>
      </w:r>
    </w:p>
    <w:p>
      <w:pPr>
        <w:ind w:left="1" w:hanging="1"/>
        <w:spacing w:after="0" w:line="298" w:lineRule="auto"/>
        <w:tabs>
          <w:tab w:leader="none" w:pos="231" w:val="left"/>
        </w:tabs>
        <w:numPr>
          <w:ilvl w:val="0"/>
          <w:numId w:val="10"/>
        </w:numPr>
        <w:rPr>
          <w:rFonts w:ascii="Arial" w:cs="Arial" w:eastAsia="Arial" w:hAnsi="Arial"/>
          <w:sz w:val="11"/>
          <w:szCs w:val="11"/>
          <w:color w:val="auto"/>
        </w:rPr>
      </w:pPr>
      <w:r>
        <w:rPr>
          <w:rFonts w:ascii="Arial" w:cs="Arial" w:eastAsia="Arial" w:hAnsi="Arial"/>
          <w:sz w:val="11"/>
          <w:szCs w:val="11"/>
          <w:color w:val="auto"/>
        </w:rPr>
        <w:t>properly brought before the meeting by a stockholder of record. For business to be properly brought before an annual meeting by a stockholder, it must be a proper matter for stockholder action under the DGCL and the stockholder must have given timely notice thereof in writing to the Secretary of the Corporation. To be timely, a stockholder proposal to be presented at an annual meeting shall be received at the Corporation’s principal executive offices not earlier than the close of business on the 120th day, nor later than the close of business on the 90th day, prior to the first anniversary of the date of the preceding year’s annual meeting as first specified in the Corporation’s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“Public announcement” for purposes hereof shall have the meaning set forth in Article III, Section 3.15(c) of these Bylaws. In no event shall the public announcement of an adjournment or postponement of an annual meeting commence a new time period (or extend any time period) for the giving of a stockholder’s notice as described above. For business to be properly brought before a special meeting by a stockholder, the business must be limited to the purpose or purposes set forth in a request under</w:t>
      </w:r>
    </w:p>
    <w:p>
      <w:pPr>
        <w:spacing w:after="0" w:line="1"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3"/>
          <w:szCs w:val="13"/>
          <w:color w:val="auto"/>
        </w:rPr>
        <w:t>Section 2.3.</w:t>
      </w:r>
    </w:p>
    <w:p>
      <w:pPr>
        <w:spacing w:after="0" w:line="78" w:lineRule="exact"/>
        <w:rPr>
          <w:rFonts w:ascii="Arial" w:cs="Arial" w:eastAsia="Arial" w:hAnsi="Arial"/>
          <w:sz w:val="11"/>
          <w:szCs w:val="11"/>
          <w:color w:val="auto"/>
        </w:rPr>
      </w:pPr>
    </w:p>
    <w:p>
      <w:pPr>
        <w:ind w:left="1" w:firstLine="326"/>
        <w:spacing w:after="0" w:line="279" w:lineRule="auto"/>
        <w:tabs>
          <w:tab w:leader="none" w:pos="507" w:val="left"/>
        </w:tabs>
        <w:numPr>
          <w:ilvl w:val="1"/>
          <w:numId w:val="10"/>
        </w:numPr>
        <w:rPr>
          <w:rFonts w:ascii="Arial" w:cs="Arial" w:eastAsia="Arial" w:hAnsi="Arial"/>
          <w:sz w:val="12"/>
          <w:szCs w:val="12"/>
          <w:color w:val="auto"/>
        </w:rPr>
      </w:pPr>
      <w:r>
        <w:rPr>
          <w:rFonts w:ascii="Arial" w:cs="Arial" w:eastAsia="Arial" w:hAnsi="Arial"/>
          <w:sz w:val="12"/>
          <w:szCs w:val="12"/>
          <w:color w:val="auto"/>
        </w:rPr>
        <w:t>A stockholder’s notice to the Secretary of the Corporation shall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these Bylaws, the language of the proposed amendment, (ii) the name and address, as they appear on the Corporation’s books, of the stockholder proposing such business and the names and addresses of the beneficial owners, if any, on whose behalf the business is being brought, (iii) a representation that the stockholder is a holder of record of stock of the Corporation entitled to vote at the meeting on the date of such notice and intends to appear in person or by proxy at the meeting to propose the business specified in the notice, (iv) any material interest of the stockholder and such other beneficial owner in such business, (v) the class and number of shares of the Corporation that are owned beneficially and of record by the stockholder and such other beneficial owner, (vi)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or, and (vii) any material interest of the stockholder and such other beneficial owner, the effect or intent of which is to mitigate loss to, manage risk or benefit of share price changes for, or increase or decrease the voting power of, such stockholder or such beneficial owner, with respect to shares of stock of the Corporation in such business.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6" w:name="page17"/>
    <w:bookmarkEnd w:id="16"/>
    <w:p>
      <w:pPr>
        <w:ind w:right="100" w:firstLine="326"/>
        <w:spacing w:after="0" w:line="264" w:lineRule="auto"/>
        <w:tabs>
          <w:tab w:leader="none" w:pos="506"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2.11, a stockholder shall also comply with all applicable requirements of the Securities Exchange Act of 1934 (the “Exchange Act”) and the rules and regulations thereunder with respect to the matters set forth in this Section 2.11. Nothing in this Section 2.11 shall be deemed to affect any rights of stockholders to request inclusion of proposals in the Corporation’s proxy statement pursuant to Rule 14a-8 under the Exchange Act.</w:t>
      </w:r>
    </w:p>
    <w:p>
      <w:pPr>
        <w:spacing w:after="0" w:line="57" w:lineRule="exact"/>
        <w:rPr>
          <w:sz w:val="20"/>
          <w:szCs w:val="20"/>
          <w:color w:val="auto"/>
        </w:rPr>
      </w:pPr>
    </w:p>
    <w:p>
      <w:pPr>
        <w:ind w:right="40" w:firstLine="164"/>
        <w:spacing w:after="0" w:line="305" w:lineRule="auto"/>
        <w:rPr>
          <w:sz w:val="20"/>
          <w:szCs w:val="20"/>
          <w:color w:val="auto"/>
        </w:rPr>
      </w:pPr>
      <w:r>
        <w:rPr>
          <w:rFonts w:ascii="Arial" w:cs="Arial" w:eastAsia="Arial" w:hAnsi="Arial"/>
          <w:sz w:val="11"/>
          <w:szCs w:val="11"/>
          <w:color w:val="auto"/>
        </w:rPr>
        <w:t xml:space="preserve">2.12 </w:t>
      </w:r>
      <w:r>
        <w:rPr>
          <w:rFonts w:ascii="Arial" w:cs="Arial" w:eastAsia="Arial" w:hAnsi="Arial"/>
          <w:sz w:val="11"/>
          <w:szCs w:val="11"/>
          <w:u w:val="single" w:color="auto"/>
          <w:color w:val="auto"/>
        </w:rPr>
        <w:t>Conduct of Business</w:t>
      </w:r>
      <w:r>
        <w:rPr>
          <w:rFonts w:ascii="Arial" w:cs="Arial" w:eastAsia="Arial" w:hAnsi="Arial"/>
          <w:sz w:val="11"/>
          <w:szCs w:val="11"/>
          <w:color w:val="auto"/>
        </w:rPr>
        <w:t>. At every meeting of the stockholders, the Chairman of the Board, or, in his or her absence, the President, or, in his or her absence, such other person as may be appointed by the Board of Directors, shall act as chairman. The Secretary of the Corporation or a person designated by the chairman of the meeting shall act as Secretary of the meeting. Unless otherwise approved by the chairman of the meeting, attendance at the stockholders’ meeting is restricted to stockholders of record, persons authorized in accordance with Section 2.8 of these Bylaws to act by proxy, and officers of the Corporation. The chairman of the meeting shall call the meeting to order, establish the agenda, and conduct the business of the meeting in accordance therewith or, at the chairman’s discretion, it may be conducted otherwise in accordance with the wishes of the stockholders in attendance. The date and time of the opening and closing of the polls for each matter upon which the stockholders will vote at the meeting shall be announced at the meeting. The chairman shall also conduct the meeting in an orderly manner, rule on the precedence of, and procedure on, motions and other procedural matters, and exercise discretion with respect to such procedural matters with fairness and good faith toward all those entitled to take part. Without limiting the foregoing, the chairman may (a) restrict attendance at any time to bona fide stockholders of record and their proxies and other persons in attendance at the invitation of the presiding officer or Board of Directors, (b) restrict use of audio or video recording devices at the meeting, and (c) impose reasonable limits on the amount of time taken up at the meeting on discussion in general or on remarks by any one stockholder. Should any person in attendance become unruly or obstruct the meeting proceedings, the chairman shall have the power to have such person removed from the meeting. Notwithstanding anything in the Bylaws to the contrary, no business shall be conducted at a meeting except in accordance with the procedures set forth in this Section 2.12 and Section 2.11 above. The chairman of a meeting may determine and declare to the meeting that any proposed item of business was not brought before the meeting in accordance with the provisions of this Section 2.12 and Section 2.11, and if he or she should so determine, he or she shall so declare to the meeting and any such business not properly brought before the meeting shall not be transacted.</w:t>
      </w:r>
    </w:p>
    <w:p>
      <w:pPr>
        <w:spacing w:after="0" w:line="37"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Stockholder Action Without Meeting</w:t>
      </w:r>
      <w:r>
        <w:rPr>
          <w:rFonts w:ascii="Arial" w:cs="Arial" w:eastAsia="Arial" w:hAnsi="Arial"/>
          <w:sz w:val="13"/>
          <w:szCs w:val="13"/>
          <w:color w:val="auto"/>
        </w:rPr>
        <w:t>. Effective upon the closing of the Corporation’s initial public offering of its common stock, any action required or permitted to be taken by the stockholders of the Corporation must be effected at a duly called annual or special meeting of stockholders of the Corporation and may not be effected by any consent in writing by such stockholders. At all times prior to the closing of the Corporation’s initial public offering of its common stock, any action which may be taken at any annual or special meeting of stockholders may be taken without a meeting and without prior notice, if a consent in writing, setting forth the actions so taken, is signed by the holders of outstanding shares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Prompt notice of the taking of a corporate action without a meeting by less than unanimous written consent shall be given to those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 w:name="page18"/>
    <w:bookmarkEnd w:id="17"/>
    <w:p>
      <w:pPr>
        <w:ind w:left="1" w:right="20"/>
        <w:spacing w:after="0" w:line="305" w:lineRule="auto"/>
        <w:rPr>
          <w:sz w:val="20"/>
          <w:szCs w:val="20"/>
          <w:color w:val="auto"/>
        </w:rPr>
      </w:pPr>
      <w:r>
        <w:rPr>
          <w:rFonts w:ascii="Arial" w:cs="Arial" w:eastAsia="Arial" w:hAnsi="Arial"/>
          <w:sz w:val="11"/>
          <w:szCs w:val="11"/>
          <w:color w:val="auto"/>
        </w:rPr>
        <w:t>stockholders who have not consented in writing. An electronic transmission consenting to an action to be taken and transmitted by a stockholder, or by a proxy holder or other person authorized to act for a stockholder, shall be deemed to be written, signed and dated for the purpose of this Section 2.13, provided that such electronic transmission sets forth or is delivered with information from which the Corporation can determine</w:t>
      </w:r>
    </w:p>
    <w:p>
      <w:pPr>
        <w:spacing w:after="0" w:line="1" w:lineRule="exact"/>
        <w:rPr>
          <w:sz w:val="20"/>
          <w:szCs w:val="20"/>
          <w:color w:val="auto"/>
        </w:rPr>
      </w:pPr>
    </w:p>
    <w:p>
      <w:pPr>
        <w:ind w:left="161" w:hanging="161"/>
        <w:spacing w:after="0"/>
        <w:tabs>
          <w:tab w:leader="none" w:pos="161"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that the electronic transmission was transmitted by the stockholder or by a person authorized to act for the stockholder and (ii) the date on which such stockholder or authorized person transmitted such electronic</w:t>
      </w:r>
    </w:p>
    <w:p>
      <w:pPr>
        <w:spacing w:after="0" w:line="19" w:lineRule="exact"/>
        <w:rPr>
          <w:rFonts w:ascii="Arial" w:cs="Arial" w:eastAsia="Arial" w:hAnsi="Arial"/>
          <w:sz w:val="12"/>
          <w:szCs w:val="12"/>
          <w:color w:val="auto"/>
        </w:rPr>
      </w:pPr>
    </w:p>
    <w:p>
      <w:pPr>
        <w:ind w:left="1" w:right="40"/>
        <w:spacing w:after="0" w:line="258" w:lineRule="auto"/>
        <w:rPr>
          <w:rFonts w:ascii="Arial" w:cs="Arial" w:eastAsia="Arial" w:hAnsi="Arial"/>
          <w:sz w:val="12"/>
          <w:szCs w:val="12"/>
          <w:color w:val="auto"/>
        </w:rPr>
      </w:pPr>
      <w:r>
        <w:rPr>
          <w:rFonts w:ascii="Arial" w:cs="Arial" w:eastAsia="Arial" w:hAnsi="Arial"/>
          <w:sz w:val="13"/>
          <w:szCs w:val="13"/>
          <w:color w:val="auto"/>
        </w:rPr>
        <w:t>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books in which proceedings of meetings of stockholders are recorded.</w:t>
      </w:r>
    </w:p>
    <w:p>
      <w:pPr>
        <w:spacing w:after="0" w:line="61" w:lineRule="exact"/>
        <w:rPr>
          <w:sz w:val="20"/>
          <w:szCs w:val="20"/>
          <w:color w:val="auto"/>
        </w:rPr>
      </w:pPr>
    </w:p>
    <w:p>
      <w:pPr>
        <w:ind w:left="1" w:firstLine="164"/>
        <w:spacing w:after="0" w:line="282" w:lineRule="auto"/>
        <w:rPr>
          <w:sz w:val="20"/>
          <w:szCs w:val="20"/>
          <w:color w:val="auto"/>
        </w:rPr>
      </w:pPr>
      <w:r>
        <w:rPr>
          <w:rFonts w:ascii="Arial" w:cs="Arial" w:eastAsia="Arial" w:hAnsi="Arial"/>
          <w:sz w:val="12"/>
          <w:szCs w:val="12"/>
          <w:color w:val="auto"/>
        </w:rPr>
        <w:t xml:space="preserve">2.14 </w:t>
      </w:r>
      <w:r>
        <w:rPr>
          <w:rFonts w:ascii="Arial" w:cs="Arial" w:eastAsia="Arial" w:hAnsi="Arial"/>
          <w:sz w:val="12"/>
          <w:szCs w:val="12"/>
          <w:u w:val="single" w:color="auto"/>
          <w:color w:val="auto"/>
        </w:rPr>
        <w:t>Meetings by Remote Communication</w:t>
      </w:r>
      <w:r>
        <w:rPr>
          <w:rFonts w:ascii="Arial" w:cs="Arial" w:eastAsia="Arial" w:hAnsi="Arial"/>
          <w:sz w:val="12"/>
          <w:szCs w:val="12"/>
          <w:color w:val="auto"/>
        </w:rPr>
        <w:t>. If authorized by the Board of Directors, and subject to such guidelines and procedures as the Board may adopt, stockholders and proxy holders not physically present at a meeting of stockholders may, by means of remote communication, participate in the meeting and be deemed present in person and vote at the meeting,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 holder, (ii)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ARTICLE III</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BOARD OF DIRECTORS</w:t>
      </w:r>
    </w:p>
    <w:p>
      <w:pPr>
        <w:spacing w:after="0" w:line="79" w:lineRule="exact"/>
        <w:rPr>
          <w:sz w:val="20"/>
          <w:szCs w:val="20"/>
          <w:color w:val="auto"/>
        </w:rPr>
      </w:pPr>
    </w:p>
    <w:p>
      <w:pPr>
        <w:ind w:left="1" w:right="20" w:firstLine="164"/>
        <w:spacing w:after="0" w:line="371" w:lineRule="auto"/>
        <w:rPr>
          <w:sz w:val="20"/>
          <w:szCs w:val="20"/>
          <w:color w:val="auto"/>
        </w:rPr>
      </w:pPr>
      <w:r>
        <w:rPr>
          <w:rFonts w:ascii="Arial" w:cs="Arial" w:eastAsia="Arial" w:hAnsi="Arial"/>
          <w:sz w:val="11"/>
          <w:szCs w:val="11"/>
          <w:color w:val="auto"/>
        </w:rPr>
        <w:t xml:space="preserve">3.1 </w:t>
      </w:r>
      <w:r>
        <w:rPr>
          <w:rFonts w:ascii="Arial" w:cs="Arial" w:eastAsia="Arial" w:hAnsi="Arial"/>
          <w:sz w:val="11"/>
          <w:szCs w:val="11"/>
          <w:u w:val="single" w:color="auto"/>
          <w:color w:val="auto"/>
        </w:rPr>
        <w:t>General Powers</w:t>
      </w:r>
      <w:r>
        <w:rPr>
          <w:rFonts w:ascii="Arial" w:cs="Arial" w:eastAsia="Arial" w:hAnsi="Arial"/>
          <w:sz w:val="11"/>
          <w:szCs w:val="11"/>
          <w:color w:val="auto"/>
        </w:rPr>
        <w:t>. The business and affairs of the Corporation shall be managed by or under the direction of a Board of Directors, who may exercise all of the powers of the Corporation except as otherwise provided by law or the Certificate. In the event of a vacancy in the Board of Directors, the remaining directors, except as otherwise provided by law, may exercise the powers of the full Board until the vacancy is filled.</w:t>
      </w:r>
    </w:p>
    <w:p>
      <w:pPr>
        <w:spacing w:after="0" w:line="2" w:lineRule="exact"/>
        <w:rPr>
          <w:sz w:val="20"/>
          <w:szCs w:val="20"/>
          <w:color w:val="auto"/>
        </w:rPr>
      </w:pPr>
    </w:p>
    <w:p>
      <w:pPr>
        <w:jc w:val="both"/>
        <w:ind w:left="1" w:right="140" w:firstLine="164"/>
        <w:spacing w:after="0" w:line="264"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Number and Term of Office</w:t>
      </w:r>
      <w:r>
        <w:rPr>
          <w:rFonts w:ascii="Arial" w:cs="Arial" w:eastAsia="Arial" w:hAnsi="Arial"/>
          <w:sz w:val="13"/>
          <w:szCs w:val="13"/>
          <w:color w:val="auto"/>
        </w:rPr>
        <w:t>. Subject to the rights of the holders of any series of preferred stock to elect directors under specified circumstances, the number of directors shall initially be six (6) and, thereafter,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for adoption).</w:t>
      </w:r>
    </w:p>
    <w:p>
      <w:pPr>
        <w:spacing w:after="0" w:line="11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18" w:name="page19"/>
    <w:bookmarkEnd w:id="18"/>
    <w:p>
      <w:pPr>
        <w:spacing w:after="0"/>
        <w:rPr>
          <w:sz w:val="20"/>
          <w:szCs w:val="20"/>
          <w:color w:val="auto"/>
        </w:rPr>
      </w:pPr>
      <w:r>
        <w:rPr>
          <w:rFonts w:ascii="Arial" w:cs="Arial" w:eastAsia="Arial" w:hAnsi="Arial"/>
          <w:sz w:val="13"/>
          <w:szCs w:val="13"/>
          <w:color w:val="auto"/>
        </w:rPr>
        <w:t>All directors shall hold office until the next annual meeting of stockholders and until their respective successors are elected, except in the case of the death, resignation or removal of any director.</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Vacancies and Newly Created Directorships</w:t>
      </w:r>
      <w:r>
        <w:rPr>
          <w:rFonts w:ascii="Arial" w:cs="Arial" w:eastAsia="Arial" w:hAnsi="Arial"/>
          <w:sz w:val="13"/>
          <w:szCs w:val="13"/>
          <w:color w:val="auto"/>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(including removal from office by a vote of the stockholders) may be filled only by a majority vote of the directors then in office, though less than a quorum (and not by stockholders), or by the sole remaining director, and directors so chosen shall hold office for a term expiring at the next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61"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Resignation</w:t>
      </w:r>
      <w:r>
        <w:rPr>
          <w:rFonts w:ascii="Arial" w:cs="Arial" w:eastAsia="Arial" w:hAnsi="Arial"/>
          <w:sz w:val="13"/>
          <w:szCs w:val="13"/>
          <w:color w:val="auto"/>
        </w:rPr>
        <w:t>. Any director may resign by delivering notice in writing or by electronic transmission to the President, Chairman of the Board or Secretary. Such resignation shall be effective upon receipt unless it is specified to be effective at some other time or upon the happening of some other event.</w:t>
      </w:r>
    </w:p>
    <w:p>
      <w:pPr>
        <w:spacing w:after="0" w:line="4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Removal</w:t>
      </w:r>
      <w:r>
        <w:rPr>
          <w:rFonts w:ascii="Arial" w:cs="Arial" w:eastAsia="Arial" w:hAnsi="Arial"/>
          <w:sz w:val="13"/>
          <w:szCs w:val="13"/>
          <w:color w:val="auto"/>
        </w:rPr>
        <w:t>. Subject to the rights of the holders of any series of preferred stock then outstanding, any directors, or the entire Board of Directors, may be removed from office at any time, but only for cause, by the affirmative vote of the holders of a majority of the voting power of all of the outstanding shares of capital stock entitled to vote generally in the election of directors, voting together as a single class. Vacancies in the Board of Directors resulting from such removal may be filled by a majority of the directors then in office, though less than a quorum, or by the sole remaining director. Directors so chosen shall hold office until the next annual meeting of stockholders at which the term of office of the class to which they have been elected expires.</w:t>
      </w:r>
    </w:p>
    <w:p>
      <w:pPr>
        <w:spacing w:after="0" w:line="60"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Regular Meetings</w:t>
      </w:r>
      <w:r>
        <w:rPr>
          <w:rFonts w:ascii="Arial" w:cs="Arial" w:eastAsia="Arial" w:hAnsi="Arial"/>
          <w:sz w:val="13"/>
          <w:szCs w:val="13"/>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57"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Board of Directors may be called by the Chairman of the Board, the President or two or more directors and may be held at any time and place, within or without the State of Delaware.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 w:name="page20"/>
    <w:bookmarkEnd w:id="19"/>
    <w:p>
      <w:pPr>
        <w:ind w:right="40" w:firstLine="164"/>
        <w:spacing w:after="0" w:line="258"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u w:val="single" w:color="auto"/>
          <w:color w:val="auto"/>
        </w:rPr>
        <w:t>Notice of Special Meetings</w:t>
      </w:r>
      <w:r>
        <w:rPr>
          <w:rFonts w:ascii="Arial" w:cs="Arial" w:eastAsia="Arial" w:hAnsi="Arial"/>
          <w:sz w:val="13"/>
          <w:szCs w:val="13"/>
          <w:color w:val="auto"/>
        </w:rPr>
        <w:t>. Notice of any special meeting of directors shall be given to each director by whom it is not waived by the Secretary or by the officer or one of the directors calling the meeting. Notice shall be duly given to each director by (i) giving notice to such director in person or by telephone, electronic transmission or voice message system at least 24 hours in advance of the meeting, (ii) sending a facsimile to his or her last known facsimile number, or delivering written notice by hand to his or her last known business or home address, at least 24 hours in advance of the meeting, or (iii) mailing written notice to his or her last known business or home address at least three days in advance of the meeting. A notice or waiver of notice of a meeting of the Board of Directors need not specify the purposes of the meeting. Unless otherwise indicated in the notice thereof, any and all business may be transacted at a special meeting.</w:t>
      </w:r>
    </w:p>
    <w:p>
      <w:pPr>
        <w:spacing w:after="0" w:line="61"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Participation in Meetings by Telephone Conference Calls or Other Methods of Communication</w:t>
      </w:r>
      <w:r>
        <w:rPr>
          <w:rFonts w:ascii="Arial" w:cs="Arial" w:eastAsia="Arial" w:hAnsi="Arial"/>
          <w:sz w:val="13"/>
          <w:szCs w:val="13"/>
          <w:color w:val="auto"/>
        </w:rPr>
        <w:t>. Directors or any members of any committee designated by the directors may participate in a meeting of the Board of Directors or such committee by means of conference telephone or other communications equipment by means of which all persons participating in the meeting can hear each other, and participation by such means shall constitute presence in person at such meeting.</w:t>
      </w:r>
    </w:p>
    <w:p>
      <w:pPr>
        <w:spacing w:after="0" w:line="57" w:lineRule="exact"/>
        <w:rPr>
          <w:sz w:val="20"/>
          <w:szCs w:val="20"/>
          <w:color w:val="auto"/>
        </w:rPr>
      </w:pPr>
    </w:p>
    <w:p>
      <w:pPr>
        <w:jc w:val="both"/>
        <w:ind w:right="140" w:firstLine="164"/>
        <w:spacing w:after="0" w:line="264"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Quorum</w:t>
      </w:r>
      <w:r>
        <w:rPr>
          <w:rFonts w:ascii="Arial" w:cs="Arial" w:eastAsia="Arial" w:hAnsi="Arial"/>
          <w:sz w:val="13"/>
          <w:szCs w:val="13"/>
          <w:color w:val="auto"/>
        </w:rPr>
        <w:t>. A majority of the total number of authorized directors shall constitute a quorum at any meeting of the Board of Directors. In the absence of a quorum at any such meeting, a majority of the directors present may adjourn the meeting from time to time without further notice other than announcement at the meeting, until a quorum shall be present. Interested directors may be counted in determining the presence of a quorum at a meeting of the Board of Directors or at a meeting of a committee which authorizes a particular contract or transaction.</w:t>
      </w:r>
    </w:p>
    <w:p>
      <w:pPr>
        <w:spacing w:after="0" w:line="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Action at Meeting</w:t>
      </w:r>
      <w:r>
        <w:rPr>
          <w:rFonts w:ascii="Arial" w:cs="Arial" w:eastAsia="Arial" w:hAnsi="Arial"/>
          <w:sz w:val="13"/>
          <w:szCs w:val="13"/>
          <w:color w:val="auto"/>
        </w:rPr>
        <w:t>. At any meeting of the Board of Directors at which a quorum is present, the vote of a majority of those present shall be sufficient to take any action, unless a different vote is specified by law, the Certificate or these Bylaws.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Action by Written Consent</w:t>
      </w:r>
      <w:r>
        <w:rPr>
          <w:rFonts w:ascii="Arial" w:cs="Arial" w:eastAsia="Arial" w:hAnsi="Arial"/>
          <w:sz w:val="13"/>
          <w:szCs w:val="13"/>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writings or electronic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57" w:lineRule="exact"/>
        <w:rPr>
          <w:sz w:val="20"/>
          <w:szCs w:val="20"/>
          <w:color w:val="auto"/>
        </w:rPr>
      </w:pPr>
    </w:p>
    <w:p>
      <w:pPr>
        <w:ind w:right="160" w:firstLine="164"/>
        <w:spacing w:after="0" w:line="258" w:lineRule="auto"/>
        <w:rPr>
          <w:sz w:val="20"/>
          <w:szCs w:val="20"/>
          <w:color w:val="auto"/>
        </w:rPr>
      </w:pPr>
      <w:r>
        <w:rPr>
          <w:rFonts w:ascii="Arial" w:cs="Arial" w:eastAsia="Arial" w:hAnsi="Arial"/>
          <w:sz w:val="13"/>
          <w:szCs w:val="13"/>
          <w:color w:val="auto"/>
        </w:rPr>
        <w:t xml:space="preserve">3.13 </w:t>
      </w:r>
      <w:r>
        <w:rPr>
          <w:rFonts w:ascii="Arial" w:cs="Arial" w:eastAsia="Arial" w:hAnsi="Arial"/>
          <w:sz w:val="13"/>
          <w:szCs w:val="13"/>
          <w:u w:val="single" w:color="auto"/>
          <w:color w:val="auto"/>
        </w:rPr>
        <w:t>Committees</w:t>
      </w:r>
      <w:r>
        <w:rPr>
          <w:rFonts w:ascii="Arial" w:cs="Arial" w:eastAsia="Arial" w:hAnsi="Arial"/>
          <w:sz w:val="13"/>
          <w:szCs w:val="13"/>
          <w:color w:val="auto"/>
        </w:rPr>
        <w:t>. The Board of Directors shall designate an Audit Committee, a Compensation Committee and a Nominating and Corporate Governance Committee, and whatever other committees the Board of Directors deems advisable, each of which shall have and may exercise the powers and authority of the Board of Directors to the extent provided in the charters of each committee adopted by the Board of Directors in one or more resolutions..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she or they constitute a quorum, may unanimously appoint another member of the Board of Directors to act at the meeting in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 w:name="page21"/>
    <w:bookmarkEnd w:id="20"/>
    <w:p>
      <w:pPr>
        <w:spacing w:after="0" w:line="264" w:lineRule="auto"/>
        <w:rPr>
          <w:sz w:val="20"/>
          <w:szCs w:val="20"/>
          <w:color w:val="auto"/>
        </w:rPr>
      </w:pPr>
      <w:r>
        <w:rPr>
          <w:rFonts w:ascii="Arial" w:cs="Arial" w:eastAsia="Arial" w:hAnsi="Arial"/>
          <w:sz w:val="13"/>
          <w:szCs w:val="13"/>
          <w:color w:val="auto"/>
        </w:rPr>
        <w:t>place of any such absent or disqualified member. Each such committee shall keep minutes and make such reports as the Board of Directors may from time to time request. Except as the Board of Directors may otherwise determine, any committee may make rules for the conduct of its business, but unless otherwise provided by such rules, its business shall be conducted as nearly as possible in the same manner as is provided in these Bylaws for the Board of Directors.</w:t>
      </w:r>
    </w:p>
    <w:p>
      <w:pPr>
        <w:spacing w:after="0" w:line="57" w:lineRule="exact"/>
        <w:rPr>
          <w:sz w:val="20"/>
          <w:szCs w:val="20"/>
          <w:color w:val="auto"/>
        </w:rPr>
      </w:pPr>
    </w:p>
    <w:p>
      <w:pPr>
        <w:ind w:right="520" w:firstLine="164"/>
        <w:spacing w:after="0" w:line="320" w:lineRule="auto"/>
        <w:rPr>
          <w:sz w:val="20"/>
          <w:szCs w:val="20"/>
          <w:color w:val="auto"/>
        </w:rPr>
      </w:pPr>
      <w:r>
        <w:rPr>
          <w:rFonts w:ascii="Arial" w:cs="Arial" w:eastAsia="Arial" w:hAnsi="Arial"/>
          <w:sz w:val="12"/>
          <w:szCs w:val="12"/>
          <w:color w:val="auto"/>
        </w:rPr>
        <w:t xml:space="preserve">3.14 </w:t>
      </w:r>
      <w:r>
        <w:rPr>
          <w:rFonts w:ascii="Arial" w:cs="Arial" w:eastAsia="Arial" w:hAnsi="Arial"/>
          <w:sz w:val="12"/>
          <w:szCs w:val="12"/>
          <w:u w:val="single" w:color="auto"/>
          <w:color w:val="auto"/>
        </w:rPr>
        <w:t>Compensation of Directors</w:t>
      </w:r>
      <w:r>
        <w:rPr>
          <w:rFonts w:ascii="Arial" w:cs="Arial" w:eastAsia="Arial" w:hAnsi="Arial"/>
          <w:sz w:val="12"/>
          <w:szCs w:val="12"/>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3.15 </w:t>
      </w:r>
      <w:r>
        <w:rPr>
          <w:rFonts w:ascii="Arial" w:cs="Arial" w:eastAsia="Arial" w:hAnsi="Arial"/>
          <w:sz w:val="13"/>
          <w:szCs w:val="13"/>
          <w:u w:val="single" w:color="auto"/>
          <w:color w:val="auto"/>
        </w:rPr>
        <w:t>Nomination of Director Candidates</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76" w:lineRule="auto"/>
        <w:tabs>
          <w:tab w:leader="none" w:pos="506"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Subject to the rights of holders of any class or series of preferred stock then outstanding, nominations for the election of directors at an annual meeting may be made by (i) the Board of Directors or a duly authorized committee thereof or (ii) any stockholder entitled to vote in the election of directors generally who complies with the procedures set forth in this Section 3.15 and who is a stockholder of record at the time notice is delivered to the Secretary of the Corporation. Any stockholder entitled to vote in the election of directors generally may nominate one or more persons for election as directors at an annual meeting only if timely notice of such stockholder’s intent to make such nomination or nominations has been given in writing to the Secretary of the Corporation. To be timely, a stockholder nomination for a director to be elected at an annual meeting shall be received at the Corporation’s principal executive offices not less than 120 calendar days in advance of the first anniversary of the date that the Corporation’s (or the Corporation’s predecessor’s)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Each such notice shall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Corporation entitled to vote for the election of directors on the date of such notice and intends to appear in person or by proxy at the meeting to nominate the person or persons specified in the notice; (iii) a description of all arrangements or understandings between the stockholder or such beneficial owner and each nominee and any other person or persons (naming such person or persons) pursuant to which the nomination or nominations are to be made by the stockholder; (iv)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(v) the consent of each nominee to serve as a director of the Corporation if so elected; and (vi) the class and number of shares of the Corporation that are owned beneficially and of record by such stockholder and such beneficial owner. In no event shall the public announcement of an adjournment or postponement of an annual meeting commence a new time period (or extend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 w:name="page22"/>
    <w:bookmarkEnd w:id="21"/>
    <w:p>
      <w:pPr>
        <w:spacing w:after="0" w:line="258" w:lineRule="auto"/>
        <w:rPr>
          <w:sz w:val="20"/>
          <w:szCs w:val="20"/>
          <w:color w:val="auto"/>
        </w:rPr>
      </w:pPr>
      <w:r>
        <w:rPr>
          <w:rFonts w:ascii="Arial" w:cs="Arial" w:eastAsia="Arial" w:hAnsi="Arial"/>
          <w:sz w:val="13"/>
          <w:szCs w:val="13"/>
          <w:color w:val="auto"/>
        </w:rPr>
        <w:t>time period) for the giving of a stockholder’s notice as described above. Notwithstanding the third sentence of this Section 3.15(a), in the event that the number of directors to be elected at an annual meeting is increased and there is no public announcement by the Corporation naming the nominees for the additional directorships at least 130 days prior to the first anniversary of the date that the Corporation’s (or its predecessor’s) proxy statement was released to stockholders in connection with the previous year’s annual meeting, a stockholder’s notice required by this Section 3.15(a) shall also be considered timely, but only with respect to nominees for the additional directorships, if it shall be delivered to the Secretary at the principal executive offices of the Corporation not later than the close of business on the 10th day following the day on which such public announcement is first made by the Corporation.</w:t>
      </w:r>
    </w:p>
    <w:p>
      <w:pPr>
        <w:spacing w:after="0" w:line="61" w:lineRule="exact"/>
        <w:rPr>
          <w:sz w:val="20"/>
          <w:szCs w:val="20"/>
          <w:color w:val="auto"/>
        </w:rPr>
      </w:pPr>
    </w:p>
    <w:p>
      <w:pPr>
        <w:ind w:right="20" w:firstLine="326"/>
        <w:spacing w:after="0" w:line="255" w:lineRule="auto"/>
        <w:tabs>
          <w:tab w:leader="none" w:pos="513"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Nominations of persons for election to the Board of Directors may be made at a special meeting of stockholders at which directors are to be elected pursuant to the Corporation’s notice of meeting by or at the direction of the Board of Directors or a committee thereof or any stockholder of the Corporation who is entitled to vote at the meeting, who complies with the notice procedures set forth in this Section 3.15 and who is a stockholder of record at the time such notice is delivered to the Secretary of the Corporation. In the event the Corporation calls a special meeting of stockholders for the purpose of electing one or more directors to the Board of Directors, any such stockholder may nominate a person or persons (as the case may be) for election to such position(s) as are specified in the Corporation’s notice of meeting, if the stockholder’s notice as required by paragraph (a) of this Bylaw shall be delivered to the Secretary at the principal executive offices of the Corporation not earlier than the 90th day prior to such special meeting and not later than the close of business on the later of the 70th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66" w:lineRule="exact"/>
        <w:rPr>
          <w:rFonts w:ascii="Arial" w:cs="Arial" w:eastAsia="Arial" w:hAnsi="Arial"/>
          <w:sz w:val="13"/>
          <w:szCs w:val="13"/>
          <w:color w:val="auto"/>
        </w:rPr>
      </w:pPr>
    </w:p>
    <w:p>
      <w:pPr>
        <w:ind w:firstLine="326"/>
        <w:spacing w:after="0" w:line="276" w:lineRule="auto"/>
        <w:tabs>
          <w:tab w:leader="none" w:pos="506"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49" w:lineRule="exact"/>
        <w:rPr>
          <w:rFonts w:ascii="Arial" w:cs="Arial" w:eastAsia="Arial" w:hAnsi="Arial"/>
          <w:sz w:val="13"/>
          <w:szCs w:val="13"/>
          <w:color w:val="auto"/>
        </w:rPr>
      </w:pPr>
    </w:p>
    <w:p>
      <w:pPr>
        <w:jc w:val="both"/>
        <w:ind w:right="40" w:firstLine="326"/>
        <w:spacing w:after="0" w:line="264" w:lineRule="auto"/>
        <w:tabs>
          <w:tab w:leader="none" w:pos="513"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3.15, a stockholder shall also comply with all applicable requirements of the Exchange Act and the rules and regulations thereunder with respect to the matters set forth in this Section 3.15. Nothing in this Section 3.15 shall be deemed to affect any rights of stockholders to request inclusion of proposals in the Corporation’s proxy statement pursuant to Rule 14a-8 under the Exchange Act.</w:t>
      </w:r>
    </w:p>
    <w:p>
      <w:pPr>
        <w:spacing w:after="0" w:line="57" w:lineRule="exact"/>
        <w:rPr>
          <w:rFonts w:ascii="Arial" w:cs="Arial" w:eastAsia="Arial" w:hAnsi="Arial"/>
          <w:sz w:val="13"/>
          <w:szCs w:val="13"/>
          <w:color w:val="auto"/>
        </w:rPr>
      </w:pPr>
    </w:p>
    <w:p>
      <w:pPr>
        <w:jc w:val="both"/>
        <w:ind w:right="100" w:firstLine="326"/>
        <w:spacing w:after="0" w:line="264" w:lineRule="auto"/>
        <w:tabs>
          <w:tab w:leader="none" w:pos="506"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Only persons nominated in accordance with the procedures set forth in this Section 3.15 shall be eligible to serve as directors. Except as otherwise provided by law, the chairman of the meeting shall have the power and duty (a) to determine whether a nomination was made in accordance with the procedures set forth in this Section 3.15 and (b) if any proposed nomination was not made in compliance with this Section 3.15, to declare that such nomination shall be disregarded.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 w:name="page23"/>
    <w:bookmarkEnd w:id="22"/>
    <w:p>
      <w:pPr>
        <w:ind w:right="40" w:firstLine="326"/>
        <w:spacing w:after="0" w:line="264" w:lineRule="auto"/>
        <w:tabs>
          <w:tab w:leader="none" w:pos="491" w:val="left"/>
        </w:tabs>
        <w:numPr>
          <w:ilvl w:val="0"/>
          <w:numId w:val="15"/>
        </w:numPr>
        <w:rPr>
          <w:rFonts w:ascii="Arial" w:cs="Arial" w:eastAsia="Arial" w:hAnsi="Arial"/>
          <w:sz w:val="13"/>
          <w:szCs w:val="13"/>
          <w:color w:val="auto"/>
        </w:rPr>
      </w:pPr>
      <w:r>
        <w:rPr>
          <w:rFonts w:ascii="Arial" w:cs="Arial" w:eastAsia="Arial" w:hAnsi="Arial"/>
          <w:sz w:val="13"/>
          <w:szCs w:val="13"/>
          <w:color w:val="auto"/>
        </w:rPr>
        <w:t>If the chairman of the meeting for the election of directors determines that a nomination of any candidate for election as a director at such meeting was not made in accordance with the applicable provisions of this Section 3.15, such nomination shall be void; provided, however, that nothing in this Section 3.15 shall be deemed to limit any voting rights upon the occurrence of dividend arrearages provided to holders of preferred stock pursuant to the preferred stock designation for any series of preferred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OFFICERS</w:t>
      </w:r>
    </w:p>
    <w:p>
      <w:pPr>
        <w:spacing w:after="0" w:line="7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Enumeration</w:t>
      </w:r>
      <w:r>
        <w:rPr>
          <w:rFonts w:ascii="Arial" w:cs="Arial" w:eastAsia="Arial" w:hAnsi="Arial"/>
          <w:sz w:val="13"/>
          <w:szCs w:val="13"/>
          <w:color w:val="auto"/>
        </w:rPr>
        <w:t>. The officers of the Corporation shall consist of a Chief Executive Officer, a President, a Secretary, a Treasurer, a Chief Financial Officer and such other officers with such other titles as the Board of Directors shall determine, including, at the discretion of the Board of Directors, a Chairman of the Board and one or more Vice Presidents and Assistant Secretaries. The Board of Directors may appoint such other officers as it may deem appropriate.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Election</w:t>
      </w:r>
      <w:r>
        <w:rPr>
          <w:rFonts w:ascii="Arial" w:cs="Arial" w:eastAsia="Arial" w:hAnsi="Arial"/>
          <w:sz w:val="12"/>
          <w:szCs w:val="12"/>
          <w:color w:val="auto"/>
        </w:rPr>
        <w:t>. Officers shall be elected annually by the Board of Directors at its first meeting following the annual meeting of stockholders. Officers may be appointed by the Board of Directors at any other meeting.</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Qualification</w:t>
      </w:r>
      <w:r>
        <w:rPr>
          <w:rFonts w:ascii="Arial" w:cs="Arial" w:eastAsia="Arial" w:hAnsi="Arial"/>
          <w:sz w:val="13"/>
          <w:szCs w:val="13"/>
          <w:color w:val="auto"/>
        </w:rPr>
        <w:t>. No officer need be a stockholder. Any two or more offices may be held by the same person.</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Tenure</w:t>
      </w:r>
      <w:r>
        <w:rPr>
          <w:rFonts w:ascii="Arial" w:cs="Arial" w:eastAsia="Arial" w:hAnsi="Arial"/>
          <w:sz w:val="13"/>
          <w:szCs w:val="13"/>
          <w:color w:val="auto"/>
        </w:rPr>
        <w:t>. Except as otherwise provided by law, by the Certificate or by these Bylaws, each officer shall hold office until his or her successor is elected and qualified, unless a different term is specified in the vote appointing him or her, or until his or her earlier death, resignation or removal.</w:t>
      </w:r>
    </w:p>
    <w:p>
      <w:pPr>
        <w:spacing w:after="0" w:line="4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Resignation and Removal</w:t>
      </w:r>
      <w:r>
        <w:rPr>
          <w:rFonts w:ascii="Arial" w:cs="Arial" w:eastAsia="Arial" w:hAnsi="Arial"/>
          <w:sz w:val="13"/>
          <w:szCs w:val="13"/>
          <w:color w:val="auto"/>
        </w:rPr>
        <w:t>. Any officer may resign by delivering his or her written resignation to the Corporation at its principal office or to the President or Secretary. Such resignation shall be effective upon receipt unless it is specified to be effective at some other time or upon the happening of some other event. Any officer elected by the Board of Directors may be removed at any time, with or without cause, by the Board of Directors.</w:t>
      </w:r>
    </w:p>
    <w:p>
      <w:pPr>
        <w:spacing w:after="0" w:line="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Chairman of the Board</w:t>
      </w:r>
      <w:r>
        <w:rPr>
          <w:rFonts w:ascii="Arial" w:cs="Arial" w:eastAsia="Arial" w:hAnsi="Arial"/>
          <w:sz w:val="13"/>
          <w:szCs w:val="13"/>
          <w:color w:val="auto"/>
        </w:rPr>
        <w:t>. The Board of Directors may appoint a Chairman of the Board. If the Board of Directors appoints a Chairman of the Board, he or she shall perform such duties and possess such powers as are assigned to him or her by the Board of Directors. Unless otherwise provided by the Board of Directors, he or she shall preside at all meetings of the Board of Directors.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Chief Executive Officer</w:t>
      </w:r>
      <w:r>
        <w:rPr>
          <w:rFonts w:ascii="Arial" w:cs="Arial" w:eastAsia="Arial" w:hAnsi="Arial"/>
          <w:sz w:val="13"/>
          <w:szCs w:val="13"/>
          <w:color w:val="auto"/>
        </w:rPr>
        <w:t>. The Chief Executive Officer of the Corporation shall, subject to the direction of the Board of Directors, have general supervision, direction and control of the business and the officers of the Corporation. He shall preside at all meetings of the stockholders and, in the absence or nonexistence of a Chairman of the Board, at all meetings of the Board of Directors. He shall have the general powers and duties of management usually vested in the chief executive officer of a Corporation, including general supervision, direction and control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t>business and supervision of other officers of the Corporation, and shall have such other powers and duties as may be prescribed by the Board of Directors or these Bylaws.</w:t>
      </w:r>
    </w:p>
    <w:p>
      <w:pPr>
        <w:spacing w:after="0" w:line="86"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President</w:t>
      </w:r>
      <w:r>
        <w:rPr>
          <w:rFonts w:ascii="Arial" w:cs="Arial" w:eastAsia="Arial" w:hAnsi="Arial"/>
          <w:sz w:val="13"/>
          <w:szCs w:val="13"/>
          <w:color w:val="auto"/>
        </w:rPr>
        <w:t>. Subject to the direction of the Board of Directors and such supervisory powers as may be given by these Bylaws or the Board of Directors to the Chairman of the Board or the Chief Executive Officer, if such titles be held by other officers, the President shall have general supervision, direction and control of the business and supervision of other officers of the Corporation. Unless otherwise designated by the Board of Directors, the President shall be the Chief Executive Officer of the Corporation. The President shall have such other powers and duties as may be prescribed by the Board of Directors or these Bylaws. He or she shall have power to sign stock certificates, contracts and other instruments of the Corporation which are authorized and shall have general supervision and direction of all of the other officers, employees and agents of the Corporation, other than the Chairman of the Board and the Chief Executive Officer.</w:t>
      </w:r>
    </w:p>
    <w:p>
      <w:pPr>
        <w:spacing w:after="0" w:line="61" w:lineRule="exact"/>
        <w:rPr>
          <w:sz w:val="20"/>
          <w:szCs w:val="20"/>
          <w:color w:val="auto"/>
        </w:rPr>
      </w:pPr>
    </w:p>
    <w:p>
      <w:pPr>
        <w:jc w:val="both"/>
        <w:ind w:firstLine="164"/>
        <w:spacing w:after="0" w:line="260"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Vice Presidents</w:t>
      </w:r>
      <w:r>
        <w:rPr>
          <w:rFonts w:ascii="Arial" w:cs="Arial" w:eastAsia="Arial" w:hAnsi="Arial"/>
          <w:sz w:val="13"/>
          <w:szCs w:val="13"/>
          <w:color w:val="auto"/>
        </w:rPr>
        <w:t>. Any Vice President shall perform such duties and possess such powers as the Board of Directors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60" w:lineRule="exact"/>
        <w:rPr>
          <w:sz w:val="20"/>
          <w:szCs w:val="20"/>
          <w:color w:val="auto"/>
        </w:rPr>
      </w:pPr>
    </w:p>
    <w:p>
      <w:pPr>
        <w:ind w:right="80" w:firstLine="164"/>
        <w:spacing w:after="0" w:line="281" w:lineRule="auto"/>
        <w:rPr>
          <w:sz w:val="20"/>
          <w:szCs w:val="20"/>
          <w:color w:val="auto"/>
        </w:rPr>
      </w:pPr>
      <w:r>
        <w:rPr>
          <w:rFonts w:ascii="Arial" w:cs="Arial" w:eastAsia="Arial" w:hAnsi="Arial"/>
          <w:sz w:val="12"/>
          <w:szCs w:val="12"/>
          <w:color w:val="auto"/>
        </w:rPr>
        <w:t xml:space="preserve">4.10 </w:t>
      </w:r>
      <w:r>
        <w:rPr>
          <w:rFonts w:ascii="Arial" w:cs="Arial" w:eastAsia="Arial" w:hAnsi="Arial"/>
          <w:sz w:val="12"/>
          <w:szCs w:val="12"/>
          <w:u w:val="single" w:color="auto"/>
          <w:color w:val="auto"/>
        </w:rPr>
        <w:t>Secretary and Assistant Secretaries</w:t>
      </w:r>
      <w:r>
        <w:rPr>
          <w:rFonts w:ascii="Arial" w:cs="Arial" w:eastAsia="Arial" w:hAnsi="Arial"/>
          <w:sz w:val="12"/>
          <w:szCs w:val="12"/>
          <w:color w:val="auto"/>
        </w:rPr>
        <w:t>. The Secretary shall perform such duties and shall have such powers as the Board of Directors or the President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keep a record of the proceedings of all meetings of stockholders and the Board of Directors, to maintain a stock ledger and prepare lists of stockholders and their addresses as required, to be custodian of corporate records and the corporate seal and to affix and attest to the same on documents. 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 In the absence of the Secretary or any Assistant Secretary at any meeting of stockholders or directors, the person presiding at the meeting shall designate a temporary Secretary to keep a record of the meeting.</w:t>
      </w:r>
    </w:p>
    <w:p>
      <w:pPr>
        <w:spacing w:after="0" w:line="49"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4.11 </w:t>
      </w:r>
      <w:r>
        <w:rPr>
          <w:rFonts w:ascii="Arial" w:cs="Arial" w:eastAsia="Arial" w:hAnsi="Arial"/>
          <w:sz w:val="13"/>
          <w:szCs w:val="13"/>
          <w:u w:val="single" w:color="auto"/>
          <w:color w:val="auto"/>
        </w:rPr>
        <w:t>Treasurer</w:t>
      </w:r>
      <w:r>
        <w:rPr>
          <w:rFonts w:ascii="Arial" w:cs="Arial" w:eastAsia="Arial" w:hAnsi="Arial"/>
          <w:sz w:val="13"/>
          <w:szCs w:val="13"/>
          <w:color w:val="auto"/>
        </w:rPr>
        <w:t>. The Treasurer shall perform such duties and have such powers as are incident to the office of treasurer, including without limitation, the duty and power to keep and be responsible for all funds and securities of the Corporation, to maintain the financial records of the Corporation, to deposit funds of the Corporation in depositories as authorized, to disburse such funds as authorized, to make proper accounts of such funds, and to render as required by the Board of Directors accounts of all such transactions and of the financial condition of the Corporation.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4.12 </w:t>
      </w:r>
      <w:r>
        <w:rPr>
          <w:rFonts w:ascii="Arial" w:cs="Arial" w:eastAsia="Arial" w:hAnsi="Arial"/>
          <w:sz w:val="13"/>
          <w:szCs w:val="13"/>
          <w:u w:val="single" w:color="auto"/>
          <w:color w:val="auto"/>
        </w:rPr>
        <w:t>Chief Financial Officer</w:t>
      </w:r>
      <w:r>
        <w:rPr>
          <w:rFonts w:ascii="Arial" w:cs="Arial" w:eastAsia="Arial" w:hAnsi="Arial"/>
          <w:sz w:val="13"/>
          <w:szCs w:val="13"/>
          <w:color w:val="auto"/>
        </w:rPr>
        <w:t>. The Chief Financial Officer shall perform such duties and shall have such powers as may from time to time be assigned to him or her by the Board of</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auto"/>
        </w:rPr>
        <w:t>Directors, the Chief Executive Officer or the President. Unless otherwise designated by the Board of Directors, the Chief Financial Officer shall be the Treasurer of the Corporation.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Salaries</w:t>
      </w:r>
      <w:r>
        <w:rPr>
          <w:rFonts w:ascii="Arial" w:cs="Arial" w:eastAsia="Arial" w:hAnsi="Arial"/>
          <w:sz w:val="13"/>
          <w:szCs w:val="13"/>
          <w:color w:val="auto"/>
        </w:rPr>
        <w:t>. Officers of the Corporation shall be entitled to such salaries, compensation or reimbursement as shall be fixed or allowed from time to time by the Board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4.14 </w:t>
      </w:r>
      <w:r>
        <w:rPr>
          <w:rFonts w:ascii="Arial" w:cs="Arial" w:eastAsia="Arial" w:hAnsi="Arial"/>
          <w:sz w:val="13"/>
          <w:szCs w:val="13"/>
          <w:u w:val="single" w:color="auto"/>
          <w:color w:val="auto"/>
        </w:rPr>
        <w:t>Delegation of Authority</w:t>
      </w:r>
      <w:r>
        <w:rPr>
          <w:rFonts w:ascii="Arial" w:cs="Arial" w:eastAsia="Arial" w:hAnsi="Arial"/>
          <w:sz w:val="13"/>
          <w:szCs w:val="13"/>
          <w:color w:val="auto"/>
        </w:rPr>
        <w:t>. The Board of Directors may from time to time delegate the powers or duties of any officer to any other officers or agents, notwithstanding any provision hereof.</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V</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CAPITAL STOCK</w:t>
      </w:r>
    </w:p>
    <w:p>
      <w:pPr>
        <w:spacing w:after="0" w:line="79"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Issuance of Stock</w:t>
      </w:r>
      <w:r>
        <w:rPr>
          <w:rFonts w:ascii="Arial" w:cs="Arial" w:eastAsia="Arial" w:hAnsi="Arial"/>
          <w:sz w:val="13"/>
          <w:szCs w:val="13"/>
          <w:color w:val="auto"/>
        </w:rPr>
        <w:t>. Subject to the provisions of the Certificate,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57"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Certificates of Stock</w:t>
      </w:r>
      <w:r>
        <w:rPr>
          <w:rFonts w:ascii="Arial" w:cs="Arial" w:eastAsia="Arial" w:hAnsi="Arial"/>
          <w:sz w:val="12"/>
          <w:szCs w:val="12"/>
          <w:color w:val="auto"/>
        </w:rPr>
        <w:t>. The shares of the Corporation shall be represented by certificates, provided that the Board of Directors may provide by resolution or resolutions that some or all of any class or series of its stock shall be uncertificated shares; provided, however, that no such resolution shall apply to shares represented by a certificate until such certificate is surrendered to the Corporation. Each certificate for shares of stock which are subject to any restriction on transfer pursuant to the Certificate, the Bylaws, applicable securities laws or any agreement among any number of shareholders or among such holders and the Corporation shall have conspicuously noted on the face or back of the certificate either the full text of the restriction or a statement of the existence of such restriction.</w:t>
      </w:r>
    </w:p>
    <w:p>
      <w:pPr>
        <w:spacing w:after="0" w:line="43" w:lineRule="exact"/>
        <w:rPr>
          <w:sz w:val="20"/>
          <w:szCs w:val="20"/>
          <w:color w:val="auto"/>
        </w:rPr>
      </w:pPr>
    </w:p>
    <w:p>
      <w:pPr>
        <w:ind w:right="60" w:firstLine="164"/>
        <w:spacing w:after="0" w:line="282"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Transfers</w:t>
      </w:r>
      <w:r>
        <w:rPr>
          <w:rFonts w:ascii="Arial" w:cs="Arial" w:eastAsia="Arial" w:hAnsi="Arial"/>
          <w:sz w:val="12"/>
          <w:szCs w:val="12"/>
          <w:color w:val="auto"/>
        </w:rPr>
        <w:t>. Except as otherwise established by rules and regulations adopted by the Board of Directors, and subject to applicable law, shares of stock may be transferred on the books of the Corporation: (i) in the case of shares represented by a certificate,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and (ii) in the case of uncertificated shares, upon the receipt of proper transfer instructions from the registered owner thereof. Except as may be otherwise required by law, the Certificate or the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49"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Lost, Stolen or Destroyed Certificates</w:t>
      </w:r>
      <w:r>
        <w:rPr>
          <w:rFonts w:ascii="Arial" w:cs="Arial" w:eastAsia="Arial" w:hAnsi="Arial"/>
          <w:sz w:val="13"/>
          <w:szCs w:val="13"/>
          <w:color w:val="auto"/>
        </w:rPr>
        <w:t>. The Corporation may issue a new certificate of stock in place of any previously issued certificate alleged to have been lost, stolen, or destroyed, or it may issue uncertificated shares if the shares represented by such certificate have been designated as uncertificated shares in accordance with Section 5.2, upon such terms and conditions as the Board of Directors may prescribe, including the presentation of reasonable evidence of such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loss, theft or destruction and the giving of such indemnity as the Board of Directors may require for the protection of the Corporation or any transfer agent or registrar.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PROVISIONS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Fiscal Year</w:t>
      </w:r>
      <w:r>
        <w:rPr>
          <w:rFonts w:ascii="Arial" w:cs="Arial" w:eastAsia="Arial" w:hAnsi="Arial"/>
          <w:sz w:val="13"/>
          <w:szCs w:val="13"/>
          <w:color w:val="auto"/>
        </w:rPr>
        <w:t>. The fiscal year of the Corporation shall be as fixed by the Board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Corporate Seal</w:t>
      </w:r>
      <w:r>
        <w:rPr>
          <w:rFonts w:ascii="Arial" w:cs="Arial" w:eastAsia="Arial" w:hAnsi="Arial"/>
          <w:sz w:val="13"/>
          <w:szCs w:val="13"/>
          <w:color w:val="auto"/>
        </w:rPr>
        <w:t>. The corporate seal shall be in such form as shall be approved by the Board of Directors.</w:t>
      </w:r>
    </w:p>
    <w:p>
      <w:pPr>
        <w:spacing w:after="0" w:line="86"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Waiver of Notice</w:t>
      </w:r>
      <w:r>
        <w:rPr>
          <w:rFonts w:ascii="Arial" w:cs="Arial" w:eastAsia="Arial" w:hAnsi="Arial"/>
          <w:sz w:val="13"/>
          <w:szCs w:val="13"/>
          <w:color w:val="auto"/>
        </w:rPr>
        <w:t>. Whenever any notice whatsoever is required to be given by law, by the Certificate or by these Bylaws, a waiver of such notice either in writing signed by the person entitled to such notice or such person’s duly authorized attorney, or by electronic transmission or any other method permitted under the DGCL, whether before, at or after the time stated in such waiver, or the appearance of such person or persons at such meeting in person or by proxy, shall be deemed equivalent to such notice. Neither the business nor the purpose of any meeting need be specified in such a waiver. Attendance at any meeting shall constitute waiver of notice except attendance for the sole purpose of objecting to the timeliness of notice.</w:t>
      </w:r>
    </w:p>
    <w:p>
      <w:pPr>
        <w:spacing w:after="0" w:line="60"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Actions with Respect to Securities of Other Corporations</w:t>
      </w:r>
      <w:r>
        <w:rPr>
          <w:rFonts w:ascii="Arial" w:cs="Arial" w:eastAsia="Arial" w:hAnsi="Arial"/>
          <w:sz w:val="13"/>
          <w:szCs w:val="13"/>
          <w:color w:val="auto"/>
        </w:rPr>
        <w:t>. Except as the Board of Directors may otherwise designate, the Chief Executive Officer or President or any officer of the Corporation authorized by the Chief Executive Officer or President shall have the power to vote and otherwise act on behalf of the Corporation, in person or proxy, and may waive notice of, and act as, or appoint any person or persons to act as, proxy or attorney-in-fact to this Corporation (with or without power of substitution) at any meeting of stockholders or shareholders (or with respect to any action of stockholders) of any other Corporation or organization, the securities of which may be held by this Corporation and otherwise to exercise any and all rights and powers which this Corporation may possess by reason of this Corporation’s ownership of securities in such other Corporation or other organization.</w:t>
      </w:r>
    </w:p>
    <w:p>
      <w:pPr>
        <w:spacing w:after="0" w:line="61"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Evidence of Authority</w:t>
      </w:r>
      <w:r>
        <w:rPr>
          <w:rFonts w:ascii="Arial" w:cs="Arial" w:eastAsia="Arial" w:hAnsi="Arial"/>
          <w:sz w:val="13"/>
          <w:szCs w:val="13"/>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Certificate of Incorporation</w:t>
      </w:r>
      <w:r>
        <w:rPr>
          <w:rFonts w:ascii="Arial" w:cs="Arial" w:eastAsia="Arial" w:hAnsi="Arial"/>
          <w:sz w:val="13"/>
          <w:szCs w:val="13"/>
          <w:color w:val="auto"/>
        </w:rPr>
        <w:t>. All references in these Bylaws to the Certificate shall be deemed to refer to the Amended and Restated Certificate of Incorporation of the Corporation, as amended and in effect from time to time.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Severability</w:t>
      </w:r>
      <w:r>
        <w:rPr>
          <w:rFonts w:ascii="Arial" w:cs="Arial" w:eastAsia="Arial" w:hAnsi="Arial"/>
          <w:sz w:val="13"/>
          <w:szCs w:val="13"/>
          <w:color w:val="auto"/>
        </w:rPr>
        <w:t>. Any determination that any provision of these Bylaws is for any reason inapplicable, illegal or ineffective shall not affect or invalidate any other provision of these Bylaws.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Pronouns</w:t>
      </w:r>
      <w:r>
        <w:rPr>
          <w:rFonts w:ascii="Arial" w:cs="Arial" w:eastAsia="Arial" w:hAnsi="Arial"/>
          <w:sz w:val="13"/>
          <w:szCs w:val="13"/>
          <w:color w:val="auto"/>
        </w:rPr>
        <w:t>. All pronouns used in these Bylaws shall be deemed to refer to the masculine, feminine or neuter, singular or plural, as the identity of the person or persons may require.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 w:name="page27"/>
    <w:bookmarkEnd w:id="26"/>
    <w:p>
      <w:pPr>
        <w:ind w:right="40" w:firstLine="164"/>
        <w:spacing w:after="0" w:line="255"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Notices</w:t>
      </w:r>
      <w:r>
        <w:rPr>
          <w:rFonts w:ascii="Arial" w:cs="Arial" w:eastAsia="Arial" w:hAnsi="Arial"/>
          <w:sz w:val="13"/>
          <w:szCs w:val="13"/>
          <w:color w:val="auto"/>
        </w:rPr>
        <w:t>. 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mails, postage paid, or by sending such notice by commercial courier service, or by facsimile or other electronic transmission, provided that notice to stockholders by electronic transmission shall be given in the manner provided in Section 232 of the DGCL. Any such notice shall be addressed to such stockholder, director, officer, employee or agent at his or her last known address as the same appears on the books of the Corporation. The time when such notice shall be deemed to be given shall be the time such notice is received by such stockholder, director, officer, employee or agent, or by any person accepting such notice on behalf of such person, if delivered by hand, facsimile, other electronic transmission or commercial courier service, or the time such notice is dispatched, if delivered through the mails. Without limiting the manner by which notice otherwise may be given effectively, notice to any stockholder shall be deemed given: (1) if by facsimile,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(4) if by any other form of electronic transmission, when directed to the stockholder; and (5) if by mail, when deposited in the mail, postage prepaid, directed to the stockholder at such stockholder’s address as it appears on the records of the Corporation.</w:t>
      </w:r>
    </w:p>
    <w:p>
      <w:pPr>
        <w:spacing w:after="0" w:line="63"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Reliance Upon Books, Reports and Records</w:t>
      </w:r>
      <w:r>
        <w:rPr>
          <w:rFonts w:ascii="Arial" w:cs="Arial" w:eastAsia="Arial" w:hAnsi="Arial"/>
          <w:sz w:val="13"/>
          <w:szCs w:val="13"/>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as provided by law, including reports made to the Corporation by any of its officers, by an independent certified public accountant, or by an appraiser selected with reasonable care.</w:t>
      </w:r>
    </w:p>
    <w:p>
      <w:pPr>
        <w:spacing w:after="0" w:line="57"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Time Periods</w:t>
      </w:r>
      <w:r>
        <w:rPr>
          <w:rFonts w:ascii="Arial" w:cs="Arial" w:eastAsia="Arial" w:hAnsi="Arial"/>
          <w:sz w:val="13"/>
          <w:szCs w:val="13"/>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Facsimile Signatures</w:t>
      </w:r>
      <w:r>
        <w:rPr>
          <w:rFonts w:ascii="Arial" w:cs="Arial" w:eastAsia="Arial" w:hAnsi="Arial"/>
          <w:sz w:val="13"/>
          <w:szCs w:val="13"/>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AMENDMENTS</w:t>
      </w:r>
    </w:p>
    <w:p>
      <w:pPr>
        <w:spacing w:after="0" w:line="7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By the Board of Directors</w:t>
      </w:r>
      <w:r>
        <w:rPr>
          <w:rFonts w:ascii="Arial" w:cs="Arial" w:eastAsia="Arial" w:hAnsi="Arial"/>
          <w:sz w:val="13"/>
          <w:szCs w:val="13"/>
          <w:color w:val="auto"/>
        </w:rPr>
        <w:t>. Except as otherwise set forth in these Bylaws, these Bylaws may be altered, amended or repealed or new Bylaws may be adopted by the affirmative vote of a majority of the directors present at any regular or special meeting of the Board of Directors at which a quorum is present.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 w:name="page28"/>
    <w:bookmarkEnd w:id="27"/>
    <w:p>
      <w:pPr>
        <w:ind w:right="40" w:firstLine="164"/>
        <w:spacing w:after="0" w:line="260"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By the Stockholders</w:t>
      </w:r>
      <w:r>
        <w:rPr>
          <w:rFonts w:ascii="Arial" w:cs="Arial" w:eastAsia="Arial" w:hAnsi="Arial"/>
          <w:sz w:val="13"/>
          <w:szCs w:val="13"/>
          <w:color w:val="auto"/>
        </w:rPr>
        <w:t>. Except as otherwise set forth in these Bylaws, these Bylaws may be altered, amended or repealed or new Bylaws may be adopted by the affirmative vote of the holders of at least 66-2/3% of the voting power of all of the shares of capital stock of the Corporation issued and outstanding and entitled to vote generally in any election of directors, voting together as a single class. Such vote may be held at any annual meeting of stockholders, or at any special meeting of stockholders provided that notice of such alteration, amendment, repeal or adoption of new Bylaws shall have been stated in the notice of such special meeting.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INDEMNIFICATION OF DIRECTORS AND OFFICERS</w:t>
      </w:r>
    </w:p>
    <w:p>
      <w:pPr>
        <w:spacing w:after="0" w:line="79" w:lineRule="exact"/>
        <w:rPr>
          <w:sz w:val="20"/>
          <w:szCs w:val="20"/>
          <w:color w:val="auto"/>
        </w:rPr>
      </w:pPr>
    </w:p>
    <w:p>
      <w:pPr>
        <w:ind w:firstLine="164"/>
        <w:spacing w:after="0" w:line="276" w:lineRule="auto"/>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Right to Indemnification</w:t>
      </w:r>
      <w:r>
        <w:rPr>
          <w:rFonts w:ascii="Arial" w:cs="Arial" w:eastAsia="Arial" w:hAnsi="Arial"/>
          <w:sz w:val="12"/>
          <w:szCs w:val="12"/>
          <w:color w:val="auto"/>
        </w:rPr>
        <w:t xml:space="preserve">. Each person who was or is made a party or is threatened to be made a party to or is involved in any action, suit or proceeding, whether civil, criminal, administrative or investigative (“proceeding”), by reason of the fact that he or she or a person of whom he or she is the legal representative, is or was a director or officer of the Corporation or is or was serving at the request of the Corporation as a director or officer of another Corporation, or as a controlling person of a partnership, joint venture, trust or other enterprise, including service with respect to employee benefit plans, whether the basis of such proceeding is alleged action in an official capacity as a director or officer, or in any other capacity while serving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and loss reasonably incurred or suffered by such person in connection therewith and such indemnification shall continue as to a person who has ceased to be a director or officer and shall inure to the benefit of his or her heirs, executors and administrators;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except as provided in Section 8.2 of this Article VIII, the Corporation shall indemnify any such person seeking indemnity in connection with a proceeding (or part thereof) initiated by such person only if (a) such indemnification is expressly required to be made by law, (b) the proceeding (or part thereof) was authorized by the Board of Directors of the Corporation, (c) such indemnification is provided by the Corporation, in its sole discretion, pursuant to the powers vested in the Corporation under the DGCL, or (d) the proceeding (or part thereof) is brought to establish or enforce a right to indemnification or advancement under an indemnity agreement or any other statute or law or otherwise as required under Section 145 of the DGCL. The rights hereunder shall be contract rights and shall include the right to be paid expenses incurred in defending any such proceeding in advance of its final disposition;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payment of such expenses incurred by a director or officer of the Corporation in his or her capacity as a director or officer (and not in any other capacity in which service was or is tendered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by final judicial decision from which there is no further right to appeal that such director or officer is not entitled to be indemnified under this Section or otherwise.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Right of Claimant to Bring Suit</w:t>
      </w:r>
      <w:r>
        <w:rPr>
          <w:rFonts w:ascii="Arial" w:cs="Arial" w:eastAsia="Arial" w:hAnsi="Arial"/>
          <w:sz w:val="13"/>
          <w:szCs w:val="13"/>
          <w:color w:val="auto"/>
        </w:rPr>
        <w:t>. If a claim under Section 8.1 is not paid in full by the Corporation within 60 days after a written claim has been received by the Corporation, or 20 days in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8" w:name="page29"/>
    <w:bookmarkEnd w:id="28"/>
    <w:p>
      <w:pPr>
        <w:ind w:right="40"/>
        <w:spacing w:after="0" w:line="278" w:lineRule="auto"/>
        <w:rPr>
          <w:sz w:val="20"/>
          <w:szCs w:val="20"/>
          <w:color w:val="auto"/>
        </w:rPr>
      </w:pPr>
      <w:r>
        <w:rPr>
          <w:rFonts w:ascii="Arial" w:cs="Arial" w:eastAsia="Arial" w:hAnsi="Arial"/>
          <w:sz w:val="12"/>
          <w:szCs w:val="12"/>
          <w:color w:val="auto"/>
        </w:rPr>
        <w:t>the case of a claim for advancement of expenses,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DGCL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forth in the DGCL.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shall be on the Corporation.</w:t>
      </w:r>
    </w:p>
    <w:p>
      <w:pPr>
        <w:spacing w:after="0" w:line="53" w:lineRule="exact"/>
        <w:rPr>
          <w:sz w:val="20"/>
          <w:szCs w:val="20"/>
          <w:color w:val="auto"/>
        </w:rPr>
      </w:pPr>
    </w:p>
    <w:p>
      <w:pPr>
        <w:ind w:right="40" w:firstLine="164"/>
        <w:spacing w:after="0" w:line="371" w:lineRule="auto"/>
        <w:rPr>
          <w:sz w:val="20"/>
          <w:szCs w:val="20"/>
          <w:color w:val="auto"/>
        </w:rPr>
      </w:pPr>
      <w:r>
        <w:rPr>
          <w:rFonts w:ascii="Arial" w:cs="Arial" w:eastAsia="Arial" w:hAnsi="Arial"/>
          <w:sz w:val="11"/>
          <w:szCs w:val="11"/>
          <w:color w:val="auto"/>
        </w:rPr>
        <w:t xml:space="preserve">8.3 </w:t>
      </w:r>
      <w:r>
        <w:rPr>
          <w:rFonts w:ascii="Arial" w:cs="Arial" w:eastAsia="Arial" w:hAnsi="Arial"/>
          <w:sz w:val="11"/>
          <w:szCs w:val="11"/>
          <w:u w:val="single" w:color="auto"/>
          <w:color w:val="auto"/>
        </w:rPr>
        <w:t>Indemnification of Employees and Agents</w:t>
      </w:r>
      <w:r>
        <w:rPr>
          <w:rFonts w:ascii="Arial" w:cs="Arial" w:eastAsia="Arial" w:hAnsi="Arial"/>
          <w:sz w:val="11"/>
          <w:szCs w:val="11"/>
          <w:color w:val="auto"/>
        </w:rPr>
        <w:t>. The Corporation may, to the extent authorized from time to time by the Board of Directors, grant rights to indemnification, and to the advancement of related expenses, to any employee or agent of the Corporation to the fullest extent of the provisions of this Article with respect to the indemnification of and advancement of expenses to directors and officers of the Corporation.</w:t>
      </w:r>
    </w:p>
    <w:p>
      <w:pPr>
        <w:spacing w:after="0" w:line="2"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Non-Exclusivity of Rights</w:t>
      </w:r>
      <w:r>
        <w:rPr>
          <w:rFonts w:ascii="Arial" w:cs="Arial" w:eastAsia="Arial" w:hAnsi="Arial"/>
          <w:sz w:val="13"/>
          <w:szCs w:val="13"/>
          <w:color w:val="auto"/>
        </w:rPr>
        <w:t>. The rights conferred on any person in this Article VIII shall not be exclusive of any other right which such persons may have or hereafter acquire under any statute, provision of the Certificate, bylaw, agreement, vote of stockholders or disinterested directors or otherwise.</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Indemnification Contracts</w:t>
      </w:r>
      <w:r>
        <w:rPr>
          <w:rFonts w:ascii="Arial" w:cs="Arial" w:eastAsia="Arial" w:hAnsi="Arial"/>
          <w:sz w:val="13"/>
          <w:szCs w:val="13"/>
          <w:color w:val="auto"/>
        </w:rPr>
        <w:t>.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 VIII.</w:t>
      </w:r>
    </w:p>
    <w:p>
      <w:pPr>
        <w:spacing w:after="0" w:line="57"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Insurance</w:t>
      </w:r>
      <w:r>
        <w:rPr>
          <w:rFonts w:ascii="Arial" w:cs="Arial" w:eastAsia="Arial" w:hAnsi="Arial"/>
          <w:sz w:val="13"/>
          <w:szCs w:val="13"/>
          <w:color w:val="auto"/>
        </w:rPr>
        <w:t>. The Corporation may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DGCL.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 w:name="page30"/>
    <w:bookmarkEnd w:id="29"/>
    <w:p>
      <w:pPr>
        <w:ind w:firstLine="164"/>
        <w:spacing w:after="0" w:line="276"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Effect of Amendment</w:t>
      </w:r>
      <w:r>
        <w:rPr>
          <w:rFonts w:ascii="Arial" w:cs="Arial" w:eastAsia="Arial" w:hAnsi="Arial"/>
          <w:sz w:val="13"/>
          <w:szCs w:val="13"/>
          <w:color w:val="auto"/>
        </w:rPr>
        <w:t>. Any amendment, repeal or modification of any provision of this Article VIII shall not adversely affect any right or protection of an indemnitee or his or her successor existing at the time of such amendment, repeal or modification.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19</w:t>
      </w:r>
    </w:p>
    <w:sectPr>
      <w:pgSz w:w="11900" w:h="16838" w:orient="portrait"/>
      <w:cols w:equalWidth="0" w:num="1">
        <w:col w:w="11420"/>
      </w:cols>
      <w:pgMar w:left="220" w:top="7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2)"/>
      <w:numFmt w:val="lowerLetter"/>
      <w:start w:val="2"/>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lvl w:ilvl="1">
      <w:lvlJc w:val="left"/>
      <w:lvlText w:val="(%2)"/>
      <w:numFmt w:val="lowerLetter"/>
      <w:start w:val="1"/>
    </w:lvl>
  </w:abstractNum>
  <w:abstractNum w:abstractNumId="9">
    <w:nsid w:val="140E0F76"/>
    <w:multiLevelType w:val="hybridMultilevel"/>
    <w:lvl w:ilvl="0">
      <w:lvlJc w:val="left"/>
      <w:lvlText w:val="(%1)"/>
      <w:numFmt w:val="lowerLetter"/>
      <w:start w:val="61"/>
    </w:lvl>
    <w:lvl w:ilvl="1">
      <w:lvlJc w:val="left"/>
      <w:lvlText w:val="(%2)"/>
      <w:numFmt w:val="lowerLetter"/>
      <w:start w:val="2"/>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2019-12-15T17:26:50Z</dcterms:created>
  <dcterms:modified xsi:type="dcterms:W3CDTF">2019-12-15T17:26:50Z</dcterms:modified>
</cp:coreProperties>
</file>