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10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-147320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759325" cy="892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5932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You are cordially invited to attend the 2016 Annual Meeting of Stockholders (the “Annual Meeting”) of Grand Canyon Education, Inc. (the “Company”) to be held at Grand Canyon University Arena on the campus of Grand Canyon University at 3300 W. Camelback Road, Phoenix, Arizona 85017, commencing at 10:00 a.m., local time, on Thursday, June 16, 2016.</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22, 2016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April 29, 2016, and is first being sent or made available to stockholders on or about May 4, 2016.</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METHODS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5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134"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June 15, 2016.</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Go to the web site at www.investorvote.com/LOPE, 24 hours a day, seven days a week, through 11:00 p.m. (PT) on June 15, 2016.</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Thank you for submitting your proxy.</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282575</wp:posOffset>
            </wp:positionV>
            <wp:extent cx="3044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83185</wp:posOffset>
            </wp:positionV>
            <wp:extent cx="3044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2016 Annual Meeting of Stockholders (the “Annual Meeting”) of Grand Canyon Education, Inc. (the “Company”), will be held at Grand Canyon University Arena on the campus of Grand Canyon University at 3300 W. Camelback Road, Phoenix, Arizona 85017, commencing at 10:00 a.m., local time, on Thursday, June 16, 2016, for the following purposes:</w:t>
      </w:r>
    </w:p>
    <w:p>
      <w:pPr>
        <w:spacing w:after="0" w:line="87"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a Board of Directors of seven directors, each to serve until the 2017 annual meeting of stockholders or until his or her successor has been duly elected and qualified or until his or her earlier resignation or removal;</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provisions of our Annual Cash Incentive Plan setting forth the material terms of the performance goals in accordance with Internal Revenue Code Section 162(m);</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provisions of our 2008 Equity Incentive Plan setting forth the material terms of the performance goals in accordance with Internal Revenue Code Section 162(m);</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Certificate of Incorporation to remove a provision that has been determined to be invalid;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2016;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Board of Directors has fixed April 22, 2016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Chief Executive Officer, 3300 W. Camelback Road, Phoenix, Arizona 85017 between the hours of 8:30 a.m. and 5:00 p.m., local time, each weekday. Such list will also be available at the Annual Meeting.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Your proxy is important to ensure a quorum at the meeting. Even if you own only a few shares, and whether or not you expect to be present,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you received a paper copy of the proxy card by mail, you may also date, sign and mail the proxy card in the postage-paid envelope that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The proxy may be revoked by you at any time prior to being exercised, and submitting your proxy by telephone or through the Internet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your proxy by mail will not affect your right to vote in person if you attend the Annual Meeting and revoke the proxy.</w:t>
      </w:r>
    </w:p>
    <w:p>
      <w:pPr>
        <w:spacing w:after="0" w:line="20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June 16, 2016. </w:t>
      </w:r>
      <w:r>
        <w:rPr>
          <w:rFonts w:ascii="Arial" w:cs="Arial" w:eastAsia="Arial" w:hAnsi="Arial"/>
          <w:sz w:val="18"/>
          <w:szCs w:val="18"/>
          <w:color w:val="auto"/>
        </w:rPr>
        <w:t>Our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Financial and other information concerning Grand Canyon Education, Inc. is contained in our Annual Report to Stockholders for the fiscal year ended December 31, 2015.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8"/>
          <w:szCs w:val="18"/>
          <w:b w:val="1"/>
          <w:bCs w:val="1"/>
          <w:color w:val="auto"/>
        </w:rPr>
        <w:t>, are available and may be viewed at</w:t>
      </w:r>
      <w:r>
        <w:rPr>
          <w:rFonts w:ascii="Arial" w:cs="Arial" w:eastAsia="Arial" w:hAnsi="Arial"/>
          <w:sz w:val="18"/>
          <w:szCs w:val="18"/>
          <w:color w:val="auto"/>
        </w:rPr>
        <w:t xml:space="preserve"> </w:t>
      </w:r>
      <w:r>
        <w:rPr>
          <w:rFonts w:ascii="Arial" w:cs="Arial" w:eastAsia="Arial" w:hAnsi="Arial"/>
          <w:sz w:val="18"/>
          <w:szCs w:val="18"/>
          <w:b w:val="1"/>
          <w:bCs w:val="1"/>
          <w:color w:val="auto"/>
        </w:rPr>
        <w:t>www.edocumentview.com/LOPE.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ectPr>
          <w:pgSz w:w="11900" w:h="16838" w:orient="portrait"/>
          <w:cols w:equalWidth="0" w:num="1">
            <w:col w:w="11380"/>
          </w:cols>
          <w:pgMar w:left="240" w:top="459"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420" w:type="dxa"/>
            <w:vAlign w:val="bottom"/>
            <w:gridSpan w:val="37"/>
          </w:tcPr>
          <w:p>
            <w:pPr>
              <w:spacing w:after="0"/>
              <w:rPr>
                <w:sz w:val="17"/>
                <w:szCs w:val="17"/>
                <w:color w:val="auto"/>
              </w:rPr>
            </w:pPr>
          </w:p>
        </w:tc>
        <w:tc>
          <w:tcPr>
            <w:tcW w:w="540" w:type="dxa"/>
            <w:vAlign w:val="bottom"/>
          </w:tcPr>
          <w:p>
            <w:pPr>
              <w:spacing w:after="0"/>
              <w:rPr>
                <w:sz w:val="17"/>
                <w:szCs w:val="17"/>
                <w:color w:val="auto"/>
              </w:rPr>
            </w:pPr>
          </w:p>
        </w:tc>
      </w:tr>
      <w:tr>
        <w:trPr>
          <w:trHeight w:val="493"/>
        </w:trPr>
        <w:tc>
          <w:tcPr>
            <w:tcW w:w="214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GENERAL INFORMATION</w:t>
              </w:r>
            </w:hyperlink>
          </w:p>
        </w:tc>
        <w:tc>
          <w:tcPr>
            <w:tcW w:w="8640" w:type="dxa"/>
            <w:vAlign w:val="bottom"/>
            <w:gridSpan w:val="3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Notice of Internet Availability</w:t>
              </w:r>
            </w:hyperlink>
          </w:p>
        </w:tc>
        <w:tc>
          <w:tcPr>
            <w:tcW w:w="8240" w:type="dxa"/>
            <w:vAlign w:val="bottom"/>
            <w:gridSpan w:val="2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Record Date and Quorum</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Submission of Proxies; Revocation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Deadlines for Stockholder Proposals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Quorum</w:t>
              </w:r>
            </w:hyperlink>
          </w:p>
        </w:tc>
        <w:tc>
          <w:tcPr>
            <w:tcW w:w="778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Vote Required</w:t>
              </w:r>
            </w:hyperlink>
          </w:p>
        </w:tc>
        <w:tc>
          <w:tcPr>
            <w:tcW w:w="9380" w:type="dxa"/>
            <w:vAlign w:val="bottom"/>
            <w:gridSpan w:val="3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Adjournment or Postponement of Meeting</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Expenses of Soliciting Proxies</w:t>
              </w:r>
            </w:hyperlink>
          </w:p>
        </w:tc>
        <w:tc>
          <w:tcPr>
            <w:tcW w:w="840" w:type="dxa"/>
            <w:vAlign w:val="bottom"/>
            <w:tcBorders>
              <w:top w:val="single" w:sz="8" w:color="0000EE"/>
            </w:tcBorders>
            <w:gridSpan w:val="11"/>
          </w:tcPr>
          <w:p>
            <w:pPr>
              <w:spacing w:after="0"/>
              <w:rPr>
                <w:sz w:val="17"/>
                <w:szCs w:val="17"/>
                <w:color w:val="auto"/>
              </w:rPr>
            </w:pPr>
          </w:p>
        </w:tc>
        <w:tc>
          <w:tcPr>
            <w:tcW w:w="736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32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CORPORATE GOVERNANCE AND BOARD MATTERS</w:t>
              </w:r>
            </w:hyperlink>
          </w:p>
        </w:tc>
        <w:tc>
          <w:tcPr>
            <w:tcW w:w="64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Corporate Governance Philosophy</w:t>
              </w:r>
            </w:hyperlink>
          </w:p>
        </w:tc>
        <w:tc>
          <w:tcPr>
            <w:tcW w:w="7880" w:type="dxa"/>
            <w:vAlign w:val="bottom"/>
            <w:gridSpan w:val="2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of Directors Meetings and Attendance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 Independence</w:t>
              </w:r>
            </w:hyperlink>
          </w:p>
        </w:tc>
        <w:tc>
          <w:tcPr>
            <w:tcW w:w="1580" w:type="dxa"/>
            <w:vAlign w:val="bottom"/>
            <w:tcBorders>
              <w:top w:val="single" w:sz="8" w:color="0000EE"/>
            </w:tcBorders>
            <w:gridSpan w:val="21"/>
          </w:tcPr>
          <w:p>
            <w:pPr>
              <w:spacing w:after="0"/>
              <w:rPr>
                <w:sz w:val="17"/>
                <w:szCs w:val="17"/>
                <w:color w:val="auto"/>
              </w:rPr>
            </w:pPr>
          </w:p>
        </w:tc>
        <w:tc>
          <w:tcPr>
            <w:tcW w:w="718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Board Leadership Structure</w:t>
              </w:r>
            </w:hyperlink>
          </w:p>
        </w:tc>
        <w:tc>
          <w:tcPr>
            <w:tcW w:w="8420" w:type="dxa"/>
            <w:vAlign w:val="bottom"/>
            <w:gridSpan w:val="2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Committees of Our Board of Directors</w:t>
              </w:r>
            </w:hyperlink>
          </w:p>
        </w:tc>
        <w:tc>
          <w:tcPr>
            <w:tcW w:w="762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Code of Conduct</w:t>
              </w:r>
            </w:hyperlink>
          </w:p>
        </w:tc>
        <w:tc>
          <w:tcPr>
            <w:tcW w:w="9180" w:type="dxa"/>
            <w:vAlign w:val="bottom"/>
            <w:gridSpan w:val="3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Risk Oversight</w:t>
              </w:r>
            </w:hyperlink>
          </w:p>
        </w:tc>
        <w:tc>
          <w:tcPr>
            <w:tcW w:w="9320" w:type="dxa"/>
            <w:vAlign w:val="bottom"/>
            <w:gridSpan w:val="3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Director Nomination Process</w:t>
              </w:r>
            </w:hyperlink>
          </w:p>
        </w:tc>
        <w:tc>
          <w:tcPr>
            <w:tcW w:w="8300" w:type="dxa"/>
            <w:vAlign w:val="bottom"/>
            <w:gridSpan w:val="2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Annual Elections and Majority Voting</w:t>
              </w:r>
            </w:hyperlink>
          </w:p>
        </w:tc>
        <w:tc>
          <w:tcPr>
            <w:tcW w:w="76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Compensation Committee Interlocks and Insider Participation</w:t>
              </w:r>
            </w:hyperlink>
          </w:p>
        </w:tc>
        <w:tc>
          <w:tcPr>
            <w:tcW w:w="59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Stockholder Communications with the Board of Directors</w:t>
              </w:r>
            </w:hyperlink>
          </w:p>
        </w:tc>
        <w:tc>
          <w:tcPr>
            <w:tcW w:w="624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Stock Ownership Guidelines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Anti-Hedging/Anti-Pledging Policy</w:t>
              </w:r>
            </w:hyperlink>
          </w:p>
        </w:tc>
        <w:tc>
          <w:tcPr>
            <w:tcW w:w="770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Compensation of Directors</w:t>
              </w:r>
            </w:hyperlink>
          </w:p>
        </w:tc>
        <w:tc>
          <w:tcPr>
            <w:tcW w:w="620" w:type="dxa"/>
            <w:vAlign w:val="bottom"/>
            <w:tcBorders>
              <w:top w:val="single" w:sz="8" w:color="0000EE"/>
            </w:tcBorders>
            <w:gridSpan w:val="8"/>
          </w:tcPr>
          <w:p>
            <w:pPr>
              <w:spacing w:after="0"/>
              <w:rPr>
                <w:sz w:val="17"/>
                <w:szCs w:val="17"/>
                <w:color w:val="auto"/>
              </w:rPr>
            </w:pPr>
          </w:p>
        </w:tc>
        <w:tc>
          <w:tcPr>
            <w:tcW w:w="784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2015 Director Compensation</w:t>
              </w:r>
            </w:hyperlink>
          </w:p>
        </w:tc>
        <w:tc>
          <w:tcPr>
            <w:tcW w:w="8320" w:type="dxa"/>
            <w:vAlign w:val="bottom"/>
            <w:gridSpan w:val="2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304"/>
        </w:trPr>
        <w:tc>
          <w:tcPr>
            <w:tcW w:w="366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PROPOSAL NO. 1 ELECTION OF DIRECTORS</w:t>
              </w:r>
            </w:hyperlink>
          </w:p>
        </w:tc>
        <w:tc>
          <w:tcPr>
            <w:tcW w:w="712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Composition of our Board of Directors</w:t>
              </w:r>
            </w:hyperlink>
          </w:p>
        </w:tc>
        <w:tc>
          <w:tcPr>
            <w:tcW w:w="760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Directors and Director Nominees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gridSpan w:val="1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200" w:type="dxa"/>
            <w:vAlign w:val="bottom"/>
            <w:tcBorders>
              <w:bottom w:val="single" w:sz="8" w:color="0000EE"/>
            </w:tcBorders>
            <w:gridSpan w:val="41"/>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PROPOSAL NO. 2 APPROVAL OF CERTAIN PROVISIONS OF OUR ANNUAL CASH INCENTIVE PLAN IN ACCORDANCE WITH</w:t>
              </w:r>
            </w:hyperlink>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400" w:type="dxa"/>
            <w:vAlign w:val="bottom"/>
            <w:tcBorders>
              <w:bottom w:val="single" w:sz="8" w:color="0000EE"/>
            </w:tcBorders>
            <w:gridSpan w:val="34"/>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SECTION 162(M) OF THE INTERNAL REVENUE CODE</w:t>
              </w:r>
            </w:hyperlink>
          </w:p>
        </w:tc>
        <w:tc>
          <w:tcPr>
            <w:tcW w:w="620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Summary of the Cash Incentive Plan</w:t>
              </w:r>
            </w:hyperlink>
          </w:p>
        </w:tc>
        <w:tc>
          <w:tcPr>
            <w:tcW w:w="7760" w:type="dxa"/>
            <w:vAlign w:val="bottom"/>
            <w:gridSpan w:val="2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780" w:type="dxa"/>
            <w:vAlign w:val="bottom"/>
            <w:tcBorders>
              <w:bottom w:val="single" w:sz="8" w:color="0000EE"/>
            </w:tcBorders>
            <w:gridSpan w:val="42"/>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PROPOSAL NO. 3 APPROVAL OF CERTAIN PROVISIONS OF OUR 2008 EQUITY INCENTIVE PLAN IN ACCORDANCE WITH SECTION</w:t>
              </w:r>
            </w:hyperlink>
          </w:p>
        </w:tc>
        <w:tc>
          <w:tcPr>
            <w:tcW w:w="5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360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162(M) OF THE INTERNAL REVENUE CODE</w:t>
              </w:r>
            </w:hyperlink>
          </w:p>
        </w:tc>
        <w:tc>
          <w:tcPr>
            <w:tcW w:w="70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Summary of the 2008 Equity Incentive Plan</w:t>
              </w:r>
            </w:hyperlink>
          </w:p>
        </w:tc>
        <w:tc>
          <w:tcPr>
            <w:tcW w:w="724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 Federal Income Tax Consequences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40" w:type="dxa"/>
            <w:vAlign w:val="bottom"/>
            <w:gridSpan w:val="24"/>
            <w:shd w:val="clear" w:color="auto" w:fill="0000EE"/>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180" w:type="dxa"/>
            <w:vAlign w:val="bottom"/>
            <w:tcBorders>
              <w:bottom w:val="single" w:sz="8" w:color="0000EE"/>
            </w:tcBorders>
            <w:gridSpan w:val="40"/>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PROPOSAL NO. 4 APPROVAL OF AN AMENDMENT TO OUR AMENDED AND RESTATED CERTIFICATE OF INCORPORATION</w:t>
              </w:r>
            </w:hyperlink>
          </w:p>
        </w:tc>
        <w:tc>
          <w:tcPr>
            <w:tcW w:w="6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080" w:type="dxa"/>
            <w:vAlign w:val="bottom"/>
            <w:tcBorders>
              <w:bottom w:val="single" w:sz="8" w:color="0000EE"/>
            </w:tcBorders>
            <w:gridSpan w:val="39"/>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PROPOSAL NO. 5 ADVISORY VOTE TO APPROVE NAMED EXECUTIVE OFFICER COMPENSATION</w:t>
              </w:r>
            </w:hyperlink>
          </w:p>
        </w:tc>
        <w:tc>
          <w:tcPr>
            <w:tcW w:w="270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800" w:type="dxa"/>
            <w:vAlign w:val="bottom"/>
            <w:tcBorders>
              <w:bottom w:val="single" w:sz="8" w:color="0000EE"/>
            </w:tcBorders>
            <w:gridSpan w:val="38"/>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PROPOSAL NO. 6 RATIFICATION OF INDEPENDENT REGISTERED PUBLIC ACCOUNTING FIRM</w:t>
              </w:r>
            </w:hyperlink>
          </w:p>
        </w:tc>
        <w:tc>
          <w:tcPr>
            <w:tcW w:w="298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Fees</w:t>
              </w:r>
            </w:hyperlink>
          </w:p>
        </w:tc>
        <w:tc>
          <w:tcPr>
            <w:tcW w:w="10080" w:type="dxa"/>
            <w:vAlign w:val="bottom"/>
            <w:gridSpan w:val="3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Approval of Independent Registered Public Accounting Firm Services and Fees</w:t>
              </w:r>
            </w:hyperlink>
          </w:p>
        </w:tc>
        <w:tc>
          <w:tcPr>
            <w:tcW w:w="46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bl>
    <w:p>
      <w:pPr>
        <w:jc w:val="right"/>
        <w:spacing w:after="0" w:line="196"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34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r>
      <w:tr>
        <w:trPr>
          <w:trHeight w:val="493"/>
        </w:trPr>
        <w:tc>
          <w:tcPr>
            <w:tcW w:w="107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AUDIT COMMITTEE REPORT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400" w:type="dxa"/>
            <w:vAlign w:val="bottom"/>
            <w:tcBorders>
              <w:top w:val="single" w:sz="8" w:color="0000EE"/>
            </w:tcBorders>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OFFICERS</w:t>
              </w:r>
            </w:hyperlink>
          </w:p>
        </w:tc>
        <w:tc>
          <w:tcPr>
            <w:tcW w:w="830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2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EXECUTIVE COMPENSATION</w:t>
              </w:r>
            </w:hyperlink>
          </w:p>
        </w:tc>
        <w:tc>
          <w:tcPr>
            <w:tcW w:w="824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Compensation Discussion and Analysis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Compensation of Named Executive Officers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Executive Employment Agreements</w:t>
              </w:r>
            </w:hyperlink>
          </w:p>
        </w:tc>
        <w:tc>
          <w:tcPr>
            <w:tcW w:w="580" w:type="dxa"/>
            <w:vAlign w:val="bottom"/>
            <w:tcBorders>
              <w:top w:val="single" w:sz="8" w:color="0000EE"/>
            </w:tcBorders>
            <w:gridSpan w:val="3"/>
          </w:tcPr>
          <w:p>
            <w:pPr>
              <w:spacing w:after="0"/>
              <w:rPr>
                <w:sz w:val="17"/>
                <w:szCs w:val="17"/>
                <w:color w:val="auto"/>
              </w:rPr>
            </w:pPr>
          </w:p>
        </w:tc>
        <w:tc>
          <w:tcPr>
            <w:tcW w:w="714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Potential Payments upon Termination or Change in Control</w:t>
              </w:r>
            </w:hyperlink>
          </w:p>
        </w:tc>
        <w:tc>
          <w:tcPr>
            <w:tcW w:w="604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Compensation Committee Report</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394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BENEFICIAL OWNERSHIP OF COMMON STOCK</w:t>
              </w:r>
            </w:hyperlink>
          </w:p>
        </w:tc>
        <w:tc>
          <w:tcPr>
            <w:tcW w:w="676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88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CERTAIN RELATIONSHIPS AND RELATED TRANSACTIONS</w:t>
              </w:r>
            </w:hyperlink>
          </w:p>
        </w:tc>
        <w:tc>
          <w:tcPr>
            <w:tcW w:w="582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Policies and Procedures for Related Party Transactions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Certain Transactions</w:t>
              </w:r>
            </w:hyperlink>
          </w:p>
        </w:tc>
        <w:tc>
          <w:tcPr>
            <w:tcW w:w="2420" w:type="dxa"/>
            <w:vAlign w:val="bottom"/>
            <w:tcBorders>
              <w:top w:val="single" w:sz="8" w:color="0000EE"/>
            </w:tcBorders>
            <w:gridSpan w:val="11"/>
          </w:tcPr>
          <w:p>
            <w:pPr>
              <w:spacing w:after="0"/>
              <w:rPr>
                <w:sz w:val="17"/>
                <w:szCs w:val="17"/>
                <w:color w:val="auto"/>
              </w:rPr>
            </w:pPr>
          </w:p>
        </w:tc>
        <w:tc>
          <w:tcPr>
            <w:tcW w:w="638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04"/>
        </w:trPr>
        <w:tc>
          <w:tcPr>
            <w:tcW w:w="1070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SECTION 16(a) BENEFICIAL OWNERSHIP REPORTING COMPLIANCE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3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gridSpan w:val="6"/>
          </w:tcPr>
          <w:p>
            <w:pPr>
              <w:spacing w:after="0"/>
              <w:rPr>
                <w:sz w:val="24"/>
                <w:szCs w:val="24"/>
                <w:color w:val="auto"/>
              </w:rPr>
            </w:pPr>
          </w:p>
        </w:tc>
        <w:tc>
          <w:tcPr>
            <w:tcW w:w="50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2420" w:type="dxa"/>
            <w:vAlign w:val="bottom"/>
            <w:tcBorders>
              <w:bottom w:val="single" w:sz="8" w:color="0000EE"/>
            </w:tcBorders>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ADDITIONAL INFORMATION</w:t>
              </w:r>
            </w:hyperlink>
          </w:p>
        </w:tc>
        <w:tc>
          <w:tcPr>
            <w:tcW w:w="828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700" w:type="dxa"/>
            <w:vAlign w:val="bottom"/>
            <w:gridSpan w:val="20"/>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APPENDIX A – CERTIFICATE OF AMENDMENT OF AMENDED AND RESTATED CERTIFICATE OF INCORPORATION OF GRAND</w:t>
              </w:r>
            </w:hyperlink>
          </w:p>
        </w:tc>
        <w:tc>
          <w:tcPr>
            <w:tcW w:w="62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CANYON EDUCATION, INC.</w:t>
              </w:r>
            </w:hyperlink>
          </w:p>
        </w:tc>
        <w:tc>
          <w:tcPr>
            <w:tcW w:w="7860" w:type="dxa"/>
            <w:vAlign w:val="bottom"/>
            <w:tcBorders>
              <w:top w:val="single" w:sz="8" w:color="0000EE"/>
            </w:tcBorders>
            <w:gridSpan w:val="11"/>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jc w:val="right"/>
        <w:spacing w:after="0" w:line="196"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Thursday, June 16, 2016, at Grand Canyon University Arena on the campus of Grand Canyon University at 3300 W. Camelback Road, Phoenix, Arizona 85017, commencing at 10:00 a.m., local time, and at any adjournment or postponement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May 4, 2016,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7"/>
          <w:szCs w:val="17"/>
          <w:b w:val="1"/>
          <w:bCs w:val="1"/>
          <w:color w:val="auto"/>
        </w:rPr>
        <w:t>www.edocumentview.com/LOPE</w:t>
      </w:r>
      <w:r>
        <w:rPr>
          <w:rFonts w:ascii="Arial" w:cs="Arial" w:eastAsia="Arial" w:hAnsi="Arial"/>
          <w:sz w:val="17"/>
          <w:szCs w:val="17"/>
          <w:color w:val="auto"/>
        </w:rPr>
        <w:t xml:space="preserve"> or the Company’s Investor Relations website at </w:t>
      </w:r>
      <w:r>
        <w:rPr>
          <w:rFonts w:ascii="Arial" w:cs="Arial" w:eastAsia="Arial" w:hAnsi="Arial"/>
          <w:sz w:val="17"/>
          <w:szCs w:val="17"/>
          <w:u w:val="single" w:color="auto"/>
          <w:color w:val="auto"/>
        </w:rPr>
        <w:t>www.gcu.edu</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Only stockholders of record at the close of business on April 22, 2016, will be entitled to notice of and to vote at the Annual Meeting and any adjournment or postponement thereof. At the close of business on the record date, we had approximately 46,619,009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2017 Annual Meeting of Stockholders, the proposal must be received at our principal executive offices, addressed to our Secretary, not later than the close of business on January 4, 2017.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2017 Annual Meeting of Stockholders, proper notice of business that is not intended for inclusion in our proxy statement must be received not earlier than the close of business on February 16, 2017, nor later than the close of business on March 18, 2017.</w:t>
      </w:r>
    </w:p>
    <w:p>
      <w:pPr>
        <w:spacing w:after="0" w:line="18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w:t>
      </w:r>
    </w:p>
    <w:p>
      <w:pPr>
        <w:ind w:right="60"/>
        <w:spacing w:after="0" w:line="261" w:lineRule="auto"/>
        <w:rPr>
          <w:sz w:val="20"/>
          <w:szCs w:val="20"/>
          <w:color w:val="auto"/>
        </w:rPr>
      </w:pPr>
      <w:r>
        <w:rPr>
          <w:rFonts w:ascii="Arial" w:cs="Arial" w:eastAsia="Arial" w:hAnsi="Arial"/>
          <w:sz w:val="18"/>
          <w:szCs w:val="18"/>
          <w:color w:val="auto"/>
        </w:rPr>
        <w:t>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the approval of the amendment to the Amended and Restated Certificate of Incorporation and the ratification of our independent public accountants. However, your record holder cannot vote your shares without your specific instructions on the election of directors or on matters related to executive compensation, including the advisory vote described below on the compensation of our named executive officers.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7"/>
          <w:szCs w:val="17"/>
          <w:b w:val="1"/>
          <w:bCs w:val="1"/>
          <w:color w:val="auto"/>
        </w:rPr>
        <w:t>We encourage you to provide instructions to your broker regarding the voting of your shares.</w:t>
      </w:r>
      <w:r>
        <w:rPr>
          <w:rFonts w:ascii="Arial" w:cs="Arial" w:eastAsia="Arial" w:hAnsi="Arial"/>
          <w:sz w:val="17"/>
          <w:szCs w:val="17"/>
          <w:color w:val="auto"/>
        </w:rPr>
        <w:t xml:space="preserve"> Our stockholders have no dissenter’s or appraisal rights in connection with any of the proposals described herein.</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The affirmative vote of a majority of the votes cast with respect to a nominee is required for the election to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of the nominees for director. For this purpose, “a majority of the votes cast” means that the number of shares voted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15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 xml:space="preserve">Approve the provisions of our Annual Cash Incentive Plan setting forth the material terms of the performance goals in accordance with Internal Revenue Code Section 162(m). </w:t>
      </w:r>
      <w:r>
        <w:rPr>
          <w:rFonts w:ascii="Arial" w:cs="Arial" w:eastAsia="Arial" w:hAnsi="Arial"/>
          <w:sz w:val="18"/>
          <w:szCs w:val="18"/>
          <w:color w:val="auto"/>
        </w:rPr>
        <w:t>Approval of the award limitations within our Annual Cash Incentive Plan requires the affirmative vote of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represented by proxy at the Annual Meeting and entitled to vote. Broker non-votes will have no effect on the outcome of this proposal, while abstentions will have the effect of a vote against this proposal.</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Approve the provisions of our 2008 Equity Incentive Plan setting forth the material terms of the performance goals in accordance with Internal Revenue Code Section 162(m). </w:t>
      </w:r>
      <w:r>
        <w:rPr>
          <w:rFonts w:ascii="Arial" w:cs="Arial" w:eastAsia="Arial" w:hAnsi="Arial"/>
          <w:sz w:val="18"/>
          <w:szCs w:val="18"/>
          <w:color w:val="auto"/>
        </w:rPr>
        <w:t>Approval of the grant limitations within our 2008 Equity Incentive Plan requires the affirmative vote of the majority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Broker non-votes will have no effect on the outcome of this proposal, while abstentions will have the effect of a vote against this proposal.</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Approve the amendment to our Amended and Restated Certificate of Incorporation. </w:t>
      </w:r>
      <w:r>
        <w:rPr>
          <w:rFonts w:ascii="Arial" w:cs="Arial" w:eastAsia="Arial" w:hAnsi="Arial"/>
          <w:sz w:val="18"/>
          <w:szCs w:val="18"/>
          <w:color w:val="auto"/>
        </w:rPr>
        <w:t>Approval of the amendment to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requires the affirmative vote of the majority of shares entitled to vote. Abstentions and broker non-votes will have the effect of a vote against this proposal.</w:t>
      </w:r>
    </w:p>
    <w:p>
      <w:pPr>
        <w:spacing w:after="0" w:line="18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i w:val="1"/>
          <w:iCs w:val="1"/>
          <w:color w:val="auto"/>
        </w:rPr>
        <w:t xml:space="preserve">Advisory vote on the compensation of our named executive officers. </w:t>
      </w:r>
      <w:r>
        <w:rPr>
          <w:rFonts w:ascii="Arial" w:cs="Arial" w:eastAsia="Arial" w:hAnsi="Arial"/>
          <w:sz w:val="17"/>
          <w:szCs w:val="17"/>
          <w:color w:val="auto"/>
        </w:rPr>
        <w:t>Approval, on an advisory basis, of the compensation of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7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 the Audit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KPMG LLP as our independent registered public accounting firm for the fiscal year ending December 31, 2016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our 2015 fiscal year, our Board of Directors held six meetings and each of our directors attended 100% of such meetings. We do not have a formal policy regarding attendance of our directors at annual meetings of our stockholders, but we do encourage each of our directors to attend. Six of our seven directors attended our 2015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Brent D. Richardson, who served as our Executive Chairman until June 2015 and currently serves as our non-executive Chairman of the Board, and Brian E. Mueller, who serves as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served as an employee of the Company until June 2015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100%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Arial" w:cs="Arial" w:eastAsia="Arial" w:hAnsi="Arial"/>
          <w:sz w:val="18"/>
          <w:szCs w:val="18"/>
          <w:u w:val="single" w:color="auto"/>
          <w:color w:val="auto"/>
        </w:rPr>
        <w:t>www.gcu.edu</w:t>
      </w:r>
      <w:r>
        <w:rPr>
          <w:rFonts w:ascii="Arial" w:cs="Arial" w:eastAsia="Arial" w:hAnsi="Arial"/>
          <w:sz w:val="18"/>
          <w:szCs w:val="18"/>
          <w:i w:val="1"/>
          <w:iCs w:val="1"/>
          <w:color w:val="auto"/>
        </w:rPr>
        <w: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consists of Messrs. Jack A. Henry (chair), Kevin F. Warren, and Bradley A. Casper, each of whom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has determined is “independent,” as defined under and required by the rules of the Nasdaq Stock Market and the federal securities laws. Our Audit Committee met seven times during 2015.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Warren and Casper qualifies as an “audit committee financial expert,” as defined under applicable federal securities laws.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Jack A. Henry, and Ms. Sara R. Dial,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the Board of Directors has determined is “independent,” as defined under and required by the rules of the Nasdaq Stock Market. Our Compensation Committee met five times during 2015.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5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from time to time as its compensation consultant and advisor to:</w:t>
      </w:r>
    </w:p>
    <w:p>
      <w:pPr>
        <w:spacing w:after="0" w:line="52" w:lineRule="exact"/>
        <w:rPr>
          <w:sz w:val="20"/>
          <w:szCs w:val="20"/>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2013, Mercer provided market benchmark information and advised on the competitiveness of executive officer compensation. The peer group at that time consisted of the following companies: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300" w:type="dxa"/>
            <w:vAlign w:val="bottom"/>
          </w:tcPr>
          <w:p>
            <w:pPr>
              <w:ind w:left="80"/>
              <w:spacing w:after="0"/>
              <w:rPr>
                <w:sz w:val="20"/>
                <w:szCs w:val="20"/>
                <w:color w:val="auto"/>
              </w:rPr>
            </w:pPr>
            <w:r>
              <w:rPr>
                <w:rFonts w:ascii="Arial" w:cs="Arial" w:eastAsia="Arial" w:hAnsi="Arial"/>
                <w:sz w:val="18"/>
                <w:szCs w:val="18"/>
                <w:color w:val="auto"/>
              </w:rPr>
              <w:t>Education Management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Strayer Education, Inc.</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(no longer publicly traded);</w:t>
            </w: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w w:val="94"/>
              </w:rPr>
              <w:t>Bridgepoint Education, Inc.</w:t>
            </w:r>
          </w:p>
        </w:tc>
        <w:tc>
          <w:tcPr>
            <w:tcW w:w="0" w:type="dxa"/>
            <w:vAlign w:val="bottom"/>
          </w:tcPr>
          <w:p>
            <w:pPr>
              <w:spacing w:after="0"/>
              <w:rPr>
                <w:sz w:val="1"/>
                <w:szCs w:val="1"/>
                <w:color w:val="auto"/>
              </w:rPr>
            </w:pPr>
          </w:p>
        </w:tc>
      </w:tr>
      <w:tr>
        <w:trPr>
          <w:trHeight w:val="122"/>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  The Advisory Board Company</w:t>
            </w: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K12 Inc.</w:t>
            </w:r>
          </w:p>
        </w:tc>
        <w:tc>
          <w:tcPr>
            <w:tcW w:w="0" w:type="dxa"/>
            <w:vAlign w:val="bottom"/>
          </w:tcPr>
          <w:p>
            <w:pPr>
              <w:spacing w:after="0"/>
              <w:rPr>
                <w:sz w:val="1"/>
                <w:szCs w:val="1"/>
                <w:color w:val="auto"/>
              </w:rPr>
            </w:pPr>
          </w:p>
        </w:tc>
      </w:tr>
      <w:tr>
        <w:trPr>
          <w:trHeight w:val="122"/>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  DeVry Education Group, Inc.</w:t>
            </w: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w w:val="89"/>
              </w:rPr>
              <w:t>Capella Education Company</w:t>
            </w:r>
          </w:p>
        </w:tc>
        <w:tc>
          <w:tcPr>
            <w:tcW w:w="0" w:type="dxa"/>
            <w:vAlign w:val="bottom"/>
          </w:tcPr>
          <w:p>
            <w:pPr>
              <w:spacing w:after="0"/>
              <w:rPr>
                <w:sz w:val="1"/>
                <w:szCs w:val="1"/>
                <w:color w:val="auto"/>
              </w:rPr>
            </w:pPr>
          </w:p>
        </w:tc>
      </w:tr>
      <w:tr>
        <w:trPr>
          <w:trHeight w:val="122"/>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4300" w:type="dxa"/>
            <w:vAlign w:val="bottom"/>
            <w:vMerge w:val="restart"/>
          </w:tcPr>
          <w:p>
            <w:pPr>
              <w:ind w:left="80"/>
              <w:spacing w:after="0"/>
              <w:rPr>
                <w:sz w:val="20"/>
                <w:szCs w:val="20"/>
                <w:color w:val="auto"/>
              </w:rPr>
            </w:pPr>
            <w:r>
              <w:rPr>
                <w:rFonts w:ascii="Arial" w:cs="Arial" w:eastAsia="Arial" w:hAnsi="Arial"/>
                <w:sz w:val="18"/>
                <w:szCs w:val="18"/>
                <w:color w:val="auto"/>
              </w:rPr>
              <w:t>Blackboard</w:t>
            </w: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4300" w:type="dxa"/>
            <w:vAlign w:val="bottom"/>
            <w:vMerge w:val="continue"/>
          </w:tcPr>
          <w:p>
            <w:pPr>
              <w:spacing w:after="0"/>
              <w:rPr>
                <w:sz w:val="18"/>
                <w:szCs w:val="18"/>
                <w:color w:val="auto"/>
              </w:rPr>
            </w:pP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Monster Worldwide</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820"/>
        <w:spacing w:after="0" w:line="183" w:lineRule="auto"/>
        <w:tabs>
          <w:tab w:leader="none" w:pos="1040" w:val="left"/>
        </w:tabs>
        <w:rPr>
          <w:sz w:val="20"/>
          <w:szCs w:val="20"/>
          <w:color w:val="auto"/>
        </w:rPr>
      </w:pPr>
      <w:r>
        <w:rPr>
          <w:rFonts w:ascii="Arial" w:cs="Arial" w:eastAsia="Arial" w:hAnsi="Arial"/>
          <w:sz w:val="14"/>
          <w:szCs w:val="14"/>
          <w:color w:val="auto"/>
        </w:rPr>
        <w:t>•</w:t>
        <w:tab/>
        <w:t>ITT Educational Services, Inc.</w:t>
      </w:r>
    </w:p>
    <w:p>
      <w:pPr>
        <w:ind w:left="6860"/>
        <w:spacing w:after="0"/>
        <w:tabs>
          <w:tab w:leader="none" w:pos="7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Apollo Education Group, Inc.</w:t>
      </w:r>
    </w:p>
    <w:p>
      <w:pPr>
        <w:ind w:left="820"/>
        <w:spacing w:after="0" w:line="181" w:lineRule="auto"/>
        <w:tabs>
          <w:tab w:leader="none" w:pos="1040" w:val="left"/>
        </w:tabs>
        <w:rPr>
          <w:sz w:val="20"/>
          <w:szCs w:val="20"/>
          <w:color w:val="auto"/>
        </w:rPr>
      </w:pPr>
      <w:r>
        <w:rPr>
          <w:rFonts w:ascii="Arial" w:cs="Arial" w:eastAsia="Arial" w:hAnsi="Arial"/>
          <w:sz w:val="15"/>
          <w:szCs w:val="15"/>
          <w:color w:val="auto"/>
        </w:rPr>
        <w:t>•</w:t>
        <w:tab/>
        <w:t>The Corporate Executive Board Company</w:t>
      </w:r>
    </w:p>
    <w:p>
      <w:pPr>
        <w:spacing w:after="0" w:line="1" w:lineRule="exact"/>
        <w:rPr>
          <w:sz w:val="20"/>
          <w:szCs w:val="20"/>
          <w:color w:val="auto"/>
        </w:rPr>
      </w:pPr>
    </w:p>
    <w:p>
      <w:pPr>
        <w:ind w:left="6860"/>
        <w:spacing w:after="0"/>
        <w:tabs>
          <w:tab w:leader="none" w:pos="7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American Public Education, Inc.</w:t>
      </w:r>
    </w:p>
    <w:p>
      <w:pPr>
        <w:spacing w:after="0" w:line="22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a result of Mercer’s analysis of peer group compensation practices and the Compensation Committee’s assessment of management performance in 2013 and prior years, the Compensation Committee in March 2014 approved increases in executive management base salaries. The Compensation Committee engaged Mercer in the Spring of 2016 to provide market benchmark information and advice on the competitiveness of executive officer compensation. Their report will be provided to the Compensation Committee in May 2016 and the results will be used in making compensation decisions in 2016 or future years.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Messrs. Bradley A. Casper</w:t>
      </w:r>
      <w:r>
        <w:rPr>
          <w:rFonts w:ascii="Arial" w:cs="Arial" w:eastAsia="Arial" w:hAnsi="Arial"/>
          <w:sz w:val="16"/>
          <w:szCs w:val="16"/>
          <w:i w:val="1"/>
          <w:iCs w:val="1"/>
          <w:color w:val="auto"/>
        </w:rPr>
        <w:t xml:space="preserve"> </w:t>
      </w:r>
      <w:r>
        <w:rPr>
          <w:rFonts w:ascii="Arial" w:cs="Arial" w:eastAsia="Arial" w:hAnsi="Arial"/>
          <w:sz w:val="16"/>
          <w:szCs w:val="16"/>
          <w:color w:val="auto"/>
        </w:rPr>
        <w:t>(chair), David J. Johnson, Kevin F. Warren and Ms. Sara R. Dial, each of whom our Board of Directors has determined is “independent,” as defined under and required by the rules of the Nasdaq Stock Market. Our Nominating and Corporate Governance Committee met five times during 2015.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u w:val="single" w:color="auto"/>
          <w:color w:val="auto"/>
        </w:rPr>
        <w:t>www.gcu.edu</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76" w:lineRule="exact"/>
        <w:rPr>
          <w:sz w:val="20"/>
          <w:szCs w:val="20"/>
          <w:color w:val="auto"/>
        </w:rPr>
      </w:pPr>
    </w:p>
    <w:p>
      <w:pPr>
        <w:ind w:left="900" w:right="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the candidates’ qualifications by our Nominating and Corporate Governance Committee to determine which candidates best meet our Board of Directors’ required and desired criteria;</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75"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9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30"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2017 Annual Meeting of Stockholders, stockholder nominations must be received by January 4, 2017.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Arial" w:cs="Arial" w:eastAsia="Arial" w:hAnsi="Arial"/>
          <w:sz w:val="17"/>
          <w:szCs w:val="17"/>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Elections and Majority Voting</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directors are elected annually to serve until the next annual meeting of stockholders and until their successors are duly elected and qualified. Pursuant to an amendment to our bylaws adopted during 2014, at any meeting of stockholders for the election of one or more directors at which a quorum is present, each director shall be elected by the vote of a majority of the votes cast with respect to the director, provided that if the number of nominees exceeds the number of directors to be elected, the directors shall be elected by the vote of a plurality of the votes cast by the stockholders entitled to vote at the election. For purposes of the foregoing, a majority of the votes cast means that the number of shares voted “for” a director exceeds the number of votes cast “against” that director. Under our corporate governance principles and practices, the Board shall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the director shall tender his or her resignation to the Board. Within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such committee’s recommendation and publicly disclose its decision and the rationale behind 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During 2015, Messrs. Johnson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The Board of Directors believes that each director should develop a meaningful ownership position in the Company. Therefore, the Board of Directors has adopted stock ownership guidelines for directors. Pursuant to these guidelines, which are set forth in our Corporate Governance Principles and Practices and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each director is expected to own at least $50,000 of our Common Stock and is expected to achieve the target ownership threshold within two years of their election to the Board of Directors. As of December 31, 2015, all directors are in compliance with the stock ownership guidelines.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Anti-Hedging/Anti-Pledging Policy</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2008 Equity Incentive Plan (the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(1)</w:t>
            </w:r>
          </w:p>
        </w:tc>
        <w:tc>
          <w:tcPr>
            <w:tcW w:w="2760" w:type="dxa"/>
            <w:vAlign w:val="bottom"/>
            <w:vMerge w:val="restart"/>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w:t>
            </w:r>
          </w:p>
        </w:tc>
        <w:tc>
          <w:tcPr>
            <w:tcW w:w="34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 xml:space="preserve">Paid in Cash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7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123,333</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45,000</w:t>
            </w:r>
          </w:p>
        </w:tc>
        <w:tc>
          <w:tcPr>
            <w:tcW w:w="40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105,000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90,000</w:t>
            </w: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40" w:hanging="452"/>
        <w:spacing w:after="0" w:line="271"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Richardson was an employee director for the first half of 2015 and a non-employee director for the second half of 2015. Directors who are Company employees receive no additional compensation for serving on the Board of Directors. Compensation for our employees who also serve as directors is reflected in the Summary Compensation Table set forth in “Executive Compensation” below.</w:t>
      </w:r>
    </w:p>
    <w:p>
      <w:pPr>
        <w:ind w:left="460" w:right="16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part of their annual retainer, a restricted stock grant valued at $75,000 on the date of grant, comprising 1,759 shares, was made to each of Messrs. Johnson, Henry, Casper, Warren and Ms. Dial after our annual meeting of stockholders on May 18, 2015. These shares will vest on May 18, 2016.</w:t>
      </w:r>
    </w:p>
    <w:p>
      <w:pPr>
        <w:spacing w:after="0" w:line="139"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following table provides a breakdown of the cash compensation paid to our non-employee directors in 2015 in respect of their annual retainers for service on the Board of Directors, for service on Board committees, and for services as a Board committee chair or as lead independent director:</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Board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Board</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Independent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Chair</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Directors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Committee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Annual</w:t>
            </w:r>
          </w:p>
        </w:tc>
        <w:tc>
          <w:tcPr>
            <w:tcW w:w="2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Annual Retainer</w:t>
            </w:r>
          </w:p>
        </w:tc>
        <w:tc>
          <w:tcPr>
            <w:tcW w:w="260" w:type="dxa"/>
            <w:vAlign w:val="bottom"/>
          </w:tcPr>
          <w:p>
            <w:pPr>
              <w:spacing w:after="0"/>
              <w:rPr>
                <w:sz w:val="14"/>
                <w:szCs w:val="14"/>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Annual Retainers</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Retainer</w:t>
            </w:r>
          </w:p>
        </w:tc>
        <w:tc>
          <w:tcPr>
            <w:tcW w:w="2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Fees(3)</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3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 Johnson(1)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$ 43,333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Brent D. Richardson(2)</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for Mr. Johnson includes the additional annual retainer of $33,333 that he receives in his capacity as lead independent director.</w:t>
      </w:r>
    </w:p>
    <w:p>
      <w:pPr>
        <w:spacing w:after="0" w:line="34"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for Mr. Richardson includes the annual retainer of $25,000 for the pro-rata portion of the year he served as a non-employee director. Mr. Richardson transitioned to a non-employee director role after the annual restricted stock grant in 2015.</w:t>
      </w:r>
    </w:p>
    <w:p>
      <w:pPr>
        <w:ind w:left="460" w:right="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independent committee of the Board of Directors was formed in 2014 to explore options aimed at enhancing stockholder value, including the possibility of effecting a conversion of Grand Canyon University to a nonprofit entity. Members of this committee, which included all members of the Board of Directors other than our Chief Executive Officer, were paid fees in 2015 totaling $20,000 each, and the chair of the independent committee received an additional $10,000 fee. This committee met four times during 2015.</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seven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4740" w:type="dxa"/>
            <w:vAlign w:val="bottom"/>
            <w:gridSpan w:val="2"/>
          </w:tcPr>
          <w:p>
            <w:pPr>
              <w:ind w:left="2060"/>
              <w:spacing w:after="0"/>
              <w:rPr>
                <w:sz w:val="20"/>
                <w:szCs w:val="20"/>
                <w:color w:val="auto"/>
              </w:rPr>
            </w:pPr>
            <w:r>
              <w:rPr>
                <w:rFonts w:ascii="Arial" w:cs="Arial" w:eastAsia="Arial" w:hAnsi="Arial"/>
                <w:sz w:val="14"/>
                <w:szCs w:val="14"/>
                <w:b w:val="1"/>
                <w:bCs w:val="1"/>
                <w:color w:val="auto"/>
              </w:rPr>
              <w:t>Position</w:t>
            </w:r>
          </w:p>
        </w:tc>
        <w:tc>
          <w:tcPr>
            <w:tcW w:w="4520" w:type="dxa"/>
            <w:vAlign w:val="bottom"/>
          </w:tcPr>
          <w:p>
            <w:pPr>
              <w:ind w:left="1500"/>
              <w:spacing w:after="0"/>
              <w:rPr>
                <w:sz w:val="20"/>
                <w:szCs w:val="20"/>
                <w:color w:val="auto"/>
              </w:rPr>
            </w:pPr>
            <w:r>
              <w:rPr>
                <w:rFonts w:ascii="Arial" w:cs="Arial" w:eastAsia="Arial" w:hAnsi="Arial"/>
                <w:sz w:val="14"/>
                <w:szCs w:val="14"/>
                <w:b w:val="1"/>
                <w:bCs w:val="1"/>
                <w:color w:val="auto"/>
              </w:rPr>
              <w:t>Committee Membership</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Brent</w:t>
            </w:r>
          </w:p>
        </w:tc>
        <w:tc>
          <w:tcPr>
            <w:tcW w:w="14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 Richardson</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Brian E. Mueller</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Chief Executive Officer,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 and President of Grand Canyon University</w:t>
            </w:r>
          </w:p>
        </w:tc>
        <w:tc>
          <w:tcPr>
            <w:tcW w:w="4520" w:type="dxa"/>
            <w:vAlign w:val="bottom"/>
          </w:tcPr>
          <w:p>
            <w:pPr>
              <w:spacing w:after="0"/>
              <w:rPr>
                <w:sz w:val="20"/>
                <w:szCs w:val="20"/>
                <w:color w:val="auto"/>
              </w:rPr>
            </w:pP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Jack A. Henry</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Audit (chair)</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Kevin F. Warren</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Audit</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non-executive Chairman of the Board since June 17, 2015. Mr. Richardson previously served as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from July 1, 2008 to June 2015, and as our Chief Executive Officer and as a director from 2004 to July 2008. From 2000 to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Richardson served as Chief Executive Officer of Masters Online, LLC, a company that provided online educational programs and marketing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regionally and nationally accredited universities. Prior to 2000, Mr. Richardson served as Director of Sales and Marketing and later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Educational Division of Private Networks, a company that produced customized distance learning curricula for the healthcare and automotive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industries. Mr. Richardson received a Bachelor of Science degree in Finance from Eastern Illinois University. As our former Chief Executive Officer,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more than 20 years of experience in the education industry, we believe that Mr. Richardson brings an extensive understanding of both our Company,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particular, and the education industry, in general, to the Board and serves as an invaluable resource for assessing and managing risks and planning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strategy within the context of our overall corporate culture.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 xml:space="preserve">Brian E. Mueller </w:t>
      </w:r>
      <w:r>
        <w:rPr>
          <w:rFonts w:ascii="Arial" w:cs="Arial" w:eastAsia="Arial" w:hAnsi="Arial"/>
          <w:sz w:val="17"/>
          <w:szCs w:val="17"/>
          <w:color w:val="auto"/>
        </w:rPr>
        <w:t>has been serving as our Chief Executive Officer since July 1, 2008, as a director since March 2009 and as the President of Grand</w:t>
      </w:r>
      <w:r>
        <w:rPr>
          <w:rFonts w:ascii="Arial" w:cs="Arial" w:eastAsia="Arial" w:hAnsi="Arial"/>
          <w:sz w:val="17"/>
          <w:szCs w:val="17"/>
          <w:i w:val="1"/>
          <w:iCs w:val="1"/>
          <w:color w:val="auto"/>
        </w:rPr>
        <w:t xml:space="preserve"> </w:t>
      </w:r>
      <w:r>
        <w:rPr>
          <w:rFonts w:ascii="Arial" w:cs="Arial" w:eastAsia="Arial" w:hAnsi="Arial"/>
          <w:sz w:val="17"/>
          <w:szCs w:val="17"/>
          <w:color w:val="auto"/>
        </w:rPr>
        <w:t>Canyon University since September 1, 2012. Mr. Mueller has been serving as the President of the Grand Canyon University Foundation, a foundation formed to benefit public charities, since its formation in 2010 and as the President of LOPE Kingdom Fund, an entity formed to provide seed funding for entrepreneurial ventures initiated by Grand Canyon University students, since its formation in 2014.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8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i w:val="1"/>
          <w:iCs w:val="1"/>
          <w:color w:val="auto"/>
        </w:rPr>
        <w:t xml:space="preserve">David J. Johnson </w:t>
      </w:r>
      <w:r>
        <w:rPr>
          <w:rFonts w:ascii="Arial" w:cs="Arial" w:eastAsia="Arial" w:hAnsi="Arial"/>
          <w:sz w:val="17"/>
          <w:szCs w:val="17"/>
          <w:color w:val="auto"/>
        </w:rPr>
        <w:t>has been serving as a member of our Board of Directors since November 2008. From 1997 to 2006, Mr. Johnson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currently serves as a director of Red Lion Hotels Corporation, a hospitality company.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1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 served as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and audit committees of several private companies and is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Bradley A. Casper </w:t>
      </w:r>
      <w:r>
        <w:rPr>
          <w:rFonts w:ascii="Arial" w:cs="Arial" w:eastAsia="Arial" w:hAnsi="Arial"/>
          <w:sz w:val="16"/>
          <w:szCs w:val="16"/>
          <w:color w:val="auto"/>
        </w:rPr>
        <w:t>has been serving as a member of our Board of Directors since August 2011. From November 2013 to June 2015, Mr. Casper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President and Chief Executive Officer of Dogswell, LLC, a private equity-backed pet nutrition business. From 2011 to 2012, Mr. Casper served as the President of Business Operations for the Phoenix Suns, a National Basketball Association franchise, and also as the Executive Chairman of Dymatize Nutrition, Inc., a private-equity backed sports nutrition company. From 2005 to 2010, Mr. Casper served as the President and Chief Executive Officer of The Dial Corporation, a consumer product manufacturing company. From 2002 to 2005, Mr. Casper served as the President of the Personal Care division of Church &amp; Dwight Co., Inc., a manufacturer and distributor of consumer goods. Prior to that time, he served in various positions over 16 years at Procter &amp; Gamble Co. Mr. Casper received his Bachelor of Science degree in Finance from Virginia Tech University and is a graduate of the Financial Management Program at General Electric Company. We believe that Mr. Casper’s extensive experience as a chief executive officer of other companies provides a tremendous resource to our Board of Directors and management team, particularly in the areas of operations, finance and corporate governance.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Kevin F. Warren </w:t>
      </w:r>
      <w:r>
        <w:rPr>
          <w:rFonts w:ascii="Arial" w:cs="Arial" w:eastAsia="Arial" w:hAnsi="Arial"/>
          <w:sz w:val="17"/>
          <w:szCs w:val="17"/>
          <w:color w:val="auto"/>
        </w:rPr>
        <w:t>has been serving as a member of our Board of Directors since September 2012. Mr. Warren has served as a senior officer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Vikings, a National Football League franchise, since 2005 and currently serves as the club’s Chief Operating Officer, with responsibility for the day-to-day business operations.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Programs &amp; Football Legal Counsel from 1997 to 2000. Mr. Warren earned his bachelor’s degree in business administration from Grand Canyon University and, in March 2012, was inducted into the Grand Canyon University Athletics Hall of Fame. Mr. Warren earned his master’s degree in business administration from Arizona State University, and his Juris Doctorate degree from the University of Notre Dame School of Law. We believe Mr. Warren’s extensive experience with legal, financial and marketing matters provides a tremendous resource to our Board of Directors and management team, particularly in the areas of operations, finance and corporate governance.</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 March 2013. Ms. Dial has served as President and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Sara Dial &amp; Associates, an economic development consulting firm specializing in site selection and government relations since 1996. She has led high profile economic development initiatives in Arizona including the creation and implementation of an urban revitalization model, the “Discovery Triangle” and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Currently, Ms. Dial is a director for Mobile Mini, Inc., a publicly traded provider of portable storage solutions, and she also sits on the local and national advisory boards of BBVA Compass Bank.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17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above to constitute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CERTAIN PROVISIONS OF OUR ANNUAL CASH INCENTIVE PLAN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ACCORDANCE WITH SECTION 162(M) OF THE INTERNAL REVENUE CODE</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Board of Directors previously adopted, and our stockholders previously approved, our Annual Cash Incentive Plan (the “Cash Incentive Plan”), under which annual cash bonuses paid to plan participants can qualify as “performance-based” compensation under Section 162(m) of the Internal Revenue Code of 1986, as amended (the “Code”) and thus be fully deductible by the Company for federal income tax purposes. Our stockholders now are being asked to approve certain provisions of the Cash Incentive Plan solely for the purpose of preserving the Company’s ability to deduct in full for federal income tax purposes the compensation recognized by certain of our executive officers in connection with performance-based awards that may be granted to them in the future under the Cash Incentive Plan.</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162(m) and related guidance generally preclude a publicly traded company from taking a tax deduction for compensation in excess of $1.0 million per individual paid to certain “covered employees.” These covered employees consist of our chief executive officer and our three other highest compensated officers, excluding our chief financial officer. The deduction limitation is subject to an exception for “performance-based” compensation that meets certain requirements, including a requirement that the “material terms of the performance goals” applicable to the covered employees must be disclosed to and approved by stockholders before any compensation is paid to them. Stockholder approval of this Proposal will constitute approval of the “material terms of the performance goals” under the plan within the meaning of the regulations under Section 162(m). By approving this Proposal, the stockholders will be approving, among other things, the participant eligibility requirements, the performance criteria on which incentive awards are based and the maximum dollar amount of compensation that may be paid under the plan to any covered employee in any fiscal year.</w:t>
      </w:r>
    </w:p>
    <w:p>
      <w:pPr>
        <w:spacing w:after="0" w:line="166"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Board of Directors believes that it is in the best interests of the Company and its stockholders to continue to preserve the ability of the Company to deduct in full compensation related to performance-based awards granted under the Cash Incentive Plan. Therefore, solely for the purpose of qualifying such compensation as performance-based under Section 162(m), the stockholders are asked to approve the following provisions of the Cash Incentive Plan:</w:t>
      </w:r>
    </w:p>
    <w:p>
      <w:pPr>
        <w:spacing w:after="0" w:line="52" w:lineRule="exact"/>
        <w:rPr>
          <w:sz w:val="20"/>
          <w:szCs w:val="20"/>
          <w:color w:val="auto"/>
        </w:rPr>
      </w:pPr>
    </w:p>
    <w:p>
      <w:pPr>
        <w:ind w:left="900" w:right="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employees of the Company and any parent or subsidiary corporation of the Company or other affiliated entity are eligible to be granted cash-based awards under the Cash Incentive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covered employee may receive in any fiscal year under the Cash Incentive Plan a cash bonus that exceeds $2,000,000.</w:t>
      </w:r>
    </w:p>
    <w:p>
      <w:pPr>
        <w:spacing w:after="0" w:line="130"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performance goals for each fiscal year must be based on one or more of the following measures of Company performance: (i) revenue targets; (ii) adjusted EBITDA targets (as such term is defined from time to time in the Company’s periodic reports as filed with the Securities and Exchange Commission); (iii) return measures (including, but not limited to, return on assets, capital, investment, equity or sales, and total stockholder return); (iv) earnings per share; (v) net income (before or after taxes) or operating income; (vi) budget comparisons; (vii) regulatory compliance; (viii) productivity improvements; (ix) measures of student satisfaction or achievement; (x) any combination of, or a specified increase in, any of the foregoing; and (xi) the completion of corporate transactions intended to enhance the Company’s revenue or profitability. The Compensation Committee may also establish personal performance goals for any participant, but may not increase the bonus amount otherwise earned by a covered employee based upon achievement of the foregoing performance goals.</w:t>
      </w:r>
    </w:p>
    <w:p>
      <w:pPr>
        <w:spacing w:after="0" w:line="179"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If the stockholders do not approve this proposal, we will not be able to provide annual cash incentives under the Cash Incentive Plan to our “covered employees” as defined in Section 162(m) until such time, if any, as stockholder approval of a subsequent similar proposal is obtained.</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and voting at the Annual Meeting and entitled to vote on the matter is required for approval of this proposal.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provisions of our Annual Cash Incentive Plan setting forth the material terms of the performance goals.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Cash Incentive Plan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 xml:space="preserve">The following is a summary of the Cash Incentive Plan. It is qualified in its entirety by reference to the full text of the Plan. Copies of the Cash Incentive Plan are available to any stockholder upon request addressed to Investor Relations, Grand Canyon Education, Inc., 3300 West Camelback Road, Phoenix, Arizona 85017. The Cash Incentive Plan may also be viewed without charge on the Securities and Exchange Commission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4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Cash Incentive Plan will be administered by the Compensation Committee, consisting of at least two nonemployee directors,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whom satisfies the requirements for an “outside director” as the term is defined under Section 162(m). The Compensation Committee may delegate authority to a designee with respect to administration of awards granted to persons who are not “covered employees” within the meaning of Section 162(m).</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All of our employees, including all executive officers, are eligible to be designated to participate in the Cash Incentive Plan, and,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approval of this Proposal 2, were selected by the Compensation Committee to participate in the Cash Incentive Plan for 2016.</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Determination of awards under the Cash Incentive Plan. </w:t>
      </w:r>
      <w:r>
        <w:rPr>
          <w:rFonts w:ascii="Arial" w:cs="Arial" w:eastAsia="Arial" w:hAnsi="Arial"/>
          <w:sz w:val="18"/>
          <w:szCs w:val="18"/>
          <w:color w:val="auto"/>
        </w:rPr>
        <w:t>For each fiscal year, the Compensation Committee establishes one or more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to be satisfied and the target bonus to be earned by each participant if those performance goals are satisfied. The target bonus may be either an absolute dollar amount or a specified percentage of base salary, as determined by the Compensation Committee. For those participants who are covered employees, the Compensation Committee generally must establish the applicable annual performance goals no later the 90 days after the commencement of the fiscal year and at a time when their outcome remains substantially uncertain.</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performance goals for each fiscal year must be based on one or more of the following measures of Company performance: (i) revenue targets; (ii) adjusted EBITDA targets (as such term is defined from time to time in the Company’s periodic reports as filed with the Securities and Exchange Commission); (iii) return measures (including, but not limited to, return on assets, capital, investment, equity or sales, and total stockholder return); (iv) earnings per share; (v) net income (before or after taxes) or operating income; (vi) budget comparisons; (vii) regulatory compliance; (viii) productivity improvements; (ix) measures of student satisfaction or achievement; (x) any combination of, or a specified increase in, any of the foregoing; and (xi) the completion of corporate transactions intended to enhance the Company’s revenue or profitability. The Compensation Committee may also establish personal performance goals for any participant.</w:t>
      </w:r>
    </w:p>
    <w:p>
      <w:pPr>
        <w:spacing w:after="0" w:line="18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Performance goals may be based upon the attainment of specified levels of the Company’s performance under one or more of the measures described above relative to a budget, an index or the performance of other entities and may also be based on the performance of any of the Company’s business units. Performance goals may include a minimum threshold level of performance below which no award will be earned, levels of performance at which specified portions of an award will be earned and a maximum level of credited performance above which no greater award may be earned. The measured attainment of performance goals may include or exclude certain extraordinary items or transactions, as determined by the Compensation Committee.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maximum bonus payable to any participant in a fiscal year may not be greater than 200% of the participant’s base salary for the year or exceed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$2,000,000. This amount is greater than bonus levels paid by the Company in previous years. This bonus limit was set in part to allow the Cash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accommodate continued growth of the Company. The Board believes that this limit will provide the Compensation Committee with sufficient flexibility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 exceptional individual performance.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Final payouts for a fiscal year under the Cash Incentive Plan must be certified in writing by the Compensation Committee and will occur as soon as practicable after the close of the Company’s financial books for the fiscal year. To be eligible to receive a bonus payment, a participant must generally remain an employee as of the last day of the fiscal year. However, the Compensation Committee may authorize a prorated bonus payment based on actual achievement of the applicable performance goals for the full fiscal to any employee whose employment terminates during the year by reason of death, disability, retirement or involuntary termination due to a reduction in force after at least six months of service during the year. The Compensation Committee may adjust an individual bonus payment up or down based on the individual’s personal performance, provided that no such upward adjustment may be made to any bonus payable to a covered employee.</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Deferral of bonuses. </w:t>
      </w:r>
      <w:r>
        <w:rPr>
          <w:rFonts w:ascii="Arial" w:cs="Arial" w:eastAsia="Arial" w:hAnsi="Arial"/>
          <w:sz w:val="18"/>
          <w:szCs w:val="18"/>
          <w:color w:val="auto"/>
        </w:rPr>
        <w:t>Bonuses earned under the Cash Incentive Plan generally must be paid no later than the 15th day of the third month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fiscal year. However, the Compensation Committee may permit a participant to defer all or part of the bonus awarded to such participant under any Company sponsored deferred compensation plan for which that participant is eligible.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Company reserves the right, exercisable by the Compensation Committee, to amend the Cash Incentive Plan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 in any respect or to discontinue and terminate the Cash Incentive Plan in whole or in part at any time; provided, however, that certain amendments to the Cash Incentive Plan will be subject to approval of the Company’s stockholders in such manner and with such frequency as shall be required under Section 162(m).</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Summary of federal income tax consequences. </w:t>
      </w:r>
      <w:r>
        <w:rPr>
          <w:rFonts w:ascii="Arial" w:cs="Arial" w:eastAsia="Arial" w:hAnsi="Arial"/>
          <w:sz w:val="17"/>
          <w:szCs w:val="17"/>
          <w:color w:val="auto"/>
        </w:rPr>
        <w:t>Under present federal income tax law, participants will realize ordinary income, equal to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award paid to them, at the time of payment. That income will be subject to applicable income and employment tax withholding by the Company. The Company will receive a deduction for the amount constituting ordinary income to the participant, provided that the Cash Incentive Plan satisfies the requirements of Section 162(m), which imposes a $1,000,000 limitation on the income tax deductibility of non-performance-related compensation paid per individual in the group comprised of the Company’s chief executive officer and the three most highly compensated officers (other than the chief financial officer), and otherwise satisfies the requirements for deductibility under federal income tax law.</w:t>
      </w:r>
    </w:p>
    <w:p>
      <w:pPr>
        <w:spacing w:after="0" w:line="17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Award amounts</w:t>
      </w:r>
      <w:r>
        <w:rPr>
          <w:rFonts w:ascii="Arial" w:cs="Arial" w:eastAsia="Arial" w:hAnsi="Arial"/>
          <w:sz w:val="16"/>
          <w:szCs w:val="16"/>
          <w:color w:val="auto"/>
        </w:rPr>
        <w:t>. Bonuses payable under the Cash Incentive Plan for fiscal year 2016 and future years cannot currently be determined because they will</w:t>
      </w:r>
      <w:r>
        <w:rPr>
          <w:rFonts w:ascii="Arial" w:cs="Arial" w:eastAsia="Arial" w:hAnsi="Arial"/>
          <w:sz w:val="16"/>
          <w:szCs w:val="16"/>
          <w:i w:val="1"/>
          <w:iCs w:val="1"/>
          <w:color w:val="auto"/>
        </w:rPr>
        <w:t xml:space="preserve"> </w:t>
      </w:r>
      <w:r>
        <w:rPr>
          <w:rFonts w:ascii="Arial" w:cs="Arial" w:eastAsia="Arial" w:hAnsi="Arial"/>
          <w:sz w:val="16"/>
          <w:szCs w:val="16"/>
          <w:color w:val="auto"/>
        </w:rPr>
        <w:t>depend on the attainment by the Company and plan participants of the specified performance goals established by the Compensation Committee. The amounts that were paid to our covered persons under the Cash Incentive Plan as in effect for fiscal years 2015, 2014 and 2013 are set forth in the Compensation Discussion and Analysis section under the “Non-Equity Incentive Plan Compensation” column of the Summary Compensation Table.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CERTAIN PROVISIONS OF OUR 2008 EQUITY INCENTIVE PLAN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ACCORDANCE WITH SECTION 162(M) OF THE INTERNAL REVENUE CODE</w:t>
      </w:r>
    </w:p>
    <w:p>
      <w:pPr>
        <w:spacing w:after="0" w:line="21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Our stockholders have previously approved our 2008 Equity Incentive Plan (the “Equity Incentive Plan”), under which employees, officers, directors and consultants may be granted equity-based and cash-based awards. The stockholders now are being asked to approve certain provisions of the Equity Incentive Plan solely for the purpose of preserving the Company’s ability to deduct in full for federal income tax purposes the compensation recognized by certain of our executive officers in connection with performance-based awards that may be granted to them in the future under the Equity Incentive Plan.</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in Proposal No. 2, under Section 162(m) of the Code and related guidance, we generally may not deduct for federal income tax purposes compensation paid to certain executive officers to the extent of any amounts of compensation received by any of these persons that exceeds $1.0 million in any single year. However, if the compensation qualifies as “performance-based” for Section 162(m) purposes, we may deduct it for federal income tax purposes even if it exceeds $1.0 million in a single year. In general, for a grant under the Equity Incentive Plan to qualify as “performance-based,” certain material terms of the Equity Incentive Plan must have been approved by our stockholders in a separate vote. The continued availability of the exemption for awards of performance-based compensation therefore depends upon obtaining approval of certain provisions of the Equity Incentive Plan by our stockholders at the 2016 annual meeting.</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Board of Directors believes that it is in the best interests of the Company and its stockholders to continue to preserve the ability of the Company to deduct in full compensation related to stock options, stock appreciation rights and other performance-based awards granted under the Equity Incentive Plan. Therefore, solely for the purpose of qualifying such compensation as performance-based under Section 162(m), the stockholders are asked to approve the following provisions of the Equity Incentive Plan (the “Section 162(m) Qualifying Provisions”):</w:t>
      </w:r>
    </w:p>
    <w:p>
      <w:pPr>
        <w:spacing w:after="0" w:line="77" w:lineRule="exact"/>
        <w:rPr>
          <w:sz w:val="20"/>
          <w:szCs w:val="20"/>
          <w:color w:val="auto"/>
        </w:rPr>
      </w:pPr>
    </w:p>
    <w:p>
      <w:pPr>
        <w:ind w:left="900" w:right="10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employees of the Company and any parent or subsidiary corporation of the Company or other affiliated entity are eligible to be granted stock options, stock appreciation rights, restricted stock, restricted stock units, performance shares, performance units, other stock-based awards and cash-based awards under the Equity Incentive Plan.</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participant may receive in any fiscal year under the Equity Incentive Plan equity-based awards intended to qualify as “performance-based” for more than 2,000,000 shares of our common stock, provided that this limit will be appropriately adjusted for stock splits, stock dividends and similar changes to the Company’s capital structure.</w:t>
      </w:r>
    </w:p>
    <w:p>
      <w:pPr>
        <w:spacing w:after="0" w:line="86"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participant may receive in any fiscal year under the Equity Incentive Plan cash-denominated awards intended to qualify as “performance-based” for more than $5,000,000 for each full fiscal year contained in the applicable performance period.</w:t>
      </w:r>
    </w:p>
    <w:p>
      <w:pPr>
        <w:spacing w:after="0" w:line="75" w:lineRule="exact"/>
        <w:rPr>
          <w:rFonts w:ascii="Arial" w:cs="Arial" w:eastAsia="Arial" w:hAnsi="Arial"/>
          <w:sz w:val="18"/>
          <w:szCs w:val="18"/>
          <w:color w:val="auto"/>
        </w:rPr>
      </w:pPr>
    </w:p>
    <w:p>
      <w:pPr>
        <w:ind w:left="900" w:right="80" w:hanging="446"/>
        <w:spacing w:after="0" w:line="28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vesting of restricted stock, restricted stock units, performance share and performance unit awards and other stock-based awards and cash-based awards intended to qualify as “performance-based” may be made subject to the attainment of performance goals for a specified period of time relating to one or more of the following performance measures,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administrator in the award: (i) revenue, (ii) 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(xiii) operating cash flow, (xiv) balance of cash, cash equivalents and marketable securities, (xv) stock price, (xvi) earnings per share,</w:t>
      </w:r>
    </w:p>
    <w:p>
      <w:pPr>
        <w:spacing w:after="0" w:line="9" w:lineRule="exact"/>
        <w:rPr>
          <w:sz w:val="20"/>
          <w:szCs w:val="20"/>
          <w:color w:val="auto"/>
        </w:rPr>
      </w:pPr>
    </w:p>
    <w:p>
      <w:pPr>
        <w:ind w:left="900" w:right="220" w:hanging="1"/>
        <w:spacing w:after="0" w:line="281" w:lineRule="auto"/>
        <w:tabs>
          <w:tab w:leader="none" w:pos="1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return on stockholder equity, (xviii) return on capital, (xix) return on assets, (xx) return on investment, (xxi) employee satisfaction, (xxii) employee retention, (xxiii) market share, (xxiv) customer satisfaction, (xxv) product development, (xxvi) research and development expenses,</w:t>
      </w:r>
    </w:p>
    <w:p>
      <w:pPr>
        <w:spacing w:after="0" w:line="1" w:lineRule="exact"/>
        <w:rPr>
          <w:rFonts w:ascii="Arial" w:cs="Arial" w:eastAsia="Arial" w:hAnsi="Arial"/>
          <w:sz w:val="16"/>
          <w:szCs w:val="16"/>
          <w:color w:val="auto"/>
        </w:rPr>
      </w:pPr>
    </w:p>
    <w:p>
      <w:pPr>
        <w:ind w:left="1440" w:hanging="541"/>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an identified special project, or (xxviii) completion of a joint venture or other corporate transaction.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While we believe that compensation provided by such awards under the Equity Incentive Plan generally will be deductible by the Company for federal income tax purposes, under certain circumstances, such as a change in control of the Company, compensation paid in settlement of certain awards may not qualify as performance-based.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we must retain the flexibility to respond to changes in the market for top executive officers and offer compensation packages that are competitive with those offered by others in our industry. In the event we are motivated by competitive forces to offer compensation in excess of $1.0 million to executive officers, our Board of Directors believes it would be in our best interests and those of our stockholders to be able to deduct such compensation for federal income tax purposes.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stockholder approval of this proposal is not obtained, we will not make any further grants under the Equity Incentive Plan to our Chief Executive Officer and our other named executive officers who are “covered employees” as defined in Section 162(m), until such time, if any, as stockholder approval of a subsequent similar proposal is obtained.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and voting at the Annual Meeting and entitled to vote on the matter is required for approval of this proposal.</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provisions of our 2008 equity incentive plan setting forth the material terms of the performance goals.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2008 Equity Incentive Plan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summary of the Equity Incentive Plan as currently in effect is qualified in its entirety by the specific language of the Equity Incentive Plan. Copies of the Equity Incentive Plan are available to any stockholder upon request addressed to Investor Relations, Grand Canyon Education, Inc., 3300 West Camelback Road, Phoenix, Arizona 85017. The Equity Incentive Plan may also be viewed without charge on the Securities and Exchange Commission website at www.sec.gov.</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Our Board of Directors and stockholders previously adopted the Equity Incentive Plan to enhance the link between the creation of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executive incentive compensation and to give our directors, executive officers and other employees appropriate motivation and rewards for achieving increases in share value. These incentives are provided through the grant of stock options, stock appreciation rights, restricted stock, restricted stock units, performance shares, performance units, other stock-based awards, cash-based awards, and nonemployee director awards.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Shares reserved for issuance under the plan</w:t>
      </w:r>
      <w:r>
        <w:rPr>
          <w:rFonts w:ascii="Arial" w:cs="Arial" w:eastAsia="Arial" w:hAnsi="Arial"/>
          <w:sz w:val="17"/>
          <w:szCs w:val="17"/>
          <w:color w:val="auto"/>
        </w:rPr>
        <w:t>. As of February 29, 2016, we had authorized and reserved a total of 12,167,127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issuance under the Equity Incentive Plan. This reserve automatically increases on a cumulative basis on January 1 of each year through 2018, by an amount equal to the smaller of (a) 2.5% of the number of shares of common stock issued and outstanding on the immediately preceding December 31, or (b) an amount determined by our Board of Directors. The Compensation Committee of our Board of Directors elected to decline the increase that would have gone into effect as of January 1, 2016. We will make appropriate adjustments in the number of authorized shares and other numerical limits in the Equity Incentive Plan and in outstanding awards to prevent dilution or enlargement of participants’ rights in the event of a stock split or other change in our capital structure. Shares subject to awards that expire or are cancelled or forfeited will again become available for issuance under the Equity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Equity Incentive Plan.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Certain award limits</w:t>
      </w:r>
      <w:r>
        <w:rPr>
          <w:rFonts w:ascii="Arial" w:cs="Arial" w:eastAsia="Arial" w:hAnsi="Arial"/>
          <w:sz w:val="18"/>
          <w:szCs w:val="18"/>
          <w:color w:val="auto"/>
        </w:rPr>
        <w:t>. To enable compensation provided in connection with certain types of awards intended to qualify as “performance-based”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162(m) of the Code, the Equity Incentive Plan establishes limits on the maximum aggregate number of shares or dollar value for which such awards may be granted to an employee in any fiscal year, as follows:</w:t>
      </w:r>
    </w:p>
    <w:p>
      <w:pPr>
        <w:spacing w:after="0" w:line="8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more than 2,000,000 shares under equity-based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more than $5,000,000 for each full fiscal year contained in the performance period under cash-denominated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comply with applicable tax rules, the Equity Incentive Plan also limits to 4,199,937 the number of shares that may be issued upon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exercise of incentive stock options granted under the Equity Incentive Plan, provided that this limit automatically increases on a cumulative basis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 of each year through 2018, by an amount equal to the smaller of (a) the annual increase described above or (b) 4,199,937 shares. These award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subject to appropriate adjustments in the event of a stock split or other change in our capital structure.</w:t>
      </w:r>
    </w:p>
    <w:p>
      <w:pPr>
        <w:spacing w:after="0" w:line="211"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Equity Incentive Plan is administered by our Compensation Committee or, if there is no Compensation Committee,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acting as the Compensation Committee. The Compensation Committee has the complete discretion to make all decisions relating to the Equity Incentive Plan, including modifying outstanding awards. All such decisions shall be final and binding unless fraudulent or made in bad faith.</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under the Equity Incentive Plan to our employees, officers, directors, or consultants, or those of any future parent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8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i w:val="1"/>
          <w:iCs w:val="1"/>
          <w:color w:val="auto"/>
        </w:rPr>
        <w:t>Description of options</w:t>
      </w:r>
      <w:r>
        <w:rPr>
          <w:rFonts w:ascii="Arial" w:cs="Arial" w:eastAsia="Arial" w:hAnsi="Arial"/>
          <w:sz w:val="16"/>
          <w:szCs w:val="16"/>
          <w:color w:val="auto"/>
        </w:rPr>
        <w:t>. Subject to plan limits, the Compensation Committee has discretion to determine the terms of each option and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covered by each option, and the vesting term for each option. In most cases, options will expire not more than 10 years after they are granted, though options generally expire earlier if the participant’s service terminates earlier. The total fair market value of the shares (as of the date of grant) with respect to which incentive stock options are exercisable for the first time by any participant during any calendar year may not exceed $100,000.</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Type of stock option grants permitted</w:t>
      </w:r>
      <w:r>
        <w:rPr>
          <w:rFonts w:ascii="Arial" w:cs="Arial" w:eastAsia="Arial" w:hAnsi="Arial"/>
          <w:sz w:val="18"/>
          <w:szCs w:val="18"/>
          <w:color w:val="auto"/>
        </w:rPr>
        <w:t>. The Equity Incentive Plan permits us to grant incentive stock options and nonstatutory stock options. After we</w:t>
      </w:r>
      <w:r>
        <w:rPr>
          <w:rFonts w:ascii="Arial" w:cs="Arial" w:eastAsia="Arial" w:hAnsi="Arial"/>
          <w:sz w:val="18"/>
          <w:szCs w:val="18"/>
          <w:i w:val="1"/>
          <w:iCs w:val="1"/>
          <w:color w:val="auto"/>
        </w:rPr>
        <w:t xml:space="preserve"> </w:t>
      </w:r>
      <w:r>
        <w:rPr>
          <w:rFonts w:ascii="Arial" w:cs="Arial" w:eastAsia="Arial" w:hAnsi="Arial"/>
          <w:sz w:val="18"/>
          <w:szCs w:val="18"/>
          <w:color w:val="auto"/>
        </w:rPr>
        <w:t>grant an option, the principal differences to the participant between an incentive stock option and a nonstatutory stock option relate to federal income tax consequences, which are described below.</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Exercise price of stock options</w:t>
      </w:r>
      <w:r>
        <w:rPr>
          <w:rFonts w:ascii="Arial" w:cs="Arial" w:eastAsia="Arial" w:hAnsi="Arial"/>
          <w:sz w:val="16"/>
          <w:szCs w:val="16"/>
          <w:color w:val="auto"/>
        </w:rPr>
        <w:t>. The Compensation Committee determines the option exercise price of each option. However, the exercise price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be less than the fair market value of the shares on the date of grant; provided however, that exercise price of any incentive stock option granted to a person who is also a 10% stockholder of our common stock will not be less than 110% of the fair market value of the shares on the date of grant.</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Each option is exercisable at the time or times and under the restrictions and conditions that the Compensation Committee determines in its discretion; provided, however, that no option will be exercisable after the expiration of 10 years from the date the option is granted; and provided, further, that no incentive stock option granted to a person who directly or by attribution owns more than 10% of the total combined voting power of all classes of our stock or any parent or subsidiary of ours will be exercisable after the expiration of five years from the date the incentive stock option is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Description of stock appreciation rights</w:t>
      </w:r>
      <w:r>
        <w:rPr>
          <w:rFonts w:ascii="Arial" w:cs="Arial" w:eastAsia="Arial" w:hAnsi="Arial"/>
          <w:sz w:val="16"/>
          <w:szCs w:val="16"/>
          <w:color w:val="auto"/>
        </w:rPr>
        <w:t>. Stock appreciation rights provide for payment of any appreciation in the market price of a specified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between the grant date and the date on which a stock appreciation right is exercised after it has vested. The amount of any payments received under a stock appreciation right will fluctuate up and down with changes in our share price. The amount of stock price appreciation may be paid in cash, in shares of our common stock having a fair market value equal to the amount of appreciation to be paid, or in a combination of cash and shares of stock. The form of payment will be determined by the Compensation Committee, in its discretion. Stock appreciation rights may be awarded in combination with options, and such an award may provide that the stock appreciation rights will not be exercisable unless the related options are forfeited.</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Each stock appreciation right is exercisable at the time or times and under the restrictions and conditions that the Compensation Committee determines in its discretion; provided, however, that no stock appreciation right will be exercisable after the expiration of 10 years from the date the stock appreciation right is granted. Stock appreciation rights granted in combination with options shall expire on the date the related options expire.</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Exercise price of stock appreciation rights</w:t>
      </w:r>
      <w:r>
        <w:rPr>
          <w:rFonts w:ascii="Arial" w:cs="Arial" w:eastAsia="Arial" w:hAnsi="Arial"/>
          <w:sz w:val="18"/>
          <w:szCs w:val="18"/>
          <w:color w:val="auto"/>
        </w:rPr>
        <w:t>. The Compensation Committee determines the exercise price of each stock appreciation right. However,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each stock appreciation right granted in combination with a stock option will be the same as the exercise price of the related stock option. The exercise price per share of a freestanding stock appreciation right will not be less than the fair market value of a share of stock on the date the right is granted.</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Description of restricted stock awards</w:t>
      </w:r>
      <w:r>
        <w:rPr>
          <w:rFonts w:ascii="Arial" w:cs="Arial" w:eastAsia="Arial" w:hAnsi="Arial"/>
          <w:sz w:val="18"/>
          <w:szCs w:val="18"/>
          <w:color w:val="auto"/>
        </w:rPr>
        <w:t>. The Compensation Committee may approve a restricted stock award in the form of either a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bonus, restricted stock purchase right or restricted stock unit. A restricted stock bonus is a grant of stock which does not generally require payment of any monetary purchase price, a restricted stock purchase right is an award which permits the Equity Incentive Plan participant to elect during a short period of time to purchase a specified number of shares at a specified price, and a restricted stock unit is simply a promise by us to issue shares at or after vesting of the units.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purchase price for shares of stock issuable under a restricted stock purchase right is established by the Compensation Committee in its discretion. Generally, no monetary payment is required for the issuance of shares under a restricted stock bonus award or a restricted stock unit award, the consideration for which will be services already rendered by the Equity Incentive Plan participant. However, a participant granted a restricted stock bonus or a restricted stock unit award may be required to furnish consideration in the form of cash or past services rendered in the amount of the par value of the shares subject to the award. Generally, the vesting of restricted stock awards will cease upon termination of the participant. The Compensation Committee, in its discretion, can determine the period during which a participant may exercise its restricted stock purchase right, though such period cannot exceed 30 days from the date of grant of the award.</w:t>
      </w:r>
    </w:p>
    <w:p>
      <w:pPr>
        <w:spacing w:after="0" w:line="18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Description of performance awards</w:t>
      </w:r>
      <w:r>
        <w:rPr>
          <w:rFonts w:ascii="Arial" w:cs="Arial" w:eastAsia="Arial" w:hAnsi="Arial"/>
          <w:sz w:val="16"/>
          <w:szCs w:val="16"/>
          <w:color w:val="auto"/>
        </w:rPr>
        <w:t>. Performance awards may be granted in the form of either performance shares or performance units. These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contractual rights that provide the holder with a payment in shares or cash if certain performance goals established by the Compensation Committee are attained within a specified time period. The Compensation Committee decides, in its discretion, whether or not a participant will be granted a performance award, and if so, the type of award, the number of performance shares or units subject to the award, the applicable performance goals and the performance period. The number of performance shares or performance units a participant is awarded is set forth in an award agreement.</w:t>
      </w:r>
    </w:p>
    <w:p>
      <w:pPr>
        <w:spacing w:after="0" w:line="15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initial value of each performance share and performance unit will be determined by the Compensation Committee. Generally, the initial value of a performance share will be equal to the fair market value of one share of our common stock on the date of grant and the initial value of each performance unit will be a monetary value established by the Compensation Committee at the time of grant. The ultimate value of a performance award depends on the extent to which performance goals established by the Compensation Committee are attained and, in the case of performance shares, the fair market value of our common stock at the time payment is made under the award.</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Performance goals are established by the Compensation Committee based on targets to be obtained with respect to one or more measures of business or financial performance during the performance period specified by the Compensation Committee. Once a performance goal is established, it cannot be changed during the performance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Measurement of performance goals. </w:t>
      </w:r>
      <w:r>
        <w:rPr>
          <w:rFonts w:ascii="Arial" w:cs="Arial" w:eastAsia="Arial" w:hAnsi="Arial"/>
          <w:sz w:val="16"/>
          <w:szCs w:val="16"/>
          <w:color w:val="auto"/>
        </w:rPr>
        <w:t>The Equity Incentive Plan sets forth performance measures used in the case of an award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under Section 162(m). To qualify as a “performance-based,” the number of shares or other benefits granted, issued, retainable or vested under an award may be made subject to the attainment of performance goals for a specified period of time relating to one or more of the following performance measures, either individually, alternatively or in any combination, applied to either us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Compensation Committee in the award: (i) revenue, (ii) 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 (xiii) operating cash flow, (xiv) balance of cash, cash equivalents and marketable securities, (xv) stock price, (xvi) earnings per share, (xvii) return on stockholder equity, (xviii) return on capital, (xix) return on assets, (xx) return on investment, (xxi) employee satisfaction, (xxii) employee retention, (xxiii) market share, (xxiv) customer satisfaction, (xxv) product development, (xxvi) research and development expenses, (xxvii) completion of an identified special project, or (xxviii) completion of a joint venture or other corporate transaction.</w:t>
      </w:r>
    </w:p>
    <w:p>
      <w:pPr>
        <w:spacing w:after="0" w:line="16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Cash-based awards and other stock-based awards. </w:t>
      </w:r>
      <w:r>
        <w:rPr>
          <w:rFonts w:ascii="Arial" w:cs="Arial" w:eastAsia="Arial" w:hAnsi="Arial"/>
          <w:sz w:val="16"/>
          <w:szCs w:val="16"/>
          <w:color w:val="auto"/>
        </w:rPr>
        <w:t>The Compensation Committee may grant cash-based awards or other stock-based awards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subject to such terms and conditions as the Compensation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Compensation Committee. A participant will have no voting rights with respect to any such award unless and until shares are issued pursuant to the award. The Compensation Committee may grant dividend equivalent rights with respect to other stock-based awards. The effect on such awards of the participant’s termination of service will be determined by the Compensation Committee and set forth in the participant’s award agreement.</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Nonemployee director awards</w:t>
      </w:r>
      <w:r>
        <w:rPr>
          <w:rFonts w:ascii="Arial" w:cs="Arial" w:eastAsia="Arial" w:hAnsi="Arial"/>
          <w:sz w:val="16"/>
          <w:szCs w:val="16"/>
          <w:color w:val="auto"/>
        </w:rPr>
        <w:t>. The Equity Incentive Plan authorizes the Compensation Committee to establish a program of periodic awards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These awards may take the form of nonstatutory stock options, stock appreciation rights, restricted stock awards or restricted stock unit awards. Nonemployee director awards are to be granted on a periodic, nondiscriminatory basis. They may consist of a basic award granted to all nonemployee directors, with additions for one or more of the following: (i) initial election or appointment to our Board of Directors; (ii) service on a committee of our Board of Directors; and (iii) service as chairman of our Board of Directors. Only members of the Board of Directors who are not employees at the time of grant will be eligible to participate in the non-employee director awards component of the Equity Incentive Plan. The Board of Directors or the Compensation Committee will set the amount and type of non-employee director awards to be awarded on a periodic, non-discriminatory basis. Under our current nonemployee director compensation plan, upon joining our Board of Directors, new non-employee directors receive an award of restricted stock under the Equity Incentive Plan valued at $20,000,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the Equity Incentive Plan valued at $75,000 on the date of grant. The restricted stock grants to our non-employee directors are made after our annual meeting of stockholders each year and vest on the earlier of the one year anniversary of the date of grant or immediately prior to the next year’s annual meeting of stockholders, subject to acceleration in the event of a change in control.</w:t>
      </w:r>
    </w:p>
    <w:p>
      <w:pPr>
        <w:spacing w:after="0" w:line="17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Effect of change in control</w:t>
      </w:r>
      <w:r>
        <w:rPr>
          <w:rFonts w:ascii="Arial" w:cs="Arial" w:eastAsia="Arial" w:hAnsi="Arial"/>
          <w:sz w:val="18"/>
          <w:szCs w:val="18"/>
          <w:color w:val="auto"/>
        </w:rPr>
        <w:t>. In the event of a change in control, as described in the Equity Incentive Plan, the acquiring or successor entity may assume</w:t>
      </w:r>
      <w:r>
        <w:rPr>
          <w:rFonts w:ascii="Arial" w:cs="Arial" w:eastAsia="Arial" w:hAnsi="Arial"/>
          <w:sz w:val="18"/>
          <w:szCs w:val="18"/>
          <w:i w:val="1"/>
          <w:iCs w:val="1"/>
          <w:color w:val="auto"/>
        </w:rPr>
        <w:t xml:space="preserve"> </w:t>
      </w:r>
      <w:r>
        <w:rPr>
          <w:rFonts w:ascii="Arial" w:cs="Arial" w:eastAsia="Arial" w:hAnsi="Arial"/>
          <w:sz w:val="18"/>
          <w:szCs w:val="18"/>
          <w:color w:val="auto"/>
        </w:rPr>
        <w:t>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Equity Incentive Plan will continue in effect until its termination by the Compensation Committee, provided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awards may be granted under the Equity Incentive Plan following September 26, 2018, the tenth anniversary of the Equity Incentive Plan’s effective date. The Compensation Committee may amend, suspend or terminate the Equity Incentive Plan at any time, provided that no amendment may be made without stockholder approval that would increase the maximum aggregate number of shares of stock authorized for issuance under the Equity Incentive Plan, change the class of persons eligible to receive incentive stock options or require stockholder approval under any applicable law. No amendment, suspension or termination of the Equity Incentive Plan may affect any outstanding award unless expressly provided by the administrator, and, in any event, may not have a materially adverse effect an outstanding award without the consent of the participant unless necessary to comply with applicable law.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121" w:lineRule="exact"/>
        <w:rPr>
          <w:sz w:val="20"/>
          <w:szCs w:val="20"/>
          <w:color w:val="auto"/>
        </w:rPr>
      </w:pPr>
    </w:p>
    <w:p>
      <w:pPr>
        <w:jc w:val="both"/>
        <w:ind w:right="240" w:firstLine="456"/>
        <w:spacing w:after="0" w:line="342" w:lineRule="auto"/>
        <w:rPr>
          <w:sz w:val="20"/>
          <w:szCs w:val="20"/>
          <w:color w:val="auto"/>
        </w:rPr>
      </w:pPr>
      <w:r>
        <w:rPr>
          <w:rFonts w:ascii="Arial" w:cs="Arial" w:eastAsia="Arial" w:hAnsi="Arial"/>
          <w:sz w:val="16"/>
          <w:szCs w:val="16"/>
          <w:color w:val="auto"/>
        </w:rPr>
        <w:t>The following summary is intended only as a general guide to the U.S. federal income tax consequences of participation in the Equity Incentive Plan and does not attempt to describe all possible federal or other tax consequences of such participation or tax consequences based on particular circumstances.</w:t>
      </w:r>
    </w:p>
    <w:p>
      <w:pPr>
        <w:spacing w:after="0" w:line="124"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An optionee who is granted an incentive stock option does not recognize taxable income at the time the option is granted or</w:t>
      </w:r>
      <w:r>
        <w:rPr>
          <w:rFonts w:ascii="Arial" w:cs="Arial" w:eastAsia="Arial" w:hAnsi="Arial"/>
          <w:sz w:val="17"/>
          <w:szCs w:val="17"/>
          <w:i w:val="1"/>
          <w:iCs w:val="1"/>
          <w:color w:val="auto"/>
        </w:rPr>
        <w:t xml:space="preserve"> </w:t>
      </w:r>
      <w:r>
        <w:rPr>
          <w:rFonts w:ascii="Arial" w:cs="Arial" w:eastAsia="Arial" w:hAnsi="Arial"/>
          <w:sz w:val="17"/>
          <w:szCs w:val="17"/>
          <w:color w:val="auto"/>
        </w:rPr>
        <w:t>upon its exercise, although the exercise may subject the optionee to the alternative minimum tax. Upon a disposition of the shares more than two years after grant of the option and one year after exercise of the option, any gain or loss is treated as long-term capital gain or loss. If these holding periods are not satisfied, the optionee recognizes ordinary income at the time of disposition equal to the difference between the exercise price and the lower of (i) the fair market value of the shares at the date of the option exercise or (ii) the sale price of the shares. Any gain or loss recognized on such a premature disposition of the shares in excess of the amount treated as ordinary income is treated as long-term or short-term capital gain or loss, depending on the holding period. We are entitled to a deduction in the same amount as the ordinary income recognized by the optionee.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An optionee does not recognize any taxable income at the time he or she is granted a nonstatutory stock option.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optionee recognizes taxable income generally measured by the excess of the then fair market value of the shares over the exercise price. Any taxable income recognized in connection with an option exercise by our employee is subject to tax withholding by us. We are generally entitled to a deduction in the same amount as the ordinary income recognized by the optionee, except to the extent such deduction is limited by applicable provisions of the Code. Upon a disposition of such shares by the optionee, any difference between the sale price and the optionee’s exercise price, to the extent not recognized as taxable income as provided above, is treated as long-term or short-term capital gain or loss, depending on the holding period.</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taxable income is reportable when a stock appreciation right is granted to a participant. Upon exercise, the participant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in an amount equal to the amount of cash received and the fair market value of any shares received. If the participant is an employee, such ordinary income generally is subject to withholding of income and employment taxes. Any additional gain or loss recognized upon any later disposition of the shares would be capital gain or loss. We generally should be entitled to a deduction equal to the amount of ordinary income recognized by the participant in connection with the exercise of the stock appreciation right, except to the extent such deduction is limited by applicable provisions of the Code.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participant acquiring restricted stock generally will recognize ordinary income equal to the excess of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Restricted stock unit, performance shares and units, cash-based and other stock-based awards</w:t>
      </w:r>
      <w:r>
        <w:rPr>
          <w:rFonts w:ascii="Arial" w:cs="Arial" w:eastAsia="Arial" w:hAnsi="Arial"/>
          <w:sz w:val="17"/>
          <w:szCs w:val="17"/>
          <w:color w:val="auto"/>
        </w:rPr>
        <w:t>. A participant generally will recognize no income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receipt of a restricted stock unit, performance share, performance unit, unpaid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receives shares of restricted stock, the participant generally will be taxed in the same manner as described above under “Restricted stock awards.” Upon the sale of any shares received, any gain or loss, based on the difference between the sale price and the fair market value of the shares on the determination date (as defined above under “Restricted stock awards”),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participant will recognize taxable income upon receipt of the payment of a dividend equivalent in cash or substantially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stock.</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Section 162(m) of the Code would render non-deductible to us certain compensation in excess of $1,000,000 received in any year by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executive officers unless such excess is “performance-based compensation” (as defined in the Code) or is otherwise exempt from Section 162(m). The availability of the exemption for awards of performance-based compensation depends upon obtaining approval of certain material terms of the Equity Incentive Plan by our stockholders. Provided we obtain the approval of our stockholders of this proposal, grants of options and stock appreciation rights, and grants of restricted stock awards, restricted stock units and performance awards conditioned on attainment of one or more performance goals set forth in the Equity Incentive Plan, may qualify as performance-based compensation exempt from Section 162(m).</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Certain awards granted under the Equity Incentive Plan may be deemed to constitute deferred compensation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and must satisfy the requirements of Section 409A to avoid adverse tax consequences to participants who receive such awards. These requirements include limitations on election timing, acceleration of payments, and distributions. We intend to structure any deferrals and awards under the Equity Incentive Plan to meet the applicable tax law requirements.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AMENDMENT TO 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 xml:space="preserve">On December 21, 2015, the Delaware Court of Chancery issued an opinion in </w:t>
      </w:r>
      <w:r>
        <w:rPr>
          <w:rFonts w:ascii="Arial" w:cs="Arial" w:eastAsia="Arial" w:hAnsi="Arial"/>
          <w:sz w:val="17"/>
          <w:szCs w:val="17"/>
          <w:i w:val="1"/>
          <w:iCs w:val="1"/>
          <w:color w:val="auto"/>
        </w:rPr>
        <w:t>In re VAALCO Energy, Inc. Stockholder Litigation</w:t>
      </w:r>
      <w:r>
        <w:rPr>
          <w:rFonts w:ascii="Arial" w:cs="Arial" w:eastAsia="Arial" w:hAnsi="Arial"/>
          <w:sz w:val="17"/>
          <w:szCs w:val="17"/>
          <w:color w:val="auto"/>
        </w:rPr>
        <w:t>, Consol. C.A.</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11775-VCL, invalidating as a matter of law provisions of the certificate of incorporation and bylaws of VAALCO Energy, Inc., a Delaware corporation, that permitted the removal of VAALCO’s directors by its stockholders only for cause. The Court of Chancery held that, in the absence of a classified board or cumulative voting, VAALCO’s “only for cause” director removal provisions conflicted with Section 141(k) of the Delaware General Corporation Law and were therefore invalid.</w:t>
      </w:r>
    </w:p>
    <w:p>
      <w:pPr>
        <w:spacing w:after="0" w:line="19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do not currently have a classified board or provide for cumulative voting. Currently, Article III, Section 3.5 of the Company’s Third Amended and Restated Bylaws (the “Bylaws”) thus properly provides that directors may be removed by the stockholders “with or without cause.” To the contrary, Article VI, Section C of the Company’s Amended and Restated Certificate of Incorporation (the “Certificate of Incorporation”) provides that directors may be removed by the stockholders only “for cause.” In light of the Court of Chancery’s decision, and in order to eliminate this inconsistency in the Company’s governing documents, the Board has determined that it is advisable and in the best interests of the Company and its stockholders to amend Article VI of the Certificate of Incorporation to eliminate Section C (the “Amendment”).</w:t>
      </w:r>
    </w:p>
    <w:p>
      <w:pPr>
        <w:spacing w:after="0" w:line="178"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have never attempted to enforce and, in light of the VAALCO decision, we have determined that we will not attempt to enforce, the director removal provision in the Certificate of Incorporation to the extent that it purports to limit removal of directors by stockholders only for cause.</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If the stockholders approve the proposed Amendment, it will become effective upon the filing of a certificate of amendment setting forth the Amendment with the Secretary of State of the State of Delaware (the “State Office”). For convenience, a marked copy of the certificate of amendment, showing the elimination of Section C from the existing language in Article VI is attached to this Proxy Statement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The Board reserves the right to abandon or delay the filing of the Amendment even if it is approved by our stockholders.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the Amendment is approved and filed, the Company will file a Second Amended and Restated Certificate of Incorporation, which only restates and integrates but does not further amend the provisions of the Certificate of Incorporation, with the State Office.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approval of the Amendment.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 until the next required vote on the frequency of such Say-On-Pay votes.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Compensation Discussion and Analysis section starting on page 29 of this proxy statement for a detailed discussion about our executive compensation programs, including information about the fiscal year 2015 compensation of our named executive officers.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Compensation Discussion and Analysis section starting on page 29 of this proxy statement provides a more detailed discussion of our executive compensation program. We believe that the compensation program we follow helps us achieve our principal compensation objectives.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vote solicited by this Proposal No. 5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5:</w:t>
      </w:r>
    </w:p>
    <w:p>
      <w:pPr>
        <w:spacing w:after="0" w:line="225"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2016 Annual Meeting of Stockholders.”</w:t>
      </w:r>
    </w:p>
    <w:p>
      <w:pPr>
        <w:spacing w:after="0" w:line="177"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2016.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2016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2016.</w:t>
      </w:r>
    </w:p>
    <w:p>
      <w:pPr>
        <w:spacing w:after="0" w:line="18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66"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For the years ended December 31, 2015 and 2014,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Services Rendered</w:t>
            </w:r>
          </w:p>
        </w:tc>
        <w:tc>
          <w:tcPr>
            <w:tcW w:w="3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9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$560,000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$497,181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70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497,181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34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 Fees in 2015 and 2014 relate to services rendered for the audits of our annual consolidated financial statements, for the review of our quarterly financial statements, and for services that are normally provided by the auditor in connection with statutory and regulatory filings or engagements.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2015 and 2014 were approved by our Audit Committee.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Our Audit Committee is composed of three members, each of whom the Board has determined to be an independent director as defined by the listing standards of the Nasdaq Stock Market and the federal securities laws. The duties of the Audit Committee are summarized in this proxy statement under “Committees of Our Board of Directors” on page 4 and are more fully described in the Audit Committee charter adopted by the Board of Directors.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2015, with management;</w:t>
      </w:r>
    </w:p>
    <w:p>
      <w:pPr>
        <w:spacing w:after="0" w:line="46" w:lineRule="exact"/>
        <w:rPr>
          <w:sz w:val="20"/>
          <w:szCs w:val="20"/>
          <w:color w:val="auto"/>
        </w:rPr>
      </w:pPr>
    </w:p>
    <w:p>
      <w:pPr>
        <w:ind w:right="200" w:firstLine="8"/>
        <w:spacing w:after="0" w:line="253"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discussed with our Company’s independent registered public accounting firm the matters required to be discussed by Public Company Oversight Board (PCAOB) Auditing Standard Number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(c)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19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2015, for filing with the Securities and Exchange Commission.</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17"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Bradley A. Casper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Kevin F. Warren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Brent D. Richardson, our Chairman, and Brian E. Mueller, a director and our Chief Executive Officer and President of Grand Canyon University,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Age</w:t>
            </w:r>
          </w:p>
        </w:tc>
        <w:tc>
          <w:tcPr>
            <w:tcW w:w="4760" w:type="dxa"/>
            <w:vAlign w:val="bottom"/>
          </w:tcPr>
          <w:p>
            <w:pPr>
              <w:ind w:left="8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12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89"/>
              </w:rPr>
              <w:t>55</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Operating Officer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Daniel E. Bachus</w:t>
            </w:r>
          </w:p>
        </w:tc>
        <w:tc>
          <w:tcPr>
            <w:tcW w:w="3120" w:type="dxa"/>
            <w:vAlign w:val="bottom"/>
          </w:tcPr>
          <w:p>
            <w:pPr>
              <w:jc w:val="center"/>
              <w:ind w:left="1054"/>
              <w:spacing w:after="0"/>
              <w:rPr>
                <w:sz w:val="20"/>
                <w:szCs w:val="20"/>
                <w:color w:val="auto"/>
              </w:rPr>
            </w:pPr>
            <w:r>
              <w:rPr>
                <w:rFonts w:ascii="Arial" w:cs="Arial" w:eastAsia="Arial" w:hAnsi="Arial"/>
                <w:sz w:val="18"/>
                <w:szCs w:val="18"/>
                <w:color w:val="auto"/>
                <w:w w:val="89"/>
              </w:rPr>
              <w:t>45</w:t>
            </w:r>
          </w:p>
        </w:tc>
        <w:tc>
          <w:tcPr>
            <w:tcW w:w="4760" w:type="dxa"/>
            <w:vAlign w:val="bottom"/>
          </w:tcPr>
          <w:p>
            <w:pPr>
              <w:ind w:left="880"/>
              <w:spacing w:after="0"/>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12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89"/>
              </w:rPr>
              <w:t>62</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Information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Brian M. Roberts</w:t>
            </w:r>
          </w:p>
        </w:tc>
        <w:tc>
          <w:tcPr>
            <w:tcW w:w="3120" w:type="dxa"/>
            <w:vAlign w:val="bottom"/>
          </w:tcPr>
          <w:p>
            <w:pPr>
              <w:jc w:val="center"/>
              <w:ind w:left="1054"/>
              <w:spacing w:after="0"/>
              <w:rPr>
                <w:sz w:val="20"/>
                <w:szCs w:val="20"/>
                <w:color w:val="auto"/>
              </w:rPr>
            </w:pPr>
            <w:r>
              <w:rPr>
                <w:rFonts w:ascii="Arial" w:cs="Arial" w:eastAsia="Arial" w:hAnsi="Arial"/>
                <w:sz w:val="18"/>
                <w:szCs w:val="18"/>
                <w:color w:val="auto"/>
                <w:w w:val="89"/>
              </w:rPr>
              <w:t>43</w:t>
            </w:r>
          </w:p>
        </w:tc>
        <w:tc>
          <w:tcPr>
            <w:tcW w:w="4760" w:type="dxa"/>
            <w:vAlign w:val="bottom"/>
          </w:tcPr>
          <w:p>
            <w:pPr>
              <w:ind w:left="880"/>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 xml:space="preserve">Dr. W. Stan Meyer </w:t>
      </w:r>
      <w:r>
        <w:rPr>
          <w:rFonts w:ascii="Arial" w:cs="Arial" w:eastAsia="Arial" w:hAnsi="Arial"/>
          <w:sz w:val="17"/>
          <w:szCs w:val="17"/>
          <w:color w:val="auto"/>
        </w:rPr>
        <w:t>has been serving as our Chief Operating Officer since July 26, 2012, having previously served in the position of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June 2008 to July 2012. Dr. Meyer has been serving as a Director of the Grand Canyon University Foundation, a foundation formed to benefit public charities, since its formation in 2010 and as a director of LOPE Kingdom Fund, an entity formed to provide seed funding for entrepreneurial ventures initiated by Grand Canyon University students, since its formation in 2014.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Mr. Bachus has been serving as a Director of the Grand Canyon</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Foundation since its formation in 2010 and as a director of LOPE Kingdom Fund, an entity formed to provide seed funding for entrepreneurial ventures initiated by Grand Canyon University students, since its formation in 2014.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 September 2009. From 1998 to September 2009, Mr. Mildenhall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Brian M. Roberts </w:t>
      </w:r>
      <w:r>
        <w:rPr>
          <w:rFonts w:ascii="Arial" w:cs="Arial" w:eastAsia="Arial" w:hAnsi="Arial"/>
          <w:sz w:val="18"/>
          <w:szCs w:val="18"/>
          <w:color w:val="auto"/>
        </w:rPr>
        <w:t>has been serving as our Senior Vice President and General Counsel since May 2012 and as our Secretary since July 2012. Mr.</w:t>
      </w:r>
      <w:r>
        <w:rPr>
          <w:rFonts w:ascii="Arial" w:cs="Arial" w:eastAsia="Arial" w:hAnsi="Arial"/>
          <w:sz w:val="18"/>
          <w:szCs w:val="18"/>
          <w:i w:val="1"/>
          <w:iCs w:val="1"/>
          <w:color w:val="auto"/>
        </w:rPr>
        <w:t xml:space="preserve"> </w:t>
      </w:r>
      <w:r>
        <w:rPr>
          <w:rFonts w:ascii="Arial" w:cs="Arial" w:eastAsia="Arial" w:hAnsi="Arial"/>
          <w:sz w:val="18"/>
          <w:szCs w:val="18"/>
          <w:color w:val="auto"/>
        </w:rPr>
        <w:t>Roberts has been serving as a director of LOPE Kingdom Fund, an entity formed to provide seed funding for entrepreneurial ventures initiated by Grand Canyon University students, since its formation in 2014. From August 2003 to May 2012, Mr. Roberts was employed by iGo, Inc., a publicly traded developer of electronics accessories, including serving as general counsel and secretary in charge of all legal functions since May 2005. From September 1998 to August 2003, Mr. Roberts was an attorney with the law firm of Snell &amp; Wilmer L.L.P. Mr. Roberts received a Bachelor of Science degree in Business Administration and a Juris Doctorate from the University of Kansas.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comprehensive regionally accredited university that offers approximately 200 graduate and undergraduate degree programs and certificates across eight colleges both online and on ground at our approximately 250-acre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utilize an integrated, innovative approach to marketing, recruiting, and retaining both traditional-aged students attending on our campus in Phoenix, Arizona and working adult students attending on our campus or at off-site locations in cohorts (referred to by us as professional studies students) or online, which has enabled us to increase enrollment to approximately 74,500 students at December 31, 2015. At December 31, 2015, 79.6% of our students were enrolled in our online programs, and, of our working adult students (online and professional studies students), 47.8% were pursuing masters or doctoral degrees.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2015, we continued to increase the number of students in attendance at our expanding traditional ground campus. Our Fall 2015 ground enrollment was 15,500 students.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We plan to increase enrollment growth for our traditional campus over the next few years, and seek to have 17,500 ground students in attendance at the beginning of our 2016-2017 academic year.</w:t>
      </w:r>
    </w:p>
    <w:p>
      <w:pPr>
        <w:spacing w:after="0" w:line="19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7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Since 2010, our industry has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 At the same time, we believe that competition for students continues to increase, as an increasing number of traditional colleges and universities and community colleges, including many with well-established reputations for excellence, now offer distance learning and other online education programs, including programs that are geared towards the needs of working adult students. This trend has been accelerated by private companies that provide marketing, enrollment and student support services and/or manage online learning platforms for working adult students at traditional colleges and universities which we believe has resulted in declines in enrollment at most of the other publicly traded education companies.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senior management has guided our Company through these changes while still producing very positive financial results.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Net revenue increased 12.6% to $778.2 million for the year ended December 31, 2015, compared to $691.1 million for the same period in 2014.</w:t>
      </w:r>
    </w:p>
    <w:p>
      <w:pPr>
        <w:spacing w:after="0" w:line="153" w:lineRule="exact"/>
        <w:rPr>
          <w:rFonts w:ascii="Arial" w:cs="Arial" w:eastAsia="Arial" w:hAnsi="Arial"/>
          <w:sz w:val="16"/>
          <w:szCs w:val="16"/>
          <w:b w:val="1"/>
          <w:bCs w:val="1"/>
          <w:color w:val="auto"/>
        </w:rPr>
      </w:pPr>
    </w:p>
    <w:p>
      <w:pPr>
        <w:ind w:left="900" w:right="200" w:hanging="446"/>
        <w:spacing w:after="0" w:line="342" w:lineRule="auto"/>
        <w:tabs>
          <w:tab w:leader="none" w:pos="9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Operating income for the year ended December 31, 2015 was $210.4 million, an increase of 16.3% as compared to $180.8 million for the same period in 2014. The operating margin for the year ended December 31, 2015 was 27.0%, compared to 26.2% for the same period in 2014.</w:t>
      </w:r>
    </w:p>
    <w:p>
      <w:pPr>
        <w:spacing w:after="0" w:line="29" w:lineRule="exact"/>
        <w:rPr>
          <w:rFonts w:ascii="Arial" w:cs="Arial" w:eastAsia="Arial" w:hAnsi="Arial"/>
          <w:sz w:val="16"/>
          <w:szCs w:val="16"/>
          <w:b w:val="1"/>
          <w:bCs w:val="1"/>
          <w:color w:val="auto"/>
        </w:rPr>
      </w:pPr>
    </w:p>
    <w:p>
      <w:pPr>
        <w:ind w:left="900" w:right="100" w:hanging="446"/>
        <w:spacing w:after="0" w:line="277"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Adjusted EBITDA increased 15.5% to $263.1 million for the year ended December 31, 2015, compared to $227.8 million for the same period in 2014.</w:t>
      </w:r>
    </w:p>
    <w:p>
      <w:pPr>
        <w:spacing w:after="0" w:line="75" w:lineRule="exact"/>
        <w:rPr>
          <w:rFonts w:ascii="Arial" w:cs="Arial" w:eastAsia="Arial" w:hAnsi="Arial"/>
          <w:sz w:val="18"/>
          <w:szCs w:val="18"/>
          <w:b w:val="1"/>
          <w:bCs w:val="1"/>
          <w:color w:val="auto"/>
        </w:rPr>
      </w:pPr>
    </w:p>
    <w:p>
      <w:pPr>
        <w:ind w:left="900" w:hanging="446"/>
        <w:spacing w:after="0" w:line="264"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tax rate in the year ended December 31, 2015 was 37.1% compared to 38.0% for the same period in 2014. The tax rate for 2015 is lower than the prior year due to state tax apportionment and rate changes. The tax rate for both periods is less than the annual effective tax rates due to the contributions made in lieu of state income taxes in the third quarter of both years.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Net income increased 17.9% to $131.4 million for the year ended December 31, 2015, compared to $111.5 million for the same period in 2014.</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$2.78 for the year ended December 31, 2015, compared to $2.37 for the same period in 2014.</w:t>
      </w:r>
    </w:p>
    <w:p>
      <w:pPr>
        <w:spacing w:after="0" w:line="22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Data, </w:t>
      </w:r>
      <w:r>
        <w:rPr>
          <w:rFonts w:ascii="Arial" w:cs="Arial" w:eastAsia="Arial" w:hAnsi="Arial"/>
          <w:sz w:val="18"/>
          <w:szCs w:val="18"/>
          <w:color w:val="auto"/>
        </w:rPr>
        <w:t>beginning on page 44 of our Annual Report on Form 10-K for the fiscal year ended December 31, 2015,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February 17,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had positive non-financial developments in 2015, including:</w:t>
      </w:r>
    </w:p>
    <w:p>
      <w:pPr>
        <w:spacing w:after="0" w:line="131" w:lineRule="exact"/>
        <w:rPr>
          <w:sz w:val="20"/>
          <w:szCs w:val="20"/>
          <w:color w:val="auto"/>
        </w:rPr>
      </w:pPr>
    </w:p>
    <w:p>
      <w:pPr>
        <w:ind w:left="900" w:right="160" w:hanging="446"/>
        <w:spacing w:after="0" w:line="30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Continued Program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Fall of 2014, Grand Canyon University launched the College of Science, Engineering and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rolling out programs in computer science and information technology. In the Fall of 2015, three engineering programs, Electrical Engineering, Bio-medical Engineering and Mechanical Engineering began. In total the University now offers approximately 200 graduate and undergraduate degree programs and certificates across eight colleges with over 30 new programs or emphases rolled out in 2015.</w:t>
      </w:r>
    </w:p>
    <w:p>
      <w:pPr>
        <w:spacing w:after="0" w:line="5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Our capital expenditures in 2015 of $204.7 million were primarily related to the expansion of our approximately 250-acre</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campus in Phoenix, Arizona and significant investments in technology innovation to support our students and staff. In order to accommodate the continued growth of the traditional ground population, we completed four additional dormitories, an additional classroom building for the College of Science, Engineering and Technology and a third parking structure for the 2015/2016 school year and recently started construction on three more apartment style residence halls, a 170,000 square foot classroom building for our College of Science, Engineering and Technology, a student service center and a fourth parking structure. In addition, we acquired approximately 25 acres of land adjacent to or near campus for future development. Included in off-site development during 2015 is $10.0 million we spent to revitalize what was formerly known as the Maryvale Golf Course under a partnership agreement with the City of Phoenix. The golf course is now known as Grand Canyon University Championship golf course. These investments are intended to support our growing on-campus student population as well as enhance the brand of Grand Canyon University. Also, in late 2015, we commenced construction on an off-site office building and parking garage that is in close proximity to our ground traditional campus. Employees that work in two leased office buildings in the Phoenix area will be consolidated into this new building when it’s expected to be completed in late 2016. Although we are funding the construction of the building and parking garage, we are marketing these, along with a recently refurbished office building in the same development, as part of a sale-leaseback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Community Involvement and the Public Good</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we announced a five-point plan to restore west Phoenix through the following initiatives</w:t>
      </w:r>
    </w:p>
    <w:p>
      <w:pPr>
        <w:spacing w:after="0" w:line="46" w:lineRule="exact"/>
        <w:rPr>
          <w:rFonts w:ascii="Arial" w:cs="Arial" w:eastAsia="Arial" w:hAnsi="Arial"/>
          <w:sz w:val="16"/>
          <w:szCs w:val="16"/>
          <w:color w:val="auto"/>
        </w:rPr>
      </w:pPr>
    </w:p>
    <w:p>
      <w:pPr>
        <w:ind w:left="900" w:right="20"/>
        <w:spacing w:after="0" w:line="268" w:lineRule="auto"/>
        <w:rPr>
          <w:rFonts w:ascii="Arial" w:cs="Arial" w:eastAsia="Arial" w:hAnsi="Arial"/>
          <w:sz w:val="16"/>
          <w:szCs w:val="16"/>
          <w:color w:val="auto"/>
        </w:rPr>
      </w:pPr>
      <w:r>
        <w:rPr>
          <w:rFonts w:ascii="Arial" w:cs="Arial" w:eastAsia="Arial" w:hAnsi="Arial"/>
          <w:sz w:val="17"/>
          <w:szCs w:val="17"/>
          <w:color w:val="auto"/>
        </w:rPr>
        <w:t>(a) a unique partnership with Habitat for Humanity to repair hundreds of homes in our neighborhood; (b) an ongoing initiative with the Phoenix Police Department to improve public safety; (c) the creation of jobs and commerce on the main campus and along the Camelback Road corridor in West Phoenix; (d) the development of a trained workforce in the areas of science, technology, engineering and mathematics; and (e) the continued support of K-12 students at neighborhood schools via our Outreach Program. Our students are serving as tutors and mentors to these high school students and the results thus far have been extremely positive. We continue to be involved in more than 120 community events and projects throughout the year, helping organizations such as the Phoenix Dream Center, Feed My Starving Children, Hopefest, Arizona Foster Care, Phoenix Rescue Mission, Boy/Girl Scouts, Goodwill Arizona, Muscular Dystrophy Association, Young Life and Elevate Phoenix. We also put on popular gift drives at Christmas and Easter to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w:t>
      </w:r>
    </w:p>
    <w:p>
      <w:pPr>
        <w:spacing w:after="0" w:line="85" w:lineRule="exact"/>
        <w:rPr>
          <w:rFonts w:ascii="Arial" w:cs="Arial" w:eastAsia="Arial" w:hAnsi="Arial"/>
          <w:sz w:val="16"/>
          <w:szCs w:val="16"/>
          <w:color w:val="auto"/>
        </w:rPr>
      </w:pPr>
    </w:p>
    <w:p>
      <w:pPr>
        <w:ind w:left="900" w:right="120" w:hanging="446"/>
        <w:spacing w:after="0" w:line="273"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Quality of Student Body</w:t>
      </w:r>
      <w:r>
        <w:rPr>
          <w:rFonts w:ascii="Arial" w:cs="Arial" w:eastAsia="Arial" w:hAnsi="Arial"/>
          <w:sz w:val="17"/>
          <w:szCs w:val="17"/>
          <w:color w:val="auto"/>
        </w:rPr>
        <w:t>. Not only has our enrollment grown over the past year, we believe the quality of our student body has as well.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incoming grade point average of our admitted traditional students was approximately 3.5. Approximately 70% of all traditional students are studying in our STEM and Colangelo College of Business programs. The pass rates of our nursing, health care professionals and teacher education students on national exams continue to be high. Our students are being accepted into prestigious medical, dental, veterinary and pharmacy schools around the country. In addition, the percentage of our working adult students studying in graduate programs as well as degree completer bachelor programs such as the RN-BSN program continues to grow.</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held stockholder advisory votes on the compensation of our named executive officers, commonly referred to as a Say-on-Pay vote, at each of our past five annual meetings of stockholders and, in each case, our stockholders approved the compensation of our named executive officers by wide margins. As we evaluated our compensation practices for 2015 and into 2016 in light of such votes, we gave great consideration to the strong support our stockholders expressed for our current compensation philosophy and practices. As a result, our Compensation Committee retained our general approach to executive compensation in 2015 and into 2016, as discussed below.</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continued practices that are considered standard for good corporate governance and executive compensation, including:</w:t>
      </w:r>
    </w:p>
    <w:p>
      <w:pPr>
        <w:spacing w:after="0" w:line="9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Strong alignment between company-wide performance and payouts under our annual cash incentive plan (“Annual Cash Incentive Plan”);</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stock-based awards are subject to five-year vesting periods, with 20% of each grant vesting annually on each of the first five anniversaries of the date of grant;</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2015 appropriately reflected the economic and regulatory environments, the performance of the Company and the relationship with market compensation necessary to retain and motivate our executives, and that the continuation of these practices in 2016 is appropriate given the continued regulatory, economic and competitive challenges that we expect to face.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2015 Executive Compensation</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our principal financial officer, and our three other most highly compensated executive officers whose total compensation for the fiscal year ended December 31, 2015, was in excess of $100,000 and who were serving as executive officers at the end of that fiscal year.</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2015, the numerical and related information contained in the summary compensation and related tables presented below, and actions we have taken regarding executive compensation since the end of our 2015 fiscal year. Specifically, this Compensation Discussion and Analysis addresses:</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1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131" w:lineRule="exact"/>
        <w:rPr>
          <w:sz w:val="20"/>
          <w:szCs w:val="20"/>
          <w:color w:val="auto"/>
        </w:rPr>
      </w:pPr>
    </w:p>
    <w:p>
      <w:pPr>
        <w:ind w:left="900" w:right="34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 compensation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 should foster an innovative, high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2015, our named executive officers’ total in-service compensation consisted of base salaries,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compensation, and other benefits generally available to all employees. With regard to these components, we adhere to the following compensation policies:</w:t>
      </w:r>
    </w:p>
    <w:p>
      <w:pPr>
        <w:spacing w:after="0" w:line="87" w:lineRule="exact"/>
        <w:rPr>
          <w:sz w:val="20"/>
          <w:szCs w:val="20"/>
          <w:color w:val="auto"/>
        </w:rPr>
      </w:pPr>
    </w:p>
    <w:p>
      <w:pPr>
        <w:ind w:left="900" w:right="46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 providing the opportunity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92"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Base salaries should generally be the largest component of cash compensation</w:t>
      </w:r>
      <w:r>
        <w:rPr>
          <w:rFonts w:ascii="Arial" w:cs="Arial" w:eastAsia="Arial" w:hAnsi="Arial"/>
          <w:sz w:val="16"/>
          <w:szCs w:val="16"/>
          <w:color w:val="auto"/>
        </w:rPr>
        <w:t>. Our compensation programs generally reflect our view that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5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Annual Cash Incentive Plan, bonuses paid to our named executive officers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overall company financial performance, but are subject to reduction based on the Compensation Committee’s assessment of the particular named executive officer’s personal performance and contribution to our overall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i w:val="1"/>
          <w:iCs w:val="1"/>
          <w:color w:val="auto"/>
        </w:rPr>
        <w:t xml:space="preserve">Elements of In-Service Compensation. </w:t>
      </w:r>
      <w:r>
        <w:rPr>
          <w:rFonts w:ascii="Arial" w:cs="Arial" w:eastAsia="Arial" w:hAnsi="Arial"/>
          <w:sz w:val="17"/>
          <w:szCs w:val="17"/>
          <w:color w:val="auto"/>
        </w:rPr>
        <w:t>For our 2015 fiscal year, our executive compensation mix included base salaries, cash bonuses,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benefits generally available to all employees. We seek to compensate our named executive officers at levels that eliminate the need for material perquisites and enable each individual officer to provide for his or her own needs, and in 2015, we did not provide any perquisites to our named executive officers. We generally determine the nature and amount of each element of compensation as follows:</w:t>
      </w:r>
    </w:p>
    <w:p>
      <w:pPr>
        <w:spacing w:after="0" w:line="77" w:lineRule="exact"/>
        <w:rPr>
          <w:sz w:val="20"/>
          <w:szCs w:val="20"/>
          <w:color w:val="auto"/>
        </w:rPr>
      </w:pPr>
    </w:p>
    <w:p>
      <w:pPr>
        <w:ind w:left="900" w:hanging="446"/>
        <w:spacing w:after="0" w:line="25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The amount of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97"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year. For 2015, we awarded performance-related bonuses under our Annual Cash Incentive Plan. The operation of this plan as it relates to our named executive officers is described in more detail below.</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currently have authorized a total of 12,167,127 shares of common stock for grants under our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2015, our named executive officers received grants of restricted stock under this plan as part of an overall, annual equity incentive grant made to Company employees.</w:t>
      </w:r>
    </w:p>
    <w:p>
      <w:pPr>
        <w:spacing w:after="0" w:line="86"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 and future health and security needs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Elements of Post-Termination Compensation and Benefits. </w:t>
      </w:r>
      <w:r>
        <w:rPr>
          <w:rFonts w:ascii="Arial" w:cs="Arial" w:eastAsia="Arial" w:hAnsi="Arial"/>
          <w:sz w:val="17"/>
          <w:szCs w:val="17"/>
          <w:color w:val="auto"/>
        </w:rPr>
        <w:t>The employment agreements of our named executive officers provide for post-termination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2015 pursuant to the written employment agreements consisted of the following:</w:t>
      </w:r>
    </w:p>
    <w:p>
      <w:pPr>
        <w:spacing w:after="0" w:line="84" w:lineRule="exact"/>
        <w:rPr>
          <w:sz w:val="20"/>
          <w:szCs w:val="20"/>
          <w:color w:val="auto"/>
        </w:rPr>
      </w:pPr>
    </w:p>
    <w:p>
      <w:pPr>
        <w:ind w:left="900" w:right="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termination of employment.</w:t>
      </w:r>
    </w:p>
    <w:p>
      <w:pPr>
        <w:spacing w:after="0" w:line="75"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 100% of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target bonus for the year in which such termination occurs, with such amount also payable over twelve (12) months following any qualifying termination of employment.</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 for continued group health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COBRA during the salary continuation period.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 partial acceleration of the vesting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or restricted stock awards to the next vesting date immediately following the date of termination, in the event of a termination by us without Cause or by the executive for Good Reason.</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 12</w:t>
      </w:r>
      <w:r>
        <w:rPr>
          <w:rFonts w:ascii="Arial" w:cs="Arial" w:eastAsia="Arial" w:hAnsi="Arial"/>
          <w:sz w:val="18"/>
          <w:szCs w:val="18"/>
          <w:i w:val="1"/>
          <w:iCs w:val="1"/>
          <w:color w:val="auto"/>
        </w:rPr>
        <w:t xml:space="preserve"> </w:t>
      </w:r>
      <w:r>
        <w:rPr>
          <w:rFonts w:ascii="Arial" w:cs="Arial" w:eastAsia="Arial" w:hAnsi="Arial"/>
          <w:sz w:val="18"/>
          <w:szCs w:val="18"/>
          <w:color w:val="auto"/>
        </w:rPr>
        <w:t>months following a Change in Control, each named executive officer would receive full acceleration of the vesting of their outstanding stock options or restricted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Under the Annual Cash Incentive Plan as in effect for 2015,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2015,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 </w:t>
      </w:r>
      <w:r>
        <w:rPr>
          <w:rFonts w:ascii="Arial" w:cs="Arial" w:eastAsia="Arial" w:hAnsi="Arial"/>
          <w:sz w:val="17"/>
          <w:szCs w:val="17"/>
          <w:color w:val="auto"/>
        </w:rPr>
        <w:t>beginning on page 44 of our Annual Report on Form 10-K for the fiscal year ended December 31, 2015 for information regarding our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calculation of Adjusted EBITDA. As such, we believe it is fair and reasonable to our executives to assess their individual performance on the same basis as our performance is assessed by our Board of Directors and investors.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 bonus, with the resulting amount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participant, may include achieving objectives related to, among other things, program development and expansion, regulatory compliance, student retention and academic outcomes.</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i w:val="1"/>
          <w:iCs w:val="1"/>
          <w:color w:val="auto"/>
        </w:rPr>
        <w:t>Calculation of bonuses</w:t>
      </w:r>
      <w:r>
        <w:rPr>
          <w:rFonts w:ascii="Arial" w:cs="Arial" w:eastAsia="Arial" w:hAnsi="Arial"/>
          <w:sz w:val="17"/>
          <w:szCs w:val="17"/>
          <w:color w:val="auto"/>
        </w:rPr>
        <w:t>. For each named executive officer, the Compensation Committee establishes a target bonus, which is stated as a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named executive officer’s base salary. For 2015, the target bonus percentages for the named executive officers were as follows:</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100" w:type="dxa"/>
            <w:vAlign w:val="bottom"/>
            <w:gridSpan w:val="3"/>
          </w:tcPr>
          <w:p>
            <w:pPr>
              <w:jc w:val="center"/>
              <w:ind w:left="3473"/>
              <w:spacing w:after="0"/>
              <w:rPr>
                <w:sz w:val="20"/>
                <w:szCs w:val="20"/>
                <w:color w:val="auto"/>
              </w:rPr>
            </w:pPr>
            <w:r>
              <w:rPr>
                <w:rFonts w:ascii="Arial" w:cs="Arial" w:eastAsia="Arial" w:hAnsi="Arial"/>
                <w:sz w:val="14"/>
                <w:szCs w:val="14"/>
                <w:b w:val="1"/>
                <w:bCs w:val="1"/>
                <w:color w:val="auto"/>
                <w:w w:val="90"/>
              </w:rPr>
              <w:t>Target Bonus as a</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30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CCEEFF"/>
            </w:tcBorders>
            <w:vMerge w:val="continue"/>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0"/>
              </w:rPr>
              <w:t>Brian</w:t>
            </w:r>
          </w:p>
        </w:tc>
        <w:tc>
          <w:tcPr>
            <w:tcW w:w="2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3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510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5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510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5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780" w:type="dxa"/>
            <w:vAlign w:val="bottom"/>
          </w:tcPr>
          <w:p>
            <w:pPr>
              <w:jc w:val="right"/>
              <w:ind w:right="2393"/>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95% of both the revenue and Adjusted EBITDA goals. Assuming both of these thresholds are achieved, payouts are made based on the Company’s achievement of a minimum of 95% of both the revenue goal and Adjusted EBITDA goal (resulting in a bonus of 50% of the target bonus) and a maximum of 105% of the revenue goal and 107% of the Adjusted EBITDA goal (resulting in a bonus of 150% of the target bonus). Performance between minimum and maximum levels results in prorated payments using straight-line interpolation.</w:t>
      </w:r>
    </w:p>
    <w:p>
      <w:pPr>
        <w:sectPr>
          <w:pgSz w:w="11900" w:h="16838" w:orient="portrait"/>
          <w:cols w:equalWidth="0" w:num="1">
            <w:col w:w="11420"/>
          </w:cols>
          <w:pgMar w:left="240" w:top="459" w:right="239" w:bottom="1440" w:gutter="0" w:footer="0" w:header="0"/>
        </w:sectPr>
      </w:pP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Shown below is a summary of the matrix described above:</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Goal</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goal</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Bonus payout as a % of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426"/>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 of goal</w:t>
            </w:r>
          </w:p>
        </w:tc>
      </w:tr>
      <w:tr>
        <w:trPr>
          <w:trHeight w:val="431"/>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 of goal</w:t>
            </w: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-702310</wp:posOffset>
            </wp:positionV>
            <wp:extent cx="6080125"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80125" cy="28321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-136525</wp:posOffset>
            </wp:positionV>
            <wp:extent cx="60801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459" w:right="239" w:bottom="1440" w:gutter="0" w:footer="0" w:header="0"/>
          <w:type w:val="continuous"/>
        </w:sectPr>
      </w:pPr>
    </w:p>
    <w:p>
      <w:pPr>
        <w:spacing w:after="0" w:line="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2015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(50% of the revenue component) plus $75,000 (100% of the Adjusted EBITDA component).</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Changes to performance goals and target awards</w:t>
      </w:r>
      <w:r>
        <w:rPr>
          <w:rFonts w:ascii="Arial" w:cs="Arial" w:eastAsia="Arial" w:hAnsi="Arial"/>
          <w:sz w:val="18"/>
          <w:szCs w:val="18"/>
          <w:color w:val="auto"/>
        </w:rPr>
        <w:t>. In accordance with the terms of the Annual Cash Incentive Plan, at any time prior to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2"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i w:val="1"/>
          <w:iCs w:val="1"/>
          <w:color w:val="auto"/>
        </w:rPr>
        <w:t xml:space="preserve">2015 financial goals. </w:t>
      </w:r>
      <w:r>
        <w:rPr>
          <w:rFonts w:ascii="Arial" w:cs="Arial" w:eastAsia="Arial" w:hAnsi="Arial"/>
          <w:sz w:val="17"/>
          <w:szCs w:val="17"/>
          <w:color w:val="auto"/>
        </w:rPr>
        <w:t>The following table shows the company-wide financial goals established for the named executive officers for 2015.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were selected based upon a combination of the Company’s internal budget and analyst estimates, which the Board of Directors believes establishes an appropriate level at which to set goals in order to maximize the incentive for superior performance.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Threshold</w:t>
            </w: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(105% of Goal for</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Revenue/107% of Goal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(95% of Goal)</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(100% of Goal)</w:t>
            </w:r>
          </w:p>
        </w:tc>
        <w:tc>
          <w:tcPr>
            <w:tcW w:w="280" w:type="dxa"/>
            <w:vAlign w:val="bottom"/>
          </w:tcPr>
          <w:p>
            <w:pPr>
              <w:spacing w:after="0"/>
              <w:rPr>
                <w:sz w:val="14"/>
                <w:szCs w:val="1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for Adjusted EBITDA)</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$732,450,000</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$771,000,000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3440" w:type="dxa"/>
            <w:vAlign w:val="bottom"/>
            <w:gridSpan w:val="3"/>
          </w:tcPr>
          <w:p>
            <w:pPr>
              <w:jc w:val="right"/>
              <w:ind w:right="600"/>
              <w:spacing w:after="0"/>
              <w:rPr>
                <w:sz w:val="20"/>
                <w:szCs w:val="20"/>
                <w:color w:val="auto"/>
              </w:rPr>
            </w:pPr>
            <w:r>
              <w:rPr>
                <w:rFonts w:ascii="Arial" w:cs="Arial" w:eastAsia="Arial" w:hAnsi="Arial"/>
                <w:sz w:val="18"/>
                <w:szCs w:val="18"/>
                <w:color w:val="auto"/>
              </w:rPr>
              <w:t>241,256,300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253,954,000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271,730,780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040" w:type="dxa"/>
            <w:vAlign w:val="bottom"/>
          </w:tcPr>
          <w:p>
            <w:pPr>
              <w:spacing w:after="0"/>
              <w:rPr>
                <w:sz w:val="24"/>
                <w:szCs w:val="24"/>
                <w:color w:val="auto"/>
              </w:rPr>
            </w:pPr>
          </w:p>
        </w:tc>
        <w:tc>
          <w:tcPr>
            <w:tcW w:w="2840" w:type="dxa"/>
            <w:vAlign w:val="bottom"/>
            <w:gridSpan w:val="2"/>
          </w:tcPr>
          <w:p>
            <w:pPr>
              <w:jc w:val="right"/>
              <w:ind w:right="922"/>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Actual performance vs. compensation paid for 2015</w:t>
      </w:r>
      <w:r>
        <w:rPr>
          <w:rFonts w:ascii="Arial" w:cs="Arial" w:eastAsia="Arial" w:hAnsi="Arial"/>
          <w:sz w:val="17"/>
          <w:szCs w:val="17"/>
          <w:color w:val="auto"/>
        </w:rPr>
        <w:t>. For 2015, the Company achieved revenue of $778.2 million, which is equal to 101.0% of target,</w:t>
      </w:r>
      <w:r>
        <w:rPr>
          <w:rFonts w:ascii="Arial" w:cs="Arial" w:eastAsia="Arial" w:hAnsi="Arial"/>
          <w:sz w:val="17"/>
          <w:szCs w:val="17"/>
          <w:i w:val="1"/>
          <w:iCs w:val="1"/>
          <w:color w:val="auto"/>
        </w:rPr>
        <w:t xml:space="preserve"> </w:t>
      </w:r>
      <w:r>
        <w:rPr>
          <w:rFonts w:ascii="Arial" w:cs="Arial" w:eastAsia="Arial" w:hAnsi="Arial"/>
          <w:sz w:val="17"/>
          <w:szCs w:val="17"/>
          <w:color w:val="auto"/>
        </w:rPr>
        <w:t>and Adjusted EBITDA of $265.0 million (excluding certain adjustments), which is equal to 104.4% of target, resulting in performance payout percentages equal to 109.3% for the revenue component of the target bonus and 131.0% for the Adjusted EBITDA component of the target bonus. Accordingly, the named executive officers achieved incentive bonuses equal to the following percentages of their base salaries: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Adjusted</w:t>
            </w: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2015 Bonus as</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2015 Bonus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Revenue</w:t>
            </w:r>
          </w:p>
        </w:tc>
        <w:tc>
          <w:tcPr>
            <w:tcW w:w="14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EBITDA</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00" w:type="dxa"/>
            <w:vAlign w:val="bottom"/>
            <w:gridSpan w:val="2"/>
            <w:vMerge w:val="restart"/>
          </w:tcPr>
          <w:p>
            <w:pPr>
              <w:jc w:val="center"/>
              <w:ind w:left="1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vMerge w:val="restart"/>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Base</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66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Payout (%)</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Payout (%)</w:t>
            </w:r>
          </w:p>
        </w:tc>
        <w:tc>
          <w:tcPr>
            <w:tcW w:w="6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Salary($)</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 Mueller</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$771,363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90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$337,922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9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0"/>
              </w:rPr>
              <w:t>$337,922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90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$192,841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9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0"/>
              </w:rPr>
              <w:t>$150,188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00" w:hanging="452"/>
        <w:spacing w:after="0" w:line="28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Compensation Committee’s historical practice has been to analyze named executive officer base salaries during the first half of the fiscal year and make adjustments, if any, with effect from July 1 of such year. Accordingly, the actual bonus paid as a percentage of fiscal year end base salary may be slightly lower than implied by the bonus percentage listed above, reflecting the fact that there were 27 pay periods in 2015.</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2015 individual goals</w:t>
      </w:r>
      <w:r>
        <w:rPr>
          <w:rFonts w:ascii="Arial" w:cs="Arial" w:eastAsia="Arial" w:hAnsi="Arial"/>
          <w:sz w:val="17"/>
          <w:szCs w:val="17"/>
          <w:color w:val="auto"/>
        </w:rPr>
        <w:t>. The individual performance goals applicable to the named executive officers in 2015 focused on each executive’s achievement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one or more objectives that related to their specific duties and responsibilities on behalf of the Company. For Dr. Meyer, Mr. Bachus, Mr. Mildenhall, and Mr. Roberts, one individual performance goal was to manage their individual departments within budget. The individual performance goals for Mr. Mueller, Dr. Meyer, and Mr. Bachus included continuing to work on initiatives to increase the percentage of students studying in high retention rate programs, expanding public good projects in our surrounding neighborhoods and developing campus infrastructure. The individual performance goals for Mr. Mueller, Dr. Meyer and Mr. Bachus also included participation in a specified number of investor conferences and/or investor meetings. Dr. Meyer’s individual performance goals included demonstrating leadership over key functional areas such as facilities, security and the athletics department.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learning management system and overseeing the relationship with CampusVue to ensure continued improvement are made to the product to eliminate manual processes. Mr. Roberts individual performance goals included Company compliance with regulatory and Securities and Exchange Commission rules and regulations and timely resolution to litigation matters. Based on each individual named executive officer’s achievement or substantial achievement of their individual performance goals, and in light of the superior financial performance achieved by the Company in 2015,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increases on each subsequent January 1 through 2018 by an amount equal to the smaller of (a) 2.5% of the number of shares of common stock issued and outstanding on the immediately preceding December 31, or (b) a lesser amount determined by our Board of Directors. As of January 1, 2015, we had authorized and reserved a total of 12,167,127 shares under the Equity Incentive Plan. The Compensation Committee elected to decline the increase that would have gone into effect as of January 1, 2016, leaving the number of shares of common stock authorized for issuance under the Incentive Plan at 12,167,127. Shares subject to awards that expire or are cancelled or forfeited are available for issuance under the Equity Incentive Plan. The shares available are not reduced by awards settled in cash or by shares withheld to satisfy tax withholding obligations. Only the net number of shares issued upon the exercise of options exercised by means of a net exercise or by tender of previously owned shares are deducted from the shares available under the Equity Incentive Plan.</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2015, with respect to shares of our common stock that may be issued under our existing equity compensation plans: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to be</w:t>
            </w: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issued upon exercise</w:t>
            </w:r>
          </w:p>
        </w:tc>
        <w:tc>
          <w:tcPr>
            <w:tcW w:w="10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options,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rights</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Securityholders</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2,219,522</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5,331,140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Securityholders</w:t>
            </w:r>
          </w:p>
        </w:tc>
        <w:tc>
          <w:tcPr>
            <w:tcW w:w="2080" w:type="dxa"/>
            <w:vAlign w:val="bottom"/>
            <w:gridSpan w:val="2"/>
          </w:tcPr>
          <w:p>
            <w:pPr>
              <w:jc w:val="right"/>
              <w:ind w:right="80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2,219,522</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5,331,140</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Only members of the Board of Directors who are not employees at the time of grant are eligible to participate in the non-employee director awards component of the Equity Incentive Plan. The Board of Directors, based on the recommendation of the Compensation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without cause or for good reason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31" w:lineRule="exact"/>
        <w:rPr>
          <w:sz w:val="20"/>
          <w:szCs w:val="20"/>
          <w:color w:val="auto"/>
        </w:rPr>
      </w:pPr>
    </w:p>
    <w:p>
      <w:pPr>
        <w:ind w:left="900" w:right="3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awards, must be approved by the Compensation Committee;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The executive compensation services that Mercer provided to the Compensation Committee included providing market benchmark information and advising on changes to executive officer and non-employee director compensation levels. Mercer did not perform any compensation consulting services during 2015, although they have been engaged to provide compensation consulting services for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Our stockholders are being asked to approve the performance criteria within our Equity Incentive Plan and our Annual Cash Incentive Plan at our 2016 annual meeting in accordance with Section 162(m) (having previously approved such criteria at the 2011 annual meeting).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Grants of equity awards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2015 were reasonable and appropriate and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1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29" w:lineRule="exact"/>
        <w:rPr>
          <w:sz w:val="20"/>
          <w:szCs w:val="20"/>
          <w:color w:val="auto"/>
        </w:rPr>
      </w:pPr>
    </w:p>
    <w:p>
      <w:pPr>
        <w:ind w:left="900" w:right="28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29" w:lineRule="exact"/>
        <w:rPr>
          <w:rFonts w:ascii="Arial" w:cs="Arial" w:eastAsia="Arial" w:hAnsi="Arial"/>
          <w:sz w:val="16"/>
          <w:szCs w:val="16"/>
          <w:color w:val="auto"/>
        </w:rPr>
      </w:pPr>
    </w:p>
    <w:p>
      <w:pPr>
        <w:ind w:left="900" w:right="840" w:hanging="446"/>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1"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the Equity Incentive Plan all vest in annual increments over a period of five years, which we believe discourages excessive or inappropriate short-term risk taking.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table sets forth the total compensation earned for services rendered by our principal executive officer, our principal financial officer, and our three other most highly compensated executive officers whose total compensation for the fiscal year ended December 31, 2015 was in excess of $100,000 and who were serving as executive officers at the end of that fiscal year. The listed individuals are referred to herein as the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Non-Equity</w:t>
            </w: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continue"/>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3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(4)</w:t>
            </w: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8"/>
              </w:rPr>
              <w:t>Brian E. Mueller</w:t>
            </w:r>
          </w:p>
        </w:tc>
        <w:tc>
          <w:tcPr>
            <w:tcW w:w="40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2015</w:t>
            </w: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$666,692</w:t>
            </w: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$1,578,375</w:t>
            </w: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$771,363</w:t>
            </w:r>
          </w:p>
        </w:tc>
        <w:tc>
          <w:tcPr>
            <w:tcW w:w="3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3,564</w:t>
            </w: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$3,019,994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 Director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635,862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1,592,520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920,307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Executive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1,622,025</w:t>
            </w: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906,660</w:t>
            </w:r>
          </w:p>
        </w:tc>
        <w:tc>
          <w:tcPr>
            <w:tcW w:w="4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11,443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3,161,128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Dr. W. Stan Meyer</w:t>
            </w: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389,423</w:t>
            </w:r>
          </w:p>
        </w:tc>
        <w:tc>
          <w:tcPr>
            <w:tcW w:w="300" w:type="dxa"/>
            <w:vAlign w:val="bottom"/>
          </w:tcPr>
          <w:p>
            <w:pPr>
              <w:spacing w:after="0"/>
              <w:rPr>
                <w:sz w:val="17"/>
                <w:szCs w:val="17"/>
                <w:color w:val="auto"/>
              </w:rPr>
            </w:pPr>
          </w:p>
        </w:tc>
        <w:tc>
          <w:tcPr>
            <w:tcW w:w="11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841,800</w:t>
            </w: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337,922</w:t>
            </w:r>
          </w:p>
        </w:tc>
        <w:tc>
          <w:tcPr>
            <w:tcW w:w="400" w:type="dxa"/>
            <w:vAlign w:val="bottom"/>
          </w:tcPr>
          <w:p>
            <w:pPr>
              <w:spacing w:after="0"/>
              <w:rPr>
                <w:sz w:val="17"/>
                <w:szCs w:val="17"/>
                <w:color w:val="auto"/>
              </w:rPr>
            </w:pPr>
          </w:p>
        </w:tc>
        <w:tc>
          <w:tcPr>
            <w:tcW w:w="7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7,077</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1,576,222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371,273</w:t>
            </w:r>
          </w:p>
        </w:tc>
        <w:tc>
          <w:tcPr>
            <w:tcW w:w="3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403,172</w:t>
            </w:r>
          </w:p>
        </w:tc>
        <w:tc>
          <w:tcPr>
            <w:tcW w:w="4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7,797</w:t>
            </w:r>
          </w:p>
        </w:tc>
        <w:tc>
          <w:tcPr>
            <w:tcW w:w="860" w:type="dxa"/>
            <w:vAlign w:val="bottom"/>
          </w:tcPr>
          <w:p>
            <w:pPr>
              <w:jc w:val="right"/>
              <w:spacing w:after="0"/>
              <w:rPr>
                <w:sz w:val="20"/>
                <w:szCs w:val="20"/>
                <w:color w:val="auto"/>
              </w:rPr>
            </w:pPr>
            <w:r>
              <w:rPr>
                <w:rFonts w:ascii="Arial" w:cs="Arial" w:eastAsia="Arial" w:hAnsi="Arial"/>
                <w:sz w:val="18"/>
                <w:szCs w:val="18"/>
                <w:color w:val="auto"/>
              </w:rPr>
              <w:t>1,631,586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362,250</w:t>
            </w:r>
          </w:p>
        </w:tc>
        <w:tc>
          <w:tcPr>
            <w:tcW w:w="30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865,080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396,664</w:t>
            </w:r>
          </w:p>
        </w:tc>
        <w:tc>
          <w:tcPr>
            <w:tcW w:w="4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15,511</w:t>
            </w:r>
          </w:p>
        </w:tc>
        <w:tc>
          <w:tcPr>
            <w:tcW w:w="860" w:type="dxa"/>
            <w:vAlign w:val="bottom"/>
          </w:tcPr>
          <w:p>
            <w:pPr>
              <w:jc w:val="right"/>
              <w:spacing w:after="0"/>
              <w:rPr>
                <w:sz w:val="20"/>
                <w:szCs w:val="20"/>
                <w:color w:val="auto"/>
              </w:rPr>
            </w:pPr>
            <w:r>
              <w:rPr>
                <w:rFonts w:ascii="Arial" w:cs="Arial" w:eastAsia="Arial" w:hAnsi="Arial"/>
                <w:sz w:val="18"/>
                <w:szCs w:val="18"/>
                <w:color w:val="auto"/>
              </w:rPr>
              <w:t>1,639,505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841,800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337,922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371,273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403,172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Financial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362,250</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865,080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396,664</w:t>
            </w:r>
          </w:p>
        </w:tc>
        <w:tc>
          <w:tcPr>
            <w:tcW w:w="4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Joseph N. Mildenhall</w:t>
            </w: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333,346</w:t>
            </w:r>
          </w:p>
        </w:tc>
        <w:tc>
          <w:tcPr>
            <w:tcW w:w="300" w:type="dxa"/>
            <w:vAlign w:val="bottom"/>
          </w:tcPr>
          <w:p>
            <w:pPr>
              <w:spacing w:after="0"/>
              <w:rPr>
                <w:sz w:val="17"/>
                <w:szCs w:val="17"/>
                <w:color w:val="auto"/>
              </w:rPr>
            </w:pPr>
          </w:p>
        </w:tc>
        <w:tc>
          <w:tcPr>
            <w:tcW w:w="11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841,800</w:t>
            </w: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192,841</w:t>
            </w:r>
          </w:p>
        </w:tc>
        <w:tc>
          <w:tcPr>
            <w:tcW w:w="400" w:type="dxa"/>
            <w:vAlign w:val="bottom"/>
          </w:tcPr>
          <w:p>
            <w:pPr>
              <w:spacing w:after="0"/>
              <w:rPr>
                <w:sz w:val="17"/>
                <w:szCs w:val="17"/>
                <w:color w:val="auto"/>
              </w:rPr>
            </w:pPr>
          </w:p>
        </w:tc>
        <w:tc>
          <w:tcPr>
            <w:tcW w:w="7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2,146</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1,370,133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317,931</w:t>
            </w:r>
          </w:p>
        </w:tc>
        <w:tc>
          <w:tcPr>
            <w:tcW w:w="3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230,077</w:t>
            </w:r>
          </w:p>
        </w:tc>
        <w:tc>
          <w:tcPr>
            <w:tcW w:w="4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2,146</w:t>
            </w:r>
          </w:p>
        </w:tc>
        <w:tc>
          <w:tcPr>
            <w:tcW w:w="860" w:type="dxa"/>
            <w:vAlign w:val="bottom"/>
          </w:tcPr>
          <w:p>
            <w:pPr>
              <w:jc w:val="right"/>
              <w:spacing w:after="0"/>
              <w:rPr>
                <w:sz w:val="20"/>
                <w:szCs w:val="20"/>
                <w:color w:val="auto"/>
              </w:rPr>
            </w:pPr>
            <w:r>
              <w:rPr>
                <w:rFonts w:ascii="Arial" w:cs="Arial" w:eastAsia="Arial" w:hAnsi="Arial"/>
                <w:sz w:val="18"/>
                <w:szCs w:val="18"/>
                <w:color w:val="auto"/>
              </w:rPr>
              <w:t>1,399,498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310,500</w:t>
            </w:r>
          </w:p>
        </w:tc>
        <w:tc>
          <w:tcPr>
            <w:tcW w:w="30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865,050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226,665</w:t>
            </w:r>
          </w:p>
        </w:tc>
        <w:tc>
          <w:tcPr>
            <w:tcW w:w="4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6,903</w:t>
            </w:r>
          </w:p>
        </w:tc>
        <w:tc>
          <w:tcPr>
            <w:tcW w:w="860" w:type="dxa"/>
            <w:vAlign w:val="bottom"/>
          </w:tcPr>
          <w:p>
            <w:pPr>
              <w:jc w:val="right"/>
              <w:spacing w:after="0"/>
              <w:rPr>
                <w:sz w:val="20"/>
                <w:szCs w:val="20"/>
                <w:color w:val="auto"/>
              </w:rPr>
            </w:pPr>
            <w:r>
              <w:rPr>
                <w:rFonts w:ascii="Arial" w:cs="Arial" w:eastAsia="Arial" w:hAnsi="Arial"/>
                <w:sz w:val="18"/>
                <w:szCs w:val="18"/>
                <w:color w:val="auto"/>
              </w:rPr>
              <w:t>1,409,148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841,800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150,188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260,385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179,367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480,600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102,200</w:t>
            </w:r>
          </w:p>
        </w:tc>
        <w:tc>
          <w:tcPr>
            <w:tcW w:w="4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52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reflect the base salary cash payments made in each year. The named executive officers last pay increase was in April 2014. There were 27 payrolls in the 2015 calendar year, resulting in one additional pay period in 2015.</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the restricted stock awards granted in 2015, 2014 and 2013.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2015, 2014, and 2013 fiscal years are set forth in Notes 2 and 14 to our financial statements for the fiscal year ended December 31, 2015 included in our 2015 Annual Report on Form 10-K.</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w:t>
      </w:r>
    </w:p>
    <w:p>
      <w:pPr>
        <w:spacing w:after="0" w:line="9" w:lineRule="exact"/>
        <w:rPr>
          <w:rFonts w:ascii="Arial" w:cs="Arial" w:eastAsia="Arial" w:hAnsi="Arial"/>
          <w:sz w:val="18"/>
          <w:szCs w:val="18"/>
          <w:color w:val="auto"/>
        </w:rPr>
      </w:pPr>
    </w:p>
    <w:p>
      <w:pPr>
        <w:ind w:left="460" w:right="260" w:hanging="452"/>
        <w:spacing w:after="0" w:line="32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2015, 2014, and 2013, the amounts in this column include company paid life insurance premiums for all named executive officers. For Dr. Meyer, Mr. Mildenhall, and Mr. Roberts, the amounts in this column also reflect matching payments made by the Company under our 401(k)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Grants of Plan-Based Awards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Equity Incentive Plan for the fiscal year ended December 31, 2015 to each of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93"/>
              </w:rPr>
              <w:t>Estimated Future Payouts Under Non-</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7"/>
            <w:vMerge w:val="continue"/>
          </w:tcPr>
          <w:p>
            <w:pPr>
              <w:spacing w:after="0"/>
              <w:rPr>
                <w:sz w:val="12"/>
                <w:szCs w:val="12"/>
                <w:color w:val="auto"/>
              </w:rPr>
            </w:pPr>
          </w:p>
        </w:tc>
        <w:tc>
          <w:tcPr>
            <w:tcW w:w="8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tcBorders>
              <w:bottom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4"/>
              </w:rPr>
              <w:t>Equity Incentive Plan Awards(1)</w:t>
            </w:r>
          </w:p>
        </w:tc>
        <w:tc>
          <w:tcPr>
            <w:tcW w:w="280" w:type="dxa"/>
            <w:vAlign w:val="bottom"/>
          </w:tcPr>
          <w:p>
            <w:pPr>
              <w:spacing w:after="0"/>
              <w:rPr>
                <w:sz w:val="12"/>
                <w:szCs w:val="12"/>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3"/>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Maximum($</w:t>
            </w:r>
            <w:r>
              <w:rPr>
                <w:rFonts w:ascii="Arial" w:cs="Arial" w:eastAsia="Arial" w:hAnsi="Arial"/>
                <w:sz w:val="14"/>
                <w:szCs w:val="14"/>
                <w:b w:val="1"/>
                <w:bCs w:val="1"/>
                <w:color w:val="auto"/>
              </w:rPr>
              <w:t>)</w:t>
            </w:r>
          </w:p>
        </w:tc>
        <w:tc>
          <w:tcPr>
            <w:tcW w:w="8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of Stock (#)</w:t>
            </w:r>
          </w:p>
        </w:tc>
        <w:tc>
          <w:tcPr>
            <w:tcW w:w="14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45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10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Mar. 18, 2015</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321,000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$642,000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963,000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$1,578,375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140,625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281,250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421,875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140,625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281,250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421,875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80,250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160,500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240,750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187,500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4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ind w:left="460" w:right="40" w:hanging="452"/>
        <w:spacing w:after="0" w:line="295"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2015.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2015 are set forth in Notes 2 and 14 to our financial statements for the fiscal year ended December 31, 2015 included in our 2015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Outstanding Equity Awards at Fiscal Year-End</w:t>
      </w:r>
    </w:p>
    <w:p>
      <w:pPr>
        <w:spacing w:after="0" w:line="11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Option Awards(1)</w:t>
            </w:r>
          </w:p>
        </w:tc>
        <w:tc>
          <w:tcPr>
            <w:tcW w:w="1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 Expiration</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Vested (2)</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38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30,000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11, 2021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$ 5,199,552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609,788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Dr. W. Stan Meyer</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64,000</w:t>
            </w:r>
          </w:p>
        </w:tc>
        <w:tc>
          <w:tcPr>
            <w:tcW w:w="11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16,000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69,120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2,773,094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241,315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64,000</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15.34</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169,128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Joseph N. Mildenhall</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22,900</w:t>
            </w:r>
          </w:p>
        </w:tc>
        <w:tc>
          <w:tcPr>
            <w:tcW w:w="11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16,000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74,720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2,997,766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25,000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17.03</w:t>
            </w:r>
          </w:p>
        </w:tc>
        <w:tc>
          <w:tcPr>
            <w:tcW w:w="1660" w:type="dxa"/>
            <w:vAlign w:val="bottom"/>
            <w:gridSpan w:val="2"/>
          </w:tcPr>
          <w:p>
            <w:pPr>
              <w:spacing w:after="0"/>
              <w:rPr>
                <w:sz w:val="20"/>
                <w:szCs w:val="20"/>
                <w:color w:val="auto"/>
              </w:rPr>
            </w:pPr>
            <w:r>
              <w:rPr>
                <w:rFonts w:ascii="Arial" w:cs="Arial" w:eastAsia="Arial" w:hAnsi="Arial"/>
                <w:sz w:val="18"/>
                <w:szCs w:val="18"/>
                <w:color w:val="auto"/>
              </w:rPr>
              <w:t>September 16, 2019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shares covered by the options granted to Mr. Mueller, Dr. Meyer, Mr. Bachus, and Mr. Mildenhall vest in five successive equal annual installments upon the completion of each year of service with us over the five year period measured from the respective date of grant, subject to fully accelerated vesting in the event of a termination of employment by us without cause or by the executive for good reason within 12 months following a change in control of the Company. Mr. Mueller, Dr. Meyer, Mr. Bachus and Mr. Mildenhall also receive partially accelerated vesting through the next vesting date immediately following the date of termination, upon the termination of employment by us without Cause or by the executive for Good Reason (as further discussed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hanging="452"/>
        <w:spacing w:after="0" w:line="297"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restricted stock awards granted to Mr. Mueller, Dr. Meyer, Mr. Bachus, Mr. Mildenhall, and Mr. Roberts vest in five successive equal annual installments upon the completion of each year of service with us over the five year period, subject to fully accelerated vesting in the event of a termination of employment without cause or by the executive for good reason within 12 months following a change in control of the Company. Mr. Mueller, Dr. Meyer, Mr. Bachus and Mr. Mildenhall also receive partial accelerated vesting through the next vesting date immediately following the date of termination, upon the termination of employment by us without Cause or by the executive for Good Reason (as further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Option Exercises and Stock Vested</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restricted stock awards made to our named executive officers that vested during the fiscal year ended December 31, 2015. Our named executive officers did not exercise any options during 2015.</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Restricted Stock Awards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gridSpan w:val="2"/>
          </w:tcPr>
          <w:p>
            <w:pPr>
              <w:jc w:val="right"/>
              <w:ind w:right="1020"/>
              <w:spacing w:after="0" w:line="119" w:lineRule="exact"/>
              <w:rPr>
                <w:sz w:val="20"/>
                <w:szCs w:val="20"/>
                <w:color w:val="auto"/>
              </w:rPr>
            </w:pPr>
            <w:r>
              <w:rPr>
                <w:rFonts w:ascii="Arial" w:cs="Arial" w:eastAsia="Arial" w:hAnsi="Arial"/>
                <w:sz w:val="13"/>
                <w:szCs w:val="13"/>
                <w:b w:val="1"/>
                <w:bCs w:val="1"/>
                <w:color w:val="auto"/>
                <w:w w:val="98"/>
              </w:rPr>
              <w:t>Number of Shares Acquired</w:t>
            </w:r>
          </w:p>
        </w:tc>
        <w:tc>
          <w:tcPr>
            <w:tcW w:w="4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274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on Vesting(#)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0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1,550,604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740" w:type="dxa"/>
            <w:vAlign w:val="bottom"/>
            <w:gridSpan w:val="2"/>
          </w:tcPr>
          <w:p>
            <w:pPr>
              <w:jc w:val="right"/>
              <w:ind w:right="1020"/>
              <w:spacing w:after="0"/>
              <w:rPr>
                <w:sz w:val="20"/>
                <w:szCs w:val="20"/>
                <w:color w:val="auto"/>
              </w:rPr>
            </w:pPr>
            <w:r>
              <w:rPr>
                <w:rFonts w:ascii="Arial" w:cs="Arial" w:eastAsia="Arial" w:hAnsi="Arial"/>
                <w:sz w:val="18"/>
                <w:szCs w:val="18"/>
                <w:color w:val="auto"/>
              </w:rPr>
              <w:t>18,080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826,989</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27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18,080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826,989</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Mr. Joseph N. Mildenhall</w:t>
            </w:r>
          </w:p>
        </w:tc>
        <w:tc>
          <w:tcPr>
            <w:tcW w:w="2740" w:type="dxa"/>
            <w:vAlign w:val="bottom"/>
            <w:gridSpan w:val="2"/>
          </w:tcPr>
          <w:p>
            <w:pPr>
              <w:jc w:val="right"/>
              <w:ind w:right="1020"/>
              <w:spacing w:after="0"/>
              <w:rPr>
                <w:sz w:val="20"/>
                <w:szCs w:val="20"/>
                <w:color w:val="auto"/>
              </w:rPr>
            </w:pPr>
            <w:r>
              <w:rPr>
                <w:rFonts w:ascii="Arial" w:cs="Arial" w:eastAsia="Arial" w:hAnsi="Arial"/>
                <w:sz w:val="18"/>
                <w:szCs w:val="18"/>
                <w:color w:val="auto"/>
              </w:rPr>
              <w:t>20,880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954,557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M. Roberts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521,405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We are party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On January 21, 2016, the Compensation Committee approved an amendment to the employment agreements for each of our named executive officers to re-set the term of each employment agreement, such that each agreement has been extended for an additional four-years through June 30, 2020. Except with respect to certain items of compensation, as described below, the terms of each agreement are similar in all material respects.</w:t>
      </w:r>
    </w:p>
    <w:p>
      <w:pPr>
        <w:spacing w:after="0" w:line="64" w:lineRule="exact"/>
        <w:rPr>
          <w:sz w:val="20"/>
          <w:szCs w:val="20"/>
          <w:color w:val="auto"/>
        </w:rPr>
      </w:pPr>
    </w:p>
    <w:p>
      <w:pPr>
        <w:ind w:left="900" w:right="1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Mr. Roberts provide for a base salary and a target bonus under our Annual Cash Incentive Plan.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87" w:lineRule="exact"/>
        <w:rPr>
          <w:sz w:val="20"/>
          <w:szCs w:val="20"/>
          <w:color w:val="auto"/>
        </w:rPr>
      </w:pPr>
    </w:p>
    <w:p>
      <w:pPr>
        <w:ind w:left="900" w:right="60" w:hanging="446"/>
        <w:spacing w:after="0" w:line="297"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severance payment in an amount equal to the sum of (i) twelve (12) months of the executive’s base salary then in effect on the date of termination date (except for Mr. Roberts, whose payments would be equivalent to six (6) months of his base salary), and (ii) for Mr. Mueller, Dr. Meyer, Mr. Bachus and Mr. Mildenhall,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63" w:lineRule="exact"/>
        <w:rPr>
          <w:rFonts w:ascii="Arial" w:cs="Arial" w:eastAsia="Arial" w:hAnsi="Arial"/>
          <w:sz w:val="16"/>
          <w:szCs w:val="16"/>
          <w:color w:val="auto"/>
        </w:rPr>
      </w:pPr>
    </w:p>
    <w:p>
      <w:pPr>
        <w:ind w:left="900" w:right="40" w:hanging="446"/>
        <w:spacing w:after="0" w:line="25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(except for Mr. Roberts whose payments would be for a period of six (6) months following his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93" w:lineRule="exact"/>
        <w:rPr>
          <w:rFonts w:ascii="Arial" w:cs="Arial" w:eastAsia="Arial" w:hAnsi="Arial"/>
          <w:sz w:val="18"/>
          <w:szCs w:val="18"/>
          <w:color w:val="auto"/>
        </w:rPr>
      </w:pPr>
    </w:p>
    <w:p>
      <w:pPr>
        <w:jc w:val="both"/>
        <w:ind w:left="900" w:right="42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18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w:t>
      </w:r>
    </w:p>
    <w:p>
      <w:pPr>
        <w:ind w:right="20" w:firstLine="8"/>
        <w:spacing w:after="0" w:line="268" w:lineRule="auto"/>
        <w:tabs>
          <w:tab w:leader="none" w:pos="3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2015, the last business day of fiscal year 2015.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4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rPr>
              <w:t>Termination without Cause or for Good Reason</w:t>
            </w:r>
          </w:p>
        </w:tc>
        <w:tc>
          <w:tcPr>
            <w:tcW w:w="32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Termination without Cause or for Good Reason</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440" w:type="dxa"/>
            <w:vAlign w:val="bottom"/>
            <w:gridSpan w:val="9"/>
            <w:vMerge w:val="continue"/>
          </w:tcPr>
          <w:p>
            <w:pPr>
              <w:spacing w:after="0"/>
              <w:rPr>
                <w:sz w:val="14"/>
                <w:szCs w:val="14"/>
                <w:color w:val="auto"/>
              </w:rPr>
            </w:pPr>
          </w:p>
        </w:tc>
        <w:tc>
          <w:tcPr>
            <w:tcW w:w="32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following a Change in Control</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Acceleration of</w:t>
            </w:r>
          </w:p>
        </w:tc>
        <w:tc>
          <w:tcPr>
            <w:tcW w:w="3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Acceleration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Benefits</w:t>
            </w:r>
          </w:p>
        </w:tc>
        <w:tc>
          <w:tcPr>
            <w:tcW w:w="1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Payment</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Benefits</w:t>
            </w: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Vesting of Shares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Payment</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and Options</w:t>
            </w:r>
          </w:p>
        </w:tc>
        <w:tc>
          <w:tcPr>
            <w:tcW w:w="1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and Options</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$ 1,284,000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$ 13,128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2,380,296</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$ 1,284,000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Dr. W. Stan Meyer</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656,250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15,841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1,269,491</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656,250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15,841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3,169,574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656,250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1,269,491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656,250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18,379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Joseph N. Mildenhall</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481,250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1,381,827</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481,250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137,500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Assumes a termination date of December 31, 2015, and is based on the executive’s salary and target bonus in effect at such date.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9"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2015 and the closing market price of our common stock on the Nasdaq Global Market on such date, less the applicable exercise price for each option for which vesting is accelerated.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Sara R. Dial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29, 2016 for:</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beneficial ownership in this table are based on 46,267,979 shares outstanding at February 29, 2016</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ind w:left="1160"/>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4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Amount and Nature of</w:t>
            </w: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Percent of Class</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Beneficial Ownership</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3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5,057,995</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 – 23-1945930</w:t>
            </w:r>
            <w:r>
              <w:rPr>
                <w:rFonts w:ascii="Arial" w:cs="Arial" w:eastAsia="Arial" w:hAnsi="Arial"/>
                <w:sz w:val="15"/>
                <w:szCs w:val="15"/>
                <w:color w:val="auto"/>
              </w:rPr>
              <w:t>(3)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3,374,517</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Riverbridge Partners LLC</w:t>
            </w:r>
            <w:r>
              <w:rPr>
                <w:rFonts w:ascii="Arial" w:cs="Arial" w:eastAsia="Arial" w:hAnsi="Arial"/>
                <w:sz w:val="15"/>
                <w:szCs w:val="15"/>
                <w:color w:val="auto"/>
              </w:rPr>
              <w:t>(4)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3,136,760</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2,552,649</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Van Berkom &amp; Associates Inc.</w:t>
            </w:r>
            <w:r>
              <w:rPr>
                <w:rFonts w:ascii="Arial" w:cs="Arial" w:eastAsia="Arial" w:hAnsi="Arial"/>
                <w:sz w:val="15"/>
                <w:szCs w:val="15"/>
                <w:color w:val="auto"/>
              </w:rPr>
              <w:t>(6)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2,386,824</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110,504</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1,138,650</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457,376</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392,555</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219,756</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63,947</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David J. Johnson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11,326</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Bradley A. Casper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9,988</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Sara R. Dial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6,155</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All directors and executive officers as a group (11 persons)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2,433,347</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beneficial ownership of less than 0.1%</w:t>
      </w:r>
    </w:p>
    <w:p>
      <w:pPr>
        <w:spacing w:after="0" w:line="23" w:lineRule="exact"/>
        <w:rPr>
          <w:sz w:val="20"/>
          <w:szCs w:val="20"/>
          <w:color w:val="auto"/>
        </w:rPr>
      </w:pPr>
    </w:p>
    <w:p>
      <w:pPr>
        <w:ind w:left="460" w:right="20" w:hanging="452"/>
        <w:spacing w:after="0" w:line="253"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80" w:hanging="452"/>
        <w:spacing w:after="0" w:line="25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for Wells Fargo &amp; Company is based on a Schedule 13G/A filed with the Securities and Exchange Commission on January 13, 2016. The address for Wells Fargo &amp; Company is 420 Montgomery Street, San Francisco, CA 94104.</w:t>
      </w:r>
    </w:p>
    <w:p>
      <w:pPr>
        <w:spacing w:after="0" w:line="1" w:lineRule="exact"/>
        <w:rPr>
          <w:rFonts w:ascii="Arial" w:cs="Arial" w:eastAsia="Arial" w:hAnsi="Arial"/>
          <w:sz w:val="18"/>
          <w:szCs w:val="18"/>
          <w:color w:val="auto"/>
        </w:rPr>
      </w:pPr>
    </w:p>
    <w:p>
      <w:pPr>
        <w:ind w:left="460" w:right="680" w:hanging="452"/>
        <w:spacing w:after="0" w:line="265"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information for The Vanguard Group – 23-1945930 is based on a Schedule 13G/A filed with the Securities and Exchange Commission on February 10, 2016. The address for The Vanguard Group – 23-1945930 is 100 Vanguard Blvd., Malvern, PA 19355.</w:t>
      </w:r>
    </w:p>
    <w:p>
      <w:pPr>
        <w:ind w:left="460" w:right="48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for Riverbridge Partners LLC is based on a Schedule 13G/A filed with the Securities and Exchange Commission on February 1, 2016. The address for Riverbridge Partners is 80 South Eighth St., Suite 1200, Minneapolis, MN 55402.</w:t>
      </w:r>
    </w:p>
    <w:p>
      <w:pPr>
        <w:ind w:left="460" w:right="48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for BlackRock Inc. is based on a Schedule 13G/A filed with the Securities and Exchange Commission on January 22, 2016. The address for BlackRock Inc.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10055.</w:t>
      </w:r>
    </w:p>
    <w:p>
      <w:pPr>
        <w:ind w:left="460" w:right="320" w:hanging="452"/>
        <w:spacing w:after="0" w:line="265"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information for Van Berkom &amp; Associates Inc. is based on a Schedule 13G filed with the Securities and Exchange Commission on February 3, 2016. The address for Van Berkom &amp; Associates Inc. is 1130 Sherbrooke Street West, Suite 1005, Montreal, Quebec H3A 2M8.</w:t>
      </w:r>
    </w:p>
    <w:p>
      <w:pPr>
        <w:ind w:left="460" w:right="6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110,504 shares of common stock held of record by Exeter Capital, LLC, a limited liability company of which Mr. Richardson is the manager, which are attributable to, and beneficially owned by, Mr. Richardson.</w:t>
      </w:r>
    </w:p>
    <w:p>
      <w:pPr>
        <w:jc w:val="both"/>
        <w:ind w:left="460" w:right="2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Mr. Mueller, Dr. Meyer, Mr. Bachus and Mr. Mildenhall, includes the following number of shares that may be acquired upon the exercise of options that are exercisable within 60 days of February 29, 2016: Mr. Mueller (30,000 shares); Dr. Meyer (16,000 shares); Mr. Bachus (16,000 shares); and Mr. Mildenhall (16,000 shares).</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Set forth below is a summary of certain transactions since January 1, 2015,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Mind Streams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was a party to a revenue sharing arrangement with Mind Streams, L.L.C. (Mind Streams), which is owned and operated, in part, by Gail Richardson, the father of Brent D. Richardson, our Chairman of the Board. Pursuant to this agreement and in accordance with the applicable rules and regulations of the Department of Education, we pay to Mind Streams a percentage of the net revenue that we receive from applicants to Grand Canyon University who were recruited by Mind Streams and who matriculate at the University. Mind Streams bears all costs associated with the recruitment of these applicants. For the year ended December 31, 2015, we expensed approximately $1.6 million pursuant to this agreement and, as of December 31, 2015, approximately $0.2 million was due to Mind Streams.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16(a) of the Exchange Act requires that our Company’s directors and executive officers and beneficial owners of more than 10% of the Company’s common stock file initial reports of ownership and reports of changes in ownership with the SEC. Directors and executive officers are required to furnish the Company with copies of all Section 16(a) forms they file. Based solely on a review of the copies of such forms furnished to the Company and written representations from our Company’s directors and executive officers, all reports required by Section 16(a) were filed on a timely basis for the fiscal year ended December 31, 2015.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Our 2015 annual report and our Annual Report on Form 10-K for fiscal year 2015, including financial statements, are available electronically along with our proxy statement to all stockholders of record as of April 22, 2016,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w:t>
      </w:r>
    </w:p>
    <w:p>
      <w:pPr>
        <w:ind w:right="20"/>
        <w:spacing w:after="0" w:line="261" w:lineRule="auto"/>
        <w:rPr>
          <w:sz w:val="20"/>
          <w:szCs w:val="20"/>
          <w:color w:val="auto"/>
        </w:rPr>
      </w:pPr>
      <w:r>
        <w:rPr>
          <w:rFonts w:ascii="Arial" w:cs="Arial" w:eastAsia="Arial" w:hAnsi="Arial"/>
          <w:sz w:val="18"/>
          <w:szCs w:val="18"/>
          <w:b w:val="1"/>
          <w:bCs w:val="1"/>
          <w:color w:val="auto"/>
        </w:rPr>
        <w:t>Form 10-K, for the fiscal year ended December 31, 2015, and our proxy statement may do so without charge by writing to Investor Relations, Grand Canyon Education, Inc., 3300 W. Camelback Road, Phoenix, Arizona 85017.</w:t>
      </w:r>
    </w:p>
    <w:p>
      <w:pPr>
        <w:spacing w:after="0" w:line="18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 a Delaware corporation (the “Corporation”), hereby certifies that:</w:t>
      </w:r>
    </w:p>
    <w:p>
      <w:pPr>
        <w:spacing w:after="0" w:line="1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Section C of Article VI of the Amended and Restated Certificate of Incorporation of the Corporation is hereby deleted in its entirety, as follows:</w:t>
      </w:r>
    </w:p>
    <w:p>
      <w:pPr>
        <w:spacing w:after="0" w:line="236" w:lineRule="exact"/>
        <w:rPr>
          <w:rFonts w:ascii="Arial" w:cs="Arial" w:eastAsia="Arial" w:hAnsi="Arial"/>
          <w:sz w:val="17"/>
          <w:szCs w:val="17"/>
          <w:color w:val="auto"/>
        </w:rPr>
      </w:pPr>
    </w:p>
    <w:p>
      <w:pPr>
        <w:ind w:right="40" w:firstLine="456"/>
        <w:spacing w:after="0" w:line="286" w:lineRule="auto"/>
        <w:rPr>
          <w:rFonts w:ascii="Arial" w:cs="Arial" w:eastAsia="Arial" w:hAnsi="Arial"/>
          <w:sz w:val="17"/>
          <w:szCs w:val="17"/>
          <w:color w:val="auto"/>
        </w:rPr>
      </w:pPr>
      <w:r>
        <w:rPr>
          <w:rFonts w:ascii="Arial" w:cs="Arial" w:eastAsia="Arial" w:hAnsi="Arial"/>
          <w:sz w:val="17"/>
          <w:szCs w:val="17"/>
          <w:color w:val="auto"/>
          <w:strike w:val="1"/>
        </w:rPr>
        <w:t>C. Subject to the rights of the holders of any series of Preferred Stock then outstanding, any directors, or the entire Board of Directors, may be removed from office at any time, but only for cause and only by the affirmative vote of the holders of at least a majority of the voting power of all of the then outstanding shares of capital stock of the Corporation entitled to vote generally in the election of directors, voting together as a single class.</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foregoing amendment was duly adopted in accordance with the provisions of Section 242 of the Delaware General Corporation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Corporation has caused this certificate to be signed by its duly authorized officer on the date set forth below.</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220345</wp:posOffset>
            </wp:positionV>
            <wp:extent cx="5960110" cy="6946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011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1"/>
    </w:lvl>
    <w:lvl w:ilvl="1">
      <w:lvlJc w:val="left"/>
      <w:lvlText w:val="%2."/>
      <w:numFmt w:val="lowerLetter"/>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Roman"/>
      <w:start w:val="17"/>
    </w:lvl>
  </w:abstractNum>
  <w:abstractNum w:abstractNumId="16">
    <w:nsid w:val="6CEAF087"/>
    <w:multiLevelType w:val="hybridMultilevel"/>
    <w:lvl w:ilvl="0">
      <w:lvlJc w:val="left"/>
      <w:lvlText w:val="(%1)"/>
      <w:numFmt w:val="lowerRoman"/>
      <w:start w:val="27"/>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2"/>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2"/>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2"/>
    </w:lvl>
  </w:abstractNum>
  <w:abstractNum w:abstractNumId="46">
    <w:nsid w:val="6DE91B18"/>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2019-12-08T17:49:02Z</dcterms:created>
  <dcterms:modified xsi:type="dcterms:W3CDTF">2019-12-08T17:49:02Z</dcterms:modified>
</cp:coreProperties>
</file>