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768215" cy="883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76821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 639-7500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You are cordially invited to attend the 2014 Annual Meeting of Stockholders (the “Annual Meeting”) of Grand Canyon Education, Inc. (the “Company”) to be held at Grand Canyon University, 3300 W. Camelback Road, Phoenix, Arizona 85017, commencing at 10:00 a.m., local time, on Thursday, May 15, 2014.</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notice of annual meeting and the proxy statement that follow describe the matters to come before the Annual Meeting. Each holder of record of shares of the Company’s common stock (Nasdaq GM: LOPE) at the close of business on March 21, 2014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Mountain Standard Time, prior to the meeting.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hope that you will be able to attend the Annual Meeting in person and we look forward to seeing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dated March 26, 2014, and is first being sent or made available to stockholders on or about April 4, 2014.</w:t>
      </w:r>
    </w:p>
    <w:p>
      <w:pPr>
        <w:sectPr>
          <w:pgSz w:w="11900" w:h="16838" w:orient="portrait"/>
          <w:cols w:equalWidth="0" w:num="1">
            <w:col w:w="11420"/>
          </w:cols>
          <w:pgMar w:left="240" w:top="1440"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METHODS</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accompanying proxy statement describes important issues affecting Grand Canyon Education, Inc. If you are a stockholder of record as of the record date, you have the right to submit your proxy through the Internet, by telephone or by mail. You also may revoke your proxy at any time before the Annual Meeting. Please help us save time and administrative costs by submitting your proxy through the Internet or by telephone. Each method is generally available 24 hours a day and will ensure that your voting instructions are confirmed and posted immediately. To submit your proxy:</w:t>
      </w:r>
    </w:p>
    <w:p>
      <w:pPr>
        <w:spacing w:after="0" w:line="5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TELEPHONE</w:t>
      </w:r>
    </w:p>
    <w:p>
      <w:pPr>
        <w:spacing w:after="0" w:line="134" w:lineRule="exact"/>
        <w:rPr>
          <w:rFonts w:ascii="Arial" w:cs="Arial" w:eastAsia="Arial" w:hAnsi="Arial"/>
          <w:sz w:val="18"/>
          <w:szCs w:val="18"/>
          <w:color w:val="auto"/>
        </w:rPr>
      </w:pPr>
    </w:p>
    <w:p>
      <w:pPr>
        <w:ind w:left="1480" w:right="46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a touch-tone telephone, call toll-free 1-800-652-VOTE (8683), 24 hours a day, seven days a week, through 11:00 p.m. (PT) on May 14, 2014.</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INTERNET</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7"/>
          <w:szCs w:val="17"/>
          <w:color w:val="auto"/>
        </w:rPr>
      </w:pPr>
      <w:r>
        <w:rPr>
          <w:rFonts w:ascii="Arial" w:cs="Arial" w:eastAsia="Arial" w:hAnsi="Arial"/>
          <w:sz w:val="17"/>
          <w:szCs w:val="17"/>
          <w:color w:val="auto"/>
        </w:rPr>
        <w:t>Go to the web site at www.investorvote.com, 24 hours a day, seven days a week, through 11:00 p.m. (PT) on May 14, 2014.</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MAIL (if you submit your proxy by telephone or Internet, please do not mail your proxy card)</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Return it in the enclosed postage-paid envelope.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instructions from the registered holder that you must follow in order to have your shares voted.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Thank you for submitting your proxy.</w:t>
      </w:r>
    </w:p>
    <w:p>
      <w:pPr>
        <w:sectPr>
          <w:pgSz w:w="11900" w:h="16838" w:orient="portrait"/>
          <w:cols w:equalWidth="0" w:num="1">
            <w:col w:w="11300"/>
          </w:cols>
          <w:pgMar w:left="240" w:top="270"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252095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t>Notice of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15,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74295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2014 Annual Meeting of Stockholders (the “Annual Meeting”) of Grand Canyon Education, Inc. (the “Company”), will be held at Grand Canyon University, 3300 W. Camelback Road, Phoenix, Arizona 85017, commencing at 10:00 a.m., local time, on Thursday, May 15, 2014, for the following purposes:</w:t>
      </w:r>
    </w:p>
    <w:p>
      <w:pPr>
        <w:spacing w:after="0" w:line="87" w:lineRule="exact"/>
        <w:rPr>
          <w:sz w:val="20"/>
          <w:szCs w:val="20"/>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a Board of Directors of seven directors, each to serve until the 2015 annual meeting of stockholders or until his or her successor has been duly elected and qualified or until his or her earlier resignation or removal;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enclosed Proxy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December 31, 2014;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 or postponement thereof.</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Our Board of Directors has fixed March 21, 2014 as the record date for the determination of stockholders entitled to notice of and to vote at the Annual Meeting or any adjournment or postponement thereof. For 10 days prior to the Annual Meeting, a list of stockholders entitled to vote at the Annual Meeting will be available for inspection in the offices of Grand Canyon Education, Inc., Office of the Chief Executive Officer, 3300 W. Camelback Road, Phoenix, Arizona 85017 between the hours of 8:30 a.m. and 5:00 p.m., local time, each weekday. Such list will also be available at the Annual Meeting.</w:t>
      </w:r>
    </w:p>
    <w:p>
      <w:pPr>
        <w:spacing w:after="0" w:line="15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Your proxy is important to ensure a quorum at the meeting. Even if you own only a few shares, and whether or not you expect to be present, you are urgently requested to submit the enclosed proxy by telephone or through the Internet in accordance with the instructions provided to you. </w:t>
      </w:r>
      <w:r>
        <w:rPr>
          <w:rFonts w:ascii="Arial" w:cs="Arial" w:eastAsia="Arial" w:hAnsi="Arial"/>
          <w:sz w:val="16"/>
          <w:szCs w:val="16"/>
          <w:b w:val="1"/>
          <w:bCs w:val="1"/>
          <w:u w:val="single" w:color="auto"/>
          <w:color w:val="auto"/>
        </w:rPr>
        <w:t>If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 xml:space="preserve">you received a paper copy of the proxy card by mail, you may also date, sign and mail the proxy card in the postage-paid envelope that is provided. </w:t>
      </w:r>
      <w:r>
        <w:rPr>
          <w:rFonts w:ascii="Arial" w:cs="Arial" w:eastAsia="Arial" w:hAnsi="Arial"/>
          <w:sz w:val="16"/>
          <w:szCs w:val="16"/>
          <w:b w:val="1"/>
          <w:bCs w:val="1"/>
          <w:color w:val="auto"/>
        </w:rPr>
        <w:t>The proxy may be revoked by you at any time prior to being exercised, and submitting your proxy by telephone or through the Internet or returning your proxy by mail will not affect your right to vote in person if you attend the Annual Meeting and revoke the proxy.</w:t>
      </w:r>
    </w:p>
    <w:p>
      <w:pPr>
        <w:spacing w:after="0" w:line="15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May 15, 2014. </w:t>
      </w:r>
      <w:r>
        <w:rPr>
          <w:rFonts w:ascii="Arial" w:cs="Arial" w:eastAsia="Arial" w:hAnsi="Arial"/>
          <w:sz w:val="18"/>
          <w:szCs w:val="18"/>
          <w:color w:val="auto"/>
        </w:rPr>
        <w:t>Our Proxy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attached. Financial and other information concerning Grand Canyon Education, Inc. is contained in our Annual Report to Stockholders for the fiscal year ended December 31, 2013. A complete set of proxy materials relating to our Annual Meeting is available on the Internet. These materials, consisting of the Notice of Annual Meeting, Proxy Statement, Proxy Card and Annual Report to Stockholders</w:t>
      </w:r>
      <w:r>
        <w:rPr>
          <w:rFonts w:ascii="Arial" w:cs="Arial" w:eastAsia="Arial" w:hAnsi="Arial"/>
          <w:sz w:val="18"/>
          <w:szCs w:val="18"/>
          <w:b w:val="1"/>
          <w:bCs w:val="1"/>
          <w:color w:val="auto"/>
        </w:rPr>
        <w:t>, are available and may be viewed at</w:t>
      </w:r>
      <w:r>
        <w:rPr>
          <w:rFonts w:ascii="Arial" w:cs="Arial" w:eastAsia="Arial" w:hAnsi="Arial"/>
          <w:sz w:val="18"/>
          <w:szCs w:val="18"/>
          <w:color w:val="auto"/>
        </w:rPr>
        <w:t xml:space="preserve"> </w:t>
      </w:r>
      <w:r>
        <w:rPr>
          <w:rFonts w:ascii="Arial" w:cs="Arial" w:eastAsia="Arial" w:hAnsi="Arial"/>
          <w:sz w:val="18"/>
          <w:szCs w:val="18"/>
          <w:b w:val="1"/>
          <w:bCs w:val="1"/>
          <w:color w:val="auto"/>
        </w:rPr>
        <w:t>www.edocumentview.com/LOPE.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2014</w:t>
      </w:r>
    </w:p>
    <w:p>
      <w:pPr>
        <w:sectPr>
          <w:pgSz w:w="11900" w:h="16838" w:orient="portrait"/>
          <w:cols w:equalWidth="0" w:num="1">
            <w:col w:w="11380"/>
          </w:cols>
          <w:pgMar w:left="240" w:top="432"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GENERAL INFORMATION</w:t>
              </w:r>
            </w:hyperlink>
          </w:p>
        </w:tc>
        <w:tc>
          <w:tcPr>
            <w:tcW w:w="7440" w:type="dxa"/>
            <w:vAlign w:val="bottom"/>
            <w:gridSpan w:val="32"/>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60" w:type="dxa"/>
            <w:vAlign w:val="bottom"/>
          </w:tcPr>
          <w:p>
            <w:pPr>
              <w:spacing w:after="0"/>
              <w:rPr>
                <w:sz w:val="24"/>
                <w:szCs w:val="24"/>
                <w:color w:val="auto"/>
              </w:rPr>
            </w:pPr>
          </w:p>
        </w:tc>
        <w:tc>
          <w:tcPr>
            <w:tcW w:w="218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Notice of Internet Availability</w:t>
              </w:r>
            </w:hyperlink>
          </w:p>
        </w:tc>
        <w:tc>
          <w:tcPr>
            <w:tcW w:w="7040" w:type="dxa"/>
            <w:vAlign w:val="bottom"/>
            <w:gridSpan w:val="2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Record Date and Quorum</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Submission of Proxies; Revocation</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Deadlines for Stockholder Proposals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2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Quorum</w:t>
              </w:r>
            </w:hyperlink>
          </w:p>
        </w:tc>
        <w:tc>
          <w:tcPr>
            <w:tcW w:w="6580" w:type="dxa"/>
            <w:vAlign w:val="bottom"/>
            <w:gridSpan w:val="19"/>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Vote Required</w:t>
              </w:r>
            </w:hyperlink>
          </w:p>
        </w:tc>
        <w:tc>
          <w:tcPr>
            <w:tcW w:w="8180" w:type="dxa"/>
            <w:vAlign w:val="bottom"/>
            <w:gridSpan w:val="37"/>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Adjournment or Postponement of Meeting</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Expenses of Soliciting Proxies</w:t>
              </w:r>
            </w:hyperlink>
          </w:p>
        </w:tc>
        <w:tc>
          <w:tcPr>
            <w:tcW w:w="840" w:type="dxa"/>
            <w:vAlign w:val="bottom"/>
            <w:tcBorders>
              <w:top w:val="single" w:sz="8" w:color="0000EE"/>
            </w:tcBorders>
            <w:gridSpan w:val="9"/>
          </w:tcPr>
          <w:p>
            <w:pPr>
              <w:spacing w:after="0"/>
              <w:rPr>
                <w:sz w:val="17"/>
                <w:szCs w:val="17"/>
                <w:color w:val="auto"/>
              </w:rPr>
            </w:pPr>
          </w:p>
        </w:tc>
        <w:tc>
          <w:tcPr>
            <w:tcW w:w="6160" w:type="dxa"/>
            <w:vAlign w:val="bottom"/>
            <w:gridSpan w:val="1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4320" w:type="dxa"/>
            <w:vAlign w:val="bottom"/>
            <w:tcBorders>
              <w:bottom w:val="single" w:sz="8" w:color="0000EE"/>
            </w:tcBorders>
            <w:gridSpan w:val="32"/>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CORPORATE GOVERNANCE AND BOARD MATTERS</w:t>
              </w:r>
            </w:hyperlink>
          </w:p>
        </w:tc>
        <w:tc>
          <w:tcPr>
            <w:tcW w:w="5260" w:type="dxa"/>
            <w:vAlign w:val="bottom"/>
            <w:gridSpan w:val="9"/>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360" w:type="dxa"/>
            <w:vAlign w:val="bottom"/>
          </w:tcPr>
          <w:p>
            <w:pPr>
              <w:spacing w:after="0"/>
              <w:rPr>
                <w:sz w:val="24"/>
                <w:szCs w:val="24"/>
                <w:color w:val="auto"/>
              </w:rPr>
            </w:pPr>
          </w:p>
        </w:tc>
        <w:tc>
          <w:tcPr>
            <w:tcW w:w="25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Corporate Governance Philosophy</w:t>
              </w:r>
            </w:hyperlink>
          </w:p>
        </w:tc>
        <w:tc>
          <w:tcPr>
            <w:tcW w:w="6680" w:type="dxa"/>
            <w:vAlign w:val="bottom"/>
            <w:gridSpan w:val="2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Board of Directors Meetings and Attendance</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Director Independence</w:t>
              </w:r>
            </w:hyperlink>
          </w:p>
        </w:tc>
        <w:tc>
          <w:tcPr>
            <w:tcW w:w="1580" w:type="dxa"/>
            <w:vAlign w:val="bottom"/>
            <w:tcBorders>
              <w:top w:val="single" w:sz="8" w:color="0000EE"/>
            </w:tcBorders>
            <w:gridSpan w:val="21"/>
          </w:tcPr>
          <w:p>
            <w:pPr>
              <w:spacing w:after="0"/>
              <w:rPr>
                <w:sz w:val="17"/>
                <w:szCs w:val="17"/>
                <w:color w:val="auto"/>
              </w:rPr>
            </w:pPr>
          </w:p>
        </w:tc>
        <w:tc>
          <w:tcPr>
            <w:tcW w:w="5980" w:type="dxa"/>
            <w:vAlign w:val="bottom"/>
            <w:gridSpan w:val="1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Board Leadership Structure</w:t>
              </w:r>
            </w:hyperlink>
          </w:p>
        </w:tc>
        <w:tc>
          <w:tcPr>
            <w:tcW w:w="7220" w:type="dxa"/>
            <w:vAlign w:val="bottom"/>
            <w:gridSpan w:val="29"/>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28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Committees of Our Board of Directors</w:t>
              </w:r>
            </w:hyperlink>
          </w:p>
        </w:tc>
        <w:tc>
          <w:tcPr>
            <w:tcW w:w="6420" w:type="dxa"/>
            <w:vAlign w:val="bottom"/>
            <w:gridSpan w:val="17"/>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Code of Conduct</w:t>
              </w:r>
            </w:hyperlink>
          </w:p>
        </w:tc>
        <w:tc>
          <w:tcPr>
            <w:tcW w:w="7980" w:type="dxa"/>
            <w:vAlign w:val="bottom"/>
            <w:gridSpan w:val="3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Risk Oversight</w:t>
              </w:r>
            </w:hyperlink>
          </w:p>
        </w:tc>
        <w:tc>
          <w:tcPr>
            <w:tcW w:w="8120" w:type="dxa"/>
            <w:vAlign w:val="bottom"/>
            <w:gridSpan w:val="3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21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Director Nomination Process</w:t>
              </w:r>
            </w:hyperlink>
          </w:p>
        </w:tc>
        <w:tc>
          <w:tcPr>
            <w:tcW w:w="7080" w:type="dxa"/>
            <w:vAlign w:val="bottom"/>
            <w:gridSpan w:val="2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448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Compensation Committee Interlocks and Insider Participation</w:t>
              </w:r>
            </w:hyperlink>
          </w:p>
        </w:tc>
        <w:tc>
          <w:tcPr>
            <w:tcW w:w="4740" w:type="dxa"/>
            <w:vAlign w:val="bottom"/>
            <w:gridSpan w:val="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418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Stockholder Communications with the Board of Directors</w:t>
              </w:r>
            </w:hyperlink>
          </w:p>
        </w:tc>
        <w:tc>
          <w:tcPr>
            <w:tcW w:w="5040" w:type="dxa"/>
            <w:vAlign w:val="bottom"/>
            <w:gridSpan w:val="8"/>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Director Stock Ownership Guidelines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Compensation of Directors</w:t>
              </w:r>
            </w:hyperlink>
          </w:p>
        </w:tc>
        <w:tc>
          <w:tcPr>
            <w:tcW w:w="760" w:type="dxa"/>
            <w:vAlign w:val="bottom"/>
            <w:tcBorders>
              <w:top w:val="single" w:sz="8" w:color="0000EE"/>
            </w:tcBorders>
            <w:gridSpan w:val="12"/>
          </w:tcPr>
          <w:p>
            <w:pPr>
              <w:spacing w:after="0"/>
              <w:rPr>
                <w:sz w:val="17"/>
                <w:szCs w:val="17"/>
                <w:color w:val="auto"/>
              </w:rPr>
            </w:pPr>
          </w:p>
        </w:tc>
        <w:tc>
          <w:tcPr>
            <w:tcW w:w="6500" w:type="dxa"/>
            <w:vAlign w:val="bottom"/>
            <w:gridSpan w:val="18"/>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21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2013 Director Compensation</w:t>
              </w:r>
            </w:hyperlink>
          </w:p>
        </w:tc>
        <w:tc>
          <w:tcPr>
            <w:tcW w:w="7100" w:type="dxa"/>
            <w:vAlign w:val="bottom"/>
            <w:gridSpan w:val="2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Changes to Director Compensation for 2014</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4"/>
        </w:trPr>
        <w:tc>
          <w:tcPr>
            <w:tcW w:w="366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PROPOSAL NO. 1 ELECTION OF DIRECTORS</w:t>
              </w:r>
            </w:hyperlink>
          </w:p>
        </w:tc>
        <w:tc>
          <w:tcPr>
            <w:tcW w:w="5920" w:type="dxa"/>
            <w:vAlign w:val="bottom"/>
            <w:gridSpan w:val="11"/>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360" w:type="dxa"/>
            <w:vAlign w:val="bottom"/>
          </w:tcPr>
          <w:p>
            <w:pPr>
              <w:spacing w:after="0"/>
              <w:rPr>
                <w:sz w:val="24"/>
                <w:szCs w:val="24"/>
                <w:color w:val="auto"/>
              </w:rPr>
            </w:pPr>
          </w:p>
        </w:tc>
        <w:tc>
          <w:tcPr>
            <w:tcW w:w="282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Composition of our Board of Directors</w:t>
              </w:r>
            </w:hyperlink>
          </w:p>
        </w:tc>
        <w:tc>
          <w:tcPr>
            <w:tcW w:w="6400" w:type="dxa"/>
            <w:vAlign w:val="bottom"/>
            <w:gridSpan w:val="16"/>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Directors and Director Nominees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4"/>
        </w:trPr>
        <w:tc>
          <w:tcPr>
            <w:tcW w:w="8040" w:type="dxa"/>
            <w:vAlign w:val="bottom"/>
            <w:tcBorders>
              <w:bottom w:val="single" w:sz="8" w:color="0000EE"/>
            </w:tcBorders>
            <w:gridSpan w:val="40"/>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PROPOSAL NO. 2 ADVISORY VOTE TO APPROVE NAMED EXECUTIVE OFFICER COMPENSATION</w:t>
              </w:r>
            </w:hyperlink>
          </w:p>
        </w:tc>
        <w:tc>
          <w:tcPr>
            <w:tcW w:w="15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7800" w:type="dxa"/>
            <w:vAlign w:val="bottom"/>
            <w:tcBorders>
              <w:bottom w:val="single" w:sz="8" w:color="0000EE"/>
            </w:tcBorders>
            <w:gridSpan w:val="39"/>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PROPOSAL NO. 3 RATIFICATION OF INDEPENDENT REGISTERED PUBLIC ACCOUNTING FIRM</w:t>
              </w:r>
            </w:hyperlink>
          </w:p>
        </w:tc>
        <w:tc>
          <w:tcPr>
            <w:tcW w:w="178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360" w:type="dxa"/>
            <w:vAlign w:val="bottom"/>
          </w:tcPr>
          <w:p>
            <w:pPr>
              <w:spacing w:after="0"/>
              <w:rPr>
                <w:sz w:val="24"/>
                <w:szCs w:val="24"/>
                <w:color w:val="auto"/>
              </w:rPr>
            </w:pPr>
          </w:p>
        </w:tc>
        <w:tc>
          <w:tcPr>
            <w:tcW w:w="340" w:type="dxa"/>
            <w:vAlign w:val="bottom"/>
            <w:tcBorders>
              <w:bottom w:val="single" w:sz="8" w:color="0000EE"/>
            </w:tcBorders>
          </w:tcPr>
          <w:p>
            <w:pPr>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Fees</w:t>
              </w:r>
            </w:hyperlink>
          </w:p>
        </w:tc>
        <w:tc>
          <w:tcPr>
            <w:tcW w:w="8880" w:type="dxa"/>
            <w:vAlign w:val="bottom"/>
            <w:gridSpan w:val="39"/>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576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Approval of Independent Registered Public Accounting Firm Services and Fees</w:t>
              </w:r>
            </w:hyperlink>
          </w:p>
        </w:tc>
        <w:tc>
          <w:tcPr>
            <w:tcW w:w="3460" w:type="dxa"/>
            <w:vAlign w:val="bottom"/>
            <w:gridSpan w:val="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42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Change in Independent Registered Public Accounting Firm</w:t>
              </w:r>
            </w:hyperlink>
          </w:p>
        </w:tc>
        <w:tc>
          <w:tcPr>
            <w:tcW w:w="4940" w:type="dxa"/>
            <w:vAlign w:val="bottom"/>
            <w:gridSpan w:val="7"/>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304"/>
        </w:trPr>
        <w:tc>
          <w:tcPr>
            <w:tcW w:w="9580" w:type="dxa"/>
            <w:vAlign w:val="bottom"/>
            <w:gridSpan w:val="4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AUDIT COMMITTEE REPORT</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400" w:type="dxa"/>
            <w:vAlign w:val="bottom"/>
            <w:tcBorders>
              <w:top w:val="single" w:sz="8" w:color="0000EE"/>
            </w:tcBorders>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OFFICERS</w:t>
              </w:r>
            </w:hyperlink>
          </w:p>
        </w:tc>
        <w:tc>
          <w:tcPr>
            <w:tcW w:w="7180" w:type="dxa"/>
            <w:vAlign w:val="bottom"/>
            <w:gridSpan w:val="28"/>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900" w:type="dxa"/>
            <w:vAlign w:val="bottom"/>
            <w:tcBorders>
              <w:right w:val="single" w:sz="8" w:color="0000EE"/>
            </w:tcBorders>
            <w:gridSpan w:val="7"/>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4"/>
        </w:trPr>
        <w:tc>
          <w:tcPr>
            <w:tcW w:w="24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EXECUTIVE COMPENSATION</w:t>
              </w:r>
            </w:hyperlink>
          </w:p>
        </w:tc>
        <w:tc>
          <w:tcPr>
            <w:tcW w:w="7120" w:type="dxa"/>
            <w:vAlign w:val="bottom"/>
            <w:gridSpan w:val="27"/>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360" w:type="dxa"/>
            <w:vAlign w:val="bottom"/>
          </w:tcPr>
          <w:p>
            <w:pPr>
              <w:spacing w:after="0"/>
              <w:rPr>
                <w:sz w:val="24"/>
                <w:szCs w:val="24"/>
                <w:color w:val="auto"/>
              </w:rPr>
            </w:pPr>
          </w:p>
        </w:tc>
        <w:tc>
          <w:tcPr>
            <w:tcW w:w="9220" w:type="dxa"/>
            <w:vAlign w:val="bottom"/>
            <w:gridSpan w:val="4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28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Compensation Committee Report</w:t>
              </w:r>
            </w:hyperlink>
          </w:p>
        </w:tc>
        <w:tc>
          <w:tcPr>
            <w:tcW w:w="6360" w:type="dxa"/>
            <w:vAlign w:val="bottom"/>
            <w:gridSpan w:val="1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1540" w:type="dxa"/>
            <w:vAlign w:val="bottom"/>
            <w:tcBorders>
              <w:right w:val="single" w:sz="8" w:color="0000EE"/>
            </w:tcBorders>
            <w:gridSpan w:val="6"/>
            <w:shd w:val="clear" w:color="auto" w:fill="0000EE"/>
          </w:tcPr>
          <w:p>
            <w:pPr>
              <w:spacing w:after="0" w:line="20" w:lineRule="exact"/>
              <w:rPr>
                <w:sz w:val="1"/>
                <w:szCs w:val="1"/>
                <w:color w:val="auto"/>
              </w:rPr>
            </w:pPr>
          </w:p>
        </w:tc>
        <w:tc>
          <w:tcPr>
            <w:tcW w:w="880" w:type="dxa"/>
            <w:vAlign w:val="bottom"/>
            <w:gridSpan w:val="13"/>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Compensation of Named Executive Officers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1540" w:type="dxa"/>
            <w:vAlign w:val="bottom"/>
            <w:tcBorders>
              <w:right w:val="single" w:sz="8" w:color="0000EE"/>
            </w:tcBorders>
            <w:gridSpan w:val="6"/>
            <w:shd w:val="clear" w:color="auto" w:fill="0000EE"/>
          </w:tcPr>
          <w:p>
            <w:pPr>
              <w:spacing w:after="0" w:line="20" w:lineRule="exact"/>
              <w:rPr>
                <w:sz w:val="1"/>
                <w:szCs w:val="1"/>
                <w:color w:val="auto"/>
              </w:rPr>
            </w:pPr>
          </w:p>
        </w:tc>
        <w:tc>
          <w:tcPr>
            <w:tcW w:w="1660" w:type="dxa"/>
            <w:vAlign w:val="bottom"/>
            <w:gridSpan w:val="21"/>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0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Potential Payments upon Termination or Change in Control</w:t>
              </w:r>
            </w:hyperlink>
          </w:p>
        </w:tc>
        <w:tc>
          <w:tcPr>
            <w:tcW w:w="4920" w:type="dxa"/>
            <w:vAlign w:val="bottom"/>
            <w:gridSpan w:val="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304"/>
        </w:trPr>
        <w:tc>
          <w:tcPr>
            <w:tcW w:w="3940" w:type="dxa"/>
            <w:vAlign w:val="bottom"/>
            <w:tcBorders>
              <w:bottom w:val="single" w:sz="8" w:color="0000EE"/>
            </w:tcBorders>
            <w:gridSpan w:val="31"/>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BENEFICIAL OWNERSHIP OF COMMON STOCK</w:t>
              </w:r>
            </w:hyperlink>
          </w:p>
        </w:tc>
        <w:tc>
          <w:tcPr>
            <w:tcW w:w="5640" w:type="dxa"/>
            <w:vAlign w:val="bottom"/>
            <w:gridSpan w:val="1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4880" w:type="dxa"/>
            <w:vAlign w:val="bottom"/>
            <w:tcBorders>
              <w:bottom w:val="single" w:sz="8" w:color="0000EE"/>
            </w:tcBorders>
            <w:gridSpan w:val="37"/>
          </w:tcPr>
          <w:p>
            <w:pPr>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CERTAIN RELATIONSHIPS AND RELATED TRANSACTIONS</w:t>
              </w:r>
            </w:hyperlink>
          </w:p>
        </w:tc>
        <w:tc>
          <w:tcPr>
            <w:tcW w:w="4700" w:type="dxa"/>
            <w:vAlign w:val="bottom"/>
            <w:gridSpan w:val="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360" w:type="dxa"/>
            <w:vAlign w:val="bottom"/>
          </w:tcPr>
          <w:p>
            <w:pPr>
              <w:spacing w:after="0"/>
              <w:rPr>
                <w:sz w:val="24"/>
                <w:szCs w:val="24"/>
                <w:color w:val="auto"/>
              </w:rPr>
            </w:pPr>
          </w:p>
        </w:tc>
        <w:tc>
          <w:tcPr>
            <w:tcW w:w="9220" w:type="dxa"/>
            <w:vAlign w:val="bottom"/>
            <w:gridSpan w:val="4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Policies and Procedures for Related Party Transactions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Certain Transactions</w:t>
              </w:r>
            </w:hyperlink>
          </w:p>
        </w:tc>
        <w:tc>
          <w:tcPr>
            <w:tcW w:w="2420" w:type="dxa"/>
            <w:vAlign w:val="bottom"/>
            <w:tcBorders>
              <w:top w:val="single" w:sz="8" w:color="0000EE"/>
            </w:tcBorders>
            <w:gridSpan w:val="25"/>
          </w:tcPr>
          <w:p>
            <w:pPr>
              <w:spacing w:after="0"/>
              <w:rPr>
                <w:sz w:val="17"/>
                <w:szCs w:val="17"/>
                <w:color w:val="auto"/>
              </w:rPr>
            </w:pPr>
          </w:p>
        </w:tc>
        <w:tc>
          <w:tcPr>
            <w:tcW w:w="5260" w:type="dxa"/>
            <w:vAlign w:val="bottom"/>
            <w:gridSpan w:val="9"/>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bl>
    <w:p>
      <w:pPr>
        <w:jc w:val="right"/>
        <w:spacing w:after="0" w:line="196" w:lineRule="exact"/>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840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SECTION 16(a) BENEFICIAL OWNERSHIP REPORTING COMPLIANCE</w:t>
              </w:r>
            </w:hyperlink>
          </w:p>
        </w:tc>
        <w:tc>
          <w:tcPr>
            <w:tcW w:w="2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34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HOUSEHOLDING OF PROXY MATERIALS</w:t>
              </w:r>
            </w:hyperlink>
          </w:p>
        </w:tc>
        <w:tc>
          <w:tcPr>
            <w:tcW w:w="222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2420" w:type="dxa"/>
            <w:vAlign w:val="bottom"/>
            <w:tcBorders>
              <w:bottom w:val="single" w:sz="8" w:color="0000EE"/>
            </w:tcBorders>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ADDITIONAL INFORMATION</w:t>
              </w:r>
            </w:hyperlink>
          </w:p>
        </w:tc>
        <w:tc>
          <w:tcPr>
            <w:tcW w:w="5980" w:type="dxa"/>
            <w:vAlign w:val="bottom"/>
            <w:gridSpan w:val="3"/>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41</w:t>
            </w:r>
          </w:p>
        </w:tc>
      </w:tr>
    </w:tbl>
    <w:p>
      <w:pPr>
        <w:jc w:val="right"/>
        <w:spacing w:after="0"/>
        <w:rPr>
          <w:sz w:val="20"/>
          <w:szCs w:val="20"/>
          <w:color w:val="auto"/>
        </w:rPr>
        <w:sectPr>
          <w:pgSz w:w="11900" w:h="16838" w:orient="portrait"/>
          <w:cols w:equalWidth="0" w:num="1">
            <w:col w:w="11320"/>
          </w:cols>
          <w:pgMar w:left="240" w:top="365"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enclosed proxy is being solicited by our Board of Directors for use in connection with the Annual Meeting to be held on Thursday, May 15, 2014, at Grand Canyon University, 3300 W. Camelback Road, Phoenix, Arizona 85017, commencing at 10:00 a.m., local time, and at any adjournment or postponement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made available to our stockholders on or about April 4, 2014,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7"/>
          <w:szCs w:val="17"/>
          <w:b w:val="1"/>
          <w:bCs w:val="1"/>
          <w:color w:val="auto"/>
        </w:rPr>
        <w:t>www.edocumentview.com/LOPE</w:t>
      </w:r>
      <w:r>
        <w:rPr>
          <w:rFonts w:ascii="Arial" w:cs="Arial" w:eastAsia="Arial" w:hAnsi="Arial"/>
          <w:sz w:val="17"/>
          <w:szCs w:val="17"/>
          <w:color w:val="auto"/>
        </w:rPr>
        <w:t xml:space="preserve"> or the Company’s Investor Relations website at </w:t>
      </w:r>
      <w:r>
        <w:rPr>
          <w:rFonts w:ascii="Arial" w:cs="Arial" w:eastAsia="Arial" w:hAnsi="Arial"/>
          <w:sz w:val="17"/>
          <w:szCs w:val="17"/>
          <w:u w:val="single" w:color="auto"/>
          <w:color w:val="auto"/>
        </w:rPr>
        <w:t>www.gcu.edu</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Only stockholders of record at the close of business on March 21, 2014, will be entitled to notice of and to vote at the Annual Meeting and any adjournment or postponement thereof. At the close of business on the record date, we had approximately 46,644,610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Proxies; Revocation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Deadlines for Stockholder Proposals</w:t>
      </w:r>
    </w:p>
    <w:p>
      <w:pPr>
        <w:spacing w:after="0" w:line="121" w:lineRule="exact"/>
        <w:rPr>
          <w:sz w:val="20"/>
          <w:szCs w:val="20"/>
          <w:color w:val="auto"/>
        </w:rPr>
      </w:pPr>
    </w:p>
    <w:p>
      <w:pPr>
        <w:ind w:right="140" w:firstLine="456"/>
        <w:spacing w:after="0" w:line="269" w:lineRule="auto"/>
        <w:rPr>
          <w:sz w:val="20"/>
          <w:szCs w:val="20"/>
          <w:color w:val="auto"/>
        </w:rPr>
      </w:pPr>
      <w:r>
        <w:rPr>
          <w:rFonts w:ascii="Arial" w:cs="Arial" w:eastAsia="Arial" w:hAnsi="Arial"/>
          <w:sz w:val="17"/>
          <w:szCs w:val="17"/>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date of our proxy statement released to stockholders in connection with the previous year’s annual meeting. Accordingly, for a stockholder proposal to be included in our proxy materials for our 2015 Annual Meeting of Stockholders, the proposal must be received at our principal executive offices, addressed to our Secretary, not later than the close of business on November 26, 2014.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120th day, nor later than the close of business on the 90th day, prior to the first anniversary of the date of the preceding year’s annual meeting. For our 2015 Annual Meeting of Stockholders, proper notice of business that is not intended for inclusion in our proxy statement must be received not earlier than the close of business on January 16, 2015, nor later than the close of business on February 15, 2015.</w:t>
      </w:r>
    </w:p>
    <w:p>
      <w:pPr>
        <w:spacing w:after="0" w:line="18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Required</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If you hold your shares in “street name,” and you do not give your bank, broker or other holder of record specific voting instructions for your shares, your record holder can vote your shares on routine matters, which include the ratification of our independent public accountants. However, your record holder cannot vote your shares without your specific instructions on the election of directors or on the advisory vote described below on the compensation of our named executive officers.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7"/>
          <w:szCs w:val="17"/>
          <w:b w:val="1"/>
          <w:bCs w:val="1"/>
          <w:color w:val="auto"/>
        </w:rPr>
        <w:t>We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encourage you to provide instructions to your broker regarding the voting of your shares. </w:t>
      </w:r>
      <w:r>
        <w:rPr>
          <w:rFonts w:ascii="Arial" w:cs="Arial" w:eastAsia="Arial" w:hAnsi="Arial"/>
          <w:sz w:val="17"/>
          <w:szCs w:val="17"/>
          <w:color w:val="auto"/>
        </w:rPr>
        <w:t>Our stockholders have no dissenter’s or appraisal rights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of the proposals described herein.</w:t>
      </w:r>
    </w:p>
    <w:p>
      <w:pPr>
        <w:spacing w:after="0" w:line="179"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i w:val="1"/>
          <w:iCs w:val="1"/>
          <w:color w:val="auto"/>
        </w:rPr>
        <w:t>Election of Directors</w:t>
      </w:r>
      <w:r>
        <w:rPr>
          <w:rFonts w:ascii="Arial" w:cs="Arial" w:eastAsia="Arial" w:hAnsi="Arial"/>
          <w:sz w:val="16"/>
          <w:szCs w:val="16"/>
          <w:color w:val="auto"/>
        </w:rPr>
        <w:t>. The affirmative vote of a plurality of the shares of common stock present in person or by proxy at the meeting and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is required for the election to the Board of Directors of each of the nominees for director. Stockholders do not have the right to cumulate their votes in the election of directors. Votes that are withheld, abstentions, and broker non-votes will have no effect on the outcome of the election.</w:t>
      </w:r>
    </w:p>
    <w:p>
      <w:pPr>
        <w:spacing w:after="0" w:line="14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i w:val="1"/>
          <w:iCs w:val="1"/>
          <w:color w:val="auto"/>
        </w:rPr>
        <w:t xml:space="preserve">Advisory vote on the compensation of our named executive officers. </w:t>
      </w:r>
      <w:r>
        <w:rPr>
          <w:rFonts w:ascii="Arial" w:cs="Arial" w:eastAsia="Arial" w:hAnsi="Arial"/>
          <w:sz w:val="17"/>
          <w:szCs w:val="17"/>
          <w:color w:val="auto"/>
        </w:rPr>
        <w:t>Approval, on an advisory basis, of the compensation of our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the Board of Directors and the Compensation Committee will consider the voting results, along with other relevant factors, in connection with their ongoing evaluation of our compensation program.</w:t>
      </w:r>
    </w:p>
    <w:p>
      <w:pPr>
        <w:spacing w:after="0" w:line="17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Ratification of the appointment of the Independent Registered Public Accounting Firm. </w:t>
      </w:r>
      <w:r>
        <w:rPr>
          <w:rFonts w:ascii="Arial" w:cs="Arial" w:eastAsia="Arial" w:hAnsi="Arial"/>
          <w:sz w:val="18"/>
          <w:szCs w:val="18"/>
          <w:color w:val="auto"/>
        </w:rPr>
        <w:t>Approval of the proposal to ratify the Audit 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of KPMG LLP as our independent registered public accounting firm for the fiscal year ending December 31, 2014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Philosophy</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strives to ensure the success and continuity of business through the selection of qualified management. It is also responsible for ensuring that the Company’s activities are conducted in a responsible and ethical manner. The Company is committed to having sound corporate governance principles.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During our 2013 fiscal year, our Board of Directors held five meetings and each of our directors attended more than 75% of such meetings. We do not have a formal policy regarding attendance of our directors at annual meetings of our stockholders, but we do encourage each of our directors to attend. Six of our seven directors attended our 2013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Board of Directors periodically reviews the independence of each director. During these reviews, our Board of Directors considers transactions and relationships between each director (and his or her immediate family and affiliates) and our Company and management to determine whether any such transactions or relationships are inconsistent with a determination that the director was independent. Our Board of Directors has affirmatively determined that each director other than Brent D. Richardson, who is our Executive Chairman, and Brian E. Mueller, who is our Chief Executive Officer,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currently separate the roles of Chief Executive Officer and Chairman of the Board in recognition of the differences between the two roles. The Chief Executive Officer is responsible for setting the strategic direction for the Company and the day to day leadership and performance of the Company, while the Chairman of the Board provides guidance to the Chief Executive Officer and sets the agenda for Board meetings and presides over meetings of the full Board. Currently, even though Mr. Richardson is an employee of the Company, the Board believes that Mr. Richardson’s role as Chairman ensures a greater role for the non-management directors in the oversight of the Company and encourages greater participation of the non-management directors in setting agendas and establishing priorities and procedures for the work of the Board. Because Mr. Richardson is an employee of the Company and is therefore not “independent,” our Board of Directors has appointed the Chairman of our Compensation Committee, Mr. David J. Johnson, as “lead independent director” to preside at executive sessions of “non-management” directors. The Board generally seeks to hold executive sessions twice a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Our Board of Directors directs the management of our business and affairs, as provided by Delaware law, and conducts its business through meetings of the Board of Directors. Our Board of Directors has established three standing committees: an Audit Committee; a Compensation Committee; and a Nominating and Corporate Governance Committee. Each director attended at least 75% of the meetings of the Board committees on which such director served (during the periods that they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a written charter for each of the standing committees, which are available in the Corporate Governance section of the Investor Relations page on our website at </w:t>
      </w:r>
      <w:r>
        <w:rPr>
          <w:rFonts w:ascii="Arial" w:cs="Arial" w:eastAsia="Arial" w:hAnsi="Arial"/>
          <w:sz w:val="17"/>
          <w:szCs w:val="17"/>
          <w:u w:val="single" w:color="auto"/>
          <w:color w:val="auto"/>
        </w:rPr>
        <w:t>www.gcu.edu</w:t>
      </w:r>
      <w:r>
        <w:rPr>
          <w:rFonts w:ascii="Arial" w:cs="Arial" w:eastAsia="Arial" w:hAnsi="Arial"/>
          <w:sz w:val="17"/>
          <w:szCs w:val="17"/>
          <w:i w:val="1"/>
          <w:iCs w:val="1"/>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1" w:name="page12"/>
    <w:bookmarkEnd w:id="11"/>
    <w:p>
      <w:pPr>
        <w:ind w:firstLine="456"/>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w:t>
      </w:r>
      <w:r>
        <w:rPr>
          <w:rFonts w:ascii="Arial" w:cs="Arial" w:eastAsia="Arial" w:hAnsi="Arial"/>
          <w:sz w:val="18"/>
          <w:szCs w:val="18"/>
          <w:color w:val="auto"/>
        </w:rPr>
        <w:t>. Our Audit Committee consists of Messrs. Jack A. Henry (chair), Kevin F. Warren, and Bradley A. Casper, each of whom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has determined is “independent,” as defined under and required by the rules of the Nasdaq Stock Market and the federal securities laws. Our Audit Committee met five times during 2013. Our Audit Committee is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The Audit Committee is also responsible for discussing the effectiveness of the internal controls over financial reporting with the firm and relevant financial management. Our Board of Directors has determined that each of Messrs. Henry, Warren and Casper qualifies as an “audit committee financial expert,” as defined under applicable federal securities laws.</w:t>
      </w:r>
    </w:p>
    <w:p>
      <w:pPr>
        <w:spacing w:after="0" w:line="19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consists of Messrs. David J. Johnson (chair), Jack A. Henry, and Ms. Sara R. Dial,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whom the Board of Directors has determined is “independent,” as defined under and required by the rules of the Nasdaq Stock Market. Our Compensation Committee met seven times during 2013. The Compensation Committee is responsible for, among other things, supervising and reviewing our affairs as they relate to the compensation and benefits of our executive officers and directors.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6"/>
          <w:szCs w:val="16"/>
          <w:i w:val="1"/>
          <w:iCs w:val="1"/>
          <w:color w:val="auto"/>
        </w:rPr>
        <w:t>.</w:t>
      </w:r>
    </w:p>
    <w:p>
      <w:pPr>
        <w:spacing w:after="0" w:line="158"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Beginning in the fall of 2009, the Compensation Committee has engaged Mercer as its compensation consultant and advisor to:</w:t>
      </w:r>
    </w:p>
    <w:p>
      <w:pPr>
        <w:spacing w:after="0" w:line="71" w:lineRule="exact"/>
        <w:rPr>
          <w:sz w:val="20"/>
          <w:szCs w:val="20"/>
          <w:color w:val="auto"/>
        </w:rPr>
      </w:pPr>
    </w:p>
    <w:p>
      <w:pPr>
        <w:ind w:left="900" w:right="16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recommendations regarding executive compensation consistent with the Company’s business needs, pay philosophy, market trends and latest legal and regulatory considerations;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market data for base salary, short-term incentive and long-term incentive decisions;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Advise the Compensation Committee as to best practices.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2013, Mercer provided market benchmark information and advised on the competitiveness of executive officer compensation. Also in 2013, Mercer recommended, and the compensation committee approved, a revised peer group of publicly traded companies, most of which are in the education industry, with median revenue near the Company’s revenue. The peer group consists of the following companies:</w:t>
      </w: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80"/>
              <w:spacing w:after="0"/>
              <w:rPr>
                <w:sz w:val="20"/>
                <w:szCs w:val="20"/>
                <w:color w:val="auto"/>
              </w:rPr>
            </w:pPr>
            <w:r>
              <w:rPr>
                <w:rFonts w:ascii="Arial" w:cs="Arial" w:eastAsia="Arial" w:hAnsi="Arial"/>
                <w:sz w:val="18"/>
                <w:szCs w:val="18"/>
                <w:color w:val="auto"/>
              </w:rPr>
              <w:t>Education Management Corporation;</w:t>
            </w:r>
          </w:p>
        </w:tc>
        <w:tc>
          <w:tcPr>
            <w:tcW w:w="1720" w:type="dxa"/>
            <w:vAlign w:val="bottom"/>
          </w:tcPr>
          <w:p>
            <w:pPr>
              <w:ind w:left="15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Bridgepoint Education, Inc.</w:t>
            </w:r>
          </w:p>
        </w:tc>
      </w:tr>
      <w:tr>
        <w:trPr>
          <w:trHeight w:val="33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60"/>
              <w:spacing w:after="0"/>
              <w:rPr>
                <w:sz w:val="20"/>
                <w:szCs w:val="20"/>
                <w:color w:val="auto"/>
              </w:rPr>
            </w:pPr>
            <w:r>
              <w:rPr>
                <w:rFonts w:ascii="Arial" w:cs="Arial" w:eastAsia="Arial" w:hAnsi="Arial"/>
                <w:sz w:val="18"/>
                <w:szCs w:val="18"/>
                <w:color w:val="auto"/>
              </w:rPr>
              <w:t>Advisory Board</w:t>
            </w:r>
          </w:p>
        </w:tc>
        <w:tc>
          <w:tcPr>
            <w:tcW w:w="1720" w:type="dxa"/>
            <w:vAlign w:val="bottom"/>
          </w:tcPr>
          <w:p>
            <w:pPr>
              <w:ind w:left="15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K12, Inc.</w:t>
            </w:r>
          </w:p>
        </w:tc>
      </w:tr>
      <w:tr>
        <w:trPr>
          <w:trHeight w:val="33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80"/>
              <w:spacing w:after="0"/>
              <w:rPr>
                <w:sz w:val="20"/>
                <w:szCs w:val="20"/>
                <w:color w:val="auto"/>
              </w:rPr>
            </w:pPr>
            <w:r>
              <w:rPr>
                <w:rFonts w:ascii="Arial" w:cs="Arial" w:eastAsia="Arial" w:hAnsi="Arial"/>
                <w:sz w:val="18"/>
                <w:szCs w:val="18"/>
                <w:color w:val="auto"/>
              </w:rPr>
              <w:t>DeVry, Inc.</w:t>
            </w:r>
          </w:p>
        </w:tc>
        <w:tc>
          <w:tcPr>
            <w:tcW w:w="1720" w:type="dxa"/>
            <w:vAlign w:val="bottom"/>
          </w:tcPr>
          <w:p>
            <w:pPr>
              <w:ind w:left="15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Capella Education, Inc.</w:t>
            </w:r>
          </w:p>
        </w:tc>
      </w:tr>
      <w:tr>
        <w:trPr>
          <w:trHeight w:val="33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80"/>
              <w:spacing w:after="0"/>
              <w:rPr>
                <w:sz w:val="20"/>
                <w:szCs w:val="20"/>
                <w:color w:val="auto"/>
              </w:rPr>
            </w:pPr>
            <w:r>
              <w:rPr>
                <w:rFonts w:ascii="Arial" w:cs="Arial" w:eastAsia="Arial" w:hAnsi="Arial"/>
                <w:sz w:val="18"/>
                <w:szCs w:val="18"/>
                <w:color w:val="auto"/>
              </w:rPr>
              <w:t>Blackboard</w:t>
            </w:r>
          </w:p>
        </w:tc>
        <w:tc>
          <w:tcPr>
            <w:tcW w:w="1720" w:type="dxa"/>
            <w:vAlign w:val="bottom"/>
          </w:tcPr>
          <w:p>
            <w:pPr>
              <w:ind w:left="15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Monster Worldwide</w:t>
            </w:r>
          </w:p>
        </w:tc>
      </w:tr>
      <w:tr>
        <w:trPr>
          <w:trHeight w:val="33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80"/>
              <w:spacing w:after="0"/>
              <w:rPr>
                <w:sz w:val="20"/>
                <w:szCs w:val="20"/>
                <w:color w:val="auto"/>
              </w:rPr>
            </w:pPr>
            <w:r>
              <w:rPr>
                <w:rFonts w:ascii="Arial" w:cs="Arial" w:eastAsia="Arial" w:hAnsi="Arial"/>
                <w:sz w:val="18"/>
                <w:szCs w:val="18"/>
                <w:color w:val="auto"/>
              </w:rPr>
              <w:t>ITT Educational Services, Inc.</w:t>
            </w:r>
          </w:p>
        </w:tc>
        <w:tc>
          <w:tcPr>
            <w:tcW w:w="4060" w:type="dxa"/>
            <w:vAlign w:val="bottom"/>
            <w:gridSpan w:val="2"/>
          </w:tcPr>
          <w:p>
            <w:pPr>
              <w:ind w:left="1580"/>
              <w:spacing w:after="0"/>
              <w:rPr>
                <w:sz w:val="20"/>
                <w:szCs w:val="20"/>
                <w:color w:val="auto"/>
              </w:rPr>
            </w:pPr>
            <w:r>
              <w:rPr>
                <w:rFonts w:ascii="Arial" w:cs="Arial" w:eastAsia="Arial" w:hAnsi="Arial"/>
                <w:sz w:val="18"/>
                <w:szCs w:val="18"/>
                <w:color w:val="auto"/>
              </w:rPr>
              <w:t>•  Apollo Education Group, Inc.</w:t>
            </w:r>
          </w:p>
        </w:tc>
      </w:tr>
      <w:tr>
        <w:trPr>
          <w:trHeight w:val="33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80"/>
              <w:spacing w:after="0"/>
              <w:rPr>
                <w:sz w:val="20"/>
                <w:szCs w:val="20"/>
                <w:color w:val="auto"/>
              </w:rPr>
            </w:pPr>
            <w:r>
              <w:rPr>
                <w:rFonts w:ascii="Arial" w:cs="Arial" w:eastAsia="Arial" w:hAnsi="Arial"/>
                <w:sz w:val="18"/>
                <w:szCs w:val="18"/>
                <w:color w:val="auto"/>
              </w:rPr>
              <w:t>Corporate Executive Board</w:t>
            </w:r>
          </w:p>
        </w:tc>
        <w:tc>
          <w:tcPr>
            <w:tcW w:w="4060" w:type="dxa"/>
            <w:vAlign w:val="bottom"/>
            <w:gridSpan w:val="2"/>
          </w:tcPr>
          <w:p>
            <w:pPr>
              <w:ind w:left="1580"/>
              <w:spacing w:after="0"/>
              <w:rPr>
                <w:sz w:val="20"/>
                <w:szCs w:val="20"/>
                <w:color w:val="auto"/>
              </w:rPr>
            </w:pPr>
            <w:r>
              <w:rPr>
                <w:rFonts w:ascii="Arial" w:cs="Arial" w:eastAsia="Arial" w:hAnsi="Arial"/>
                <w:sz w:val="18"/>
                <w:szCs w:val="18"/>
                <w:color w:val="auto"/>
                <w:w w:val="93"/>
              </w:rPr>
              <w:t>•  American Public Education Co.</w:t>
            </w:r>
          </w:p>
        </w:tc>
      </w:tr>
      <w:tr>
        <w:trPr>
          <w:trHeight w:val="33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80"/>
              <w:spacing w:after="0"/>
              <w:rPr>
                <w:sz w:val="20"/>
                <w:szCs w:val="20"/>
                <w:color w:val="auto"/>
              </w:rPr>
            </w:pPr>
            <w:r>
              <w:rPr>
                <w:rFonts w:ascii="Arial" w:cs="Arial" w:eastAsia="Arial" w:hAnsi="Arial"/>
                <w:sz w:val="18"/>
                <w:szCs w:val="18"/>
                <w:color w:val="auto"/>
              </w:rPr>
              <w:t>Strayer Education, Inc.</w:t>
            </w:r>
          </w:p>
        </w:tc>
        <w:tc>
          <w:tcPr>
            <w:tcW w:w="172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21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a result of Mercer’s analysis of peer group compensation practices and the Compensation Committee’s assessment of management performance in 2013 and prior years, the Compensation Committee in March 2014 approved increases in executive management base salaries. See “Compensation Discussion and Analysis – Significant Events After December 31, 2013- Base salary increases.”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2" w:name="page13"/>
    <w:bookmarkEnd w:id="12"/>
    <w:p>
      <w:pPr>
        <w:ind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Nominating and Corporate Governance Committee. </w:t>
      </w:r>
      <w:r>
        <w:rPr>
          <w:rFonts w:ascii="Arial" w:cs="Arial" w:eastAsia="Arial" w:hAnsi="Arial"/>
          <w:sz w:val="16"/>
          <w:szCs w:val="16"/>
          <w:color w:val="auto"/>
        </w:rPr>
        <w:t>Our Nominating and Corporate Governance Committee consists of Messrs. Bradley A. Casper</w:t>
      </w:r>
      <w:r>
        <w:rPr>
          <w:rFonts w:ascii="Arial" w:cs="Arial" w:eastAsia="Arial" w:hAnsi="Arial"/>
          <w:sz w:val="16"/>
          <w:szCs w:val="16"/>
          <w:i w:val="1"/>
          <w:iCs w:val="1"/>
          <w:color w:val="auto"/>
        </w:rPr>
        <w:t xml:space="preserve"> </w:t>
      </w:r>
      <w:r>
        <w:rPr>
          <w:rFonts w:ascii="Arial" w:cs="Arial" w:eastAsia="Arial" w:hAnsi="Arial"/>
          <w:sz w:val="16"/>
          <w:szCs w:val="16"/>
          <w:color w:val="auto"/>
        </w:rPr>
        <w:t>(chair), David J. Johnson, Kevin F. Warren and Ms. Sara R. Dial, each of whom our Board of Directors has determined is “independent,” as defined under and required by the rules of the Nasdaq Stock Market. Our Nominating and Corporate Governance Committee met four times during 2013.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evaluation of the Board of Directors and each committee.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Arial" w:cs="Arial" w:eastAsia="Arial" w:hAnsi="Arial"/>
          <w:sz w:val="17"/>
          <w:szCs w:val="17"/>
          <w:u w:val="single" w:color="auto"/>
          <w:color w:val="auto"/>
        </w:rPr>
        <w:t>www.gcu.edu</w:t>
      </w:r>
      <w:r>
        <w:rPr>
          <w:rFonts w:ascii="Arial" w:cs="Arial" w:eastAsia="Arial" w:hAnsi="Arial"/>
          <w:sz w:val="17"/>
          <w:szCs w:val="17"/>
          <w:i w:val="1"/>
          <w:iCs w:val="1"/>
          <w:color w:val="auto"/>
        </w:rPr>
        <w:t>.</w:t>
      </w:r>
      <w:r>
        <w:rPr>
          <w:rFonts w:ascii="Arial" w:cs="Arial" w:eastAsia="Arial" w:hAnsi="Arial"/>
          <w:sz w:val="17"/>
          <w:szCs w:val="17"/>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intends to make such selections pursuant to the following process:</w:t>
      </w:r>
    </w:p>
    <w:p>
      <w:pPr>
        <w:spacing w:after="0" w:line="76" w:lineRule="exact"/>
        <w:rPr>
          <w:sz w:val="20"/>
          <w:szCs w:val="20"/>
          <w:color w:val="auto"/>
        </w:rPr>
      </w:pPr>
    </w:p>
    <w:p>
      <w:pPr>
        <w:ind w:left="900" w:right="6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identification of director candidates by our Nominating and Corporate Governance Committee based upon suggestions from current directors and senior management, recommendations by stockholders and/or use of a director search firm;</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review of the candidates’ qualifications by our Nominating and Corporate Governance Committee to determine which candidates best meet our Board of Directors’ required and desired criteria;</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interviews of interested candidates who best meet these criteria by the chair of the Nominating and Corporate Governance Committee, the chair of our Board of Directors, and/or certain other directors and management;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3" w:name="page14"/>
    <w:bookmarkEnd w:id="13"/>
    <w:p>
      <w:pPr>
        <w:ind w:left="900" w:right="260" w:hanging="446"/>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formal nomination by our Board of Directors.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94"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130"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director/proposed nominee assists in achieving a mix of members on our Board of Directors that represents a diversity of background, perspective and experience;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director/proposed nominee meets the independence requirements of the listing standards of the Nasdaq Stock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director/proposed nominee has the business experience relevant to an understanding of our business;</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director/proposed nominee, by virtue of particular technical expertise, experience or specialized skill relevant to our current or future business, will add specific value as a Board member;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3300 W. Camelback Road, Phoenix, Arizona 85017. Submissions must be received not less than 120 calendar days in advance of the first anniversary of the date that the Company’s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For our 2015 Annual Meeting of Stockholders, stockholder nominations must be received by December 5, 2014.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4" w:name="page15"/>
    <w:bookmarkEnd w:id="14"/>
    <w:p>
      <w:pPr>
        <w:ind w:firstLine="456"/>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During 2013, Messrs. Johnson and Henry and Ms. Dial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3300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Stock Ownership Guidelines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 xml:space="preserve">The Board of Directors believes that each director should develop a meaningful ownership position in the Company. Therefore, the Board of Directors has adopted stock ownership guidelines for directors. Pursuant to these guidelines, which are set forth in our Corporate Governance Principles and Practices and available on the Corporate Governance section of the Investor Relations page on our website at </w:t>
      </w:r>
      <w:r>
        <w:rPr>
          <w:rFonts w:ascii="Arial" w:cs="Arial" w:eastAsia="Arial" w:hAnsi="Arial"/>
          <w:sz w:val="17"/>
          <w:szCs w:val="17"/>
          <w:i w:val="1"/>
          <w:iCs w:val="1"/>
          <w:color w:val="auto"/>
        </w:rPr>
        <w:t>www.gcu.edu</w:t>
      </w:r>
      <w:r>
        <w:rPr>
          <w:rFonts w:ascii="Arial" w:cs="Arial" w:eastAsia="Arial" w:hAnsi="Arial"/>
          <w:sz w:val="17"/>
          <w:szCs w:val="17"/>
          <w:color w:val="auto"/>
        </w:rPr>
        <w:t>, each director is expected to own at least $50,000 of our Common Stock and is expected to achieve the target ownership threshold within two years of their election to the Board of Directors. As of December 31, 2013, all directors are in compliance with the stock ownership guidelines.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2013, we had a compensation program in place for our non-employee directors, which provided for the following. New non-employee directors, upon appointment or election to the Board of Directors, receive an award of restricted stock under our 2008 Equity Incentive Plan (the “Equity Incentive Plan”) valued at $20,000 on the date of grant, which vests on the one year anniversary of the date of grant, subject to accelerated vesting in the event of a change in control. For serving on the Board of Directors, our non-employee directors also receive an annual retainer of $40,000 in cash and an award of restricted stock under our Equity Incentive Plan valued at $60,000 on the date of grant.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annual cash retainer of $33,333, each non-employee director receives an annual cash retainer for service on a Board committee of $5,000, and each committee chair receives an additional annual cash retainer of $2,500, except for the chair of the Audit Committee, whose additional annual cash retainer is $10,000. We reimburse all of our directors for reasonable expenses incurred to attend our Board of Directors and committee meetings.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Director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paid to our non-employee directors in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(1)</w:t>
            </w:r>
          </w:p>
        </w:tc>
        <w:tc>
          <w:tcPr>
            <w:tcW w:w="2680" w:type="dxa"/>
            <w:vAlign w:val="bottom"/>
            <w:vMerge w:val="restart"/>
          </w:tcPr>
          <w:p>
            <w:pPr>
              <w:spacing w:after="0"/>
              <w:rPr>
                <w:sz w:val="14"/>
                <w:szCs w:val="14"/>
                <w:color w:val="auto"/>
              </w:rPr>
            </w:pPr>
          </w:p>
        </w:tc>
        <w:tc>
          <w:tcPr>
            <w:tcW w:w="1920" w:type="dxa"/>
            <w:vAlign w:val="bottom"/>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w:t>
            </w:r>
          </w:p>
        </w:tc>
        <w:tc>
          <w:tcPr>
            <w:tcW w:w="15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1"/>
              </w:rPr>
              <w:t xml:space="preserve">Stock Awards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w:t>
            </w:r>
          </w:p>
        </w:tc>
        <w:tc>
          <w:tcPr>
            <w:tcW w:w="36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58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gridSpan w:val="3"/>
          </w:tcPr>
          <w:p>
            <w:pPr>
              <w:jc w:val="right"/>
              <w:ind w:right="700"/>
              <w:spacing w:after="0" w:line="158" w:lineRule="exact"/>
              <w:rPr>
                <w:sz w:val="20"/>
                <w:szCs w:val="20"/>
                <w:color w:val="auto"/>
              </w:rPr>
            </w:pPr>
            <w:r>
              <w:rPr>
                <w:rFonts w:ascii="Arial" w:cs="Arial" w:eastAsia="Arial" w:hAnsi="Arial"/>
                <w:sz w:val="14"/>
                <w:szCs w:val="14"/>
                <w:b w:val="1"/>
                <w:bCs w:val="1"/>
                <w:color w:val="auto"/>
                <w:w w:val="93"/>
              </w:rPr>
              <w:t xml:space="preserve">Paid in Cash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15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J. Johnson</w:t>
            </w:r>
          </w:p>
        </w:tc>
        <w:tc>
          <w:tcPr>
            <w:tcW w:w="1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85,833</w:t>
            </w:r>
          </w:p>
        </w:tc>
        <w:tc>
          <w:tcPr>
            <w:tcW w:w="7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9"/>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$145,833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60,000</w:t>
            </w: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60,000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52,500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112,500</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Kevin F. Warren</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60,000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 R. Dial</w:t>
            </w: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42,500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122,500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320" w:hanging="452"/>
        <w:spacing w:after="0" w:line="274"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Directors who are Company employees receive no additional compensation for serving on the Board of Directors. Compensation for our employees who also serve as directors is reflected in the Summary Compensation Table set forth in “Executive Compensation” below.</w:t>
      </w:r>
    </w:p>
    <w:p>
      <w:pPr>
        <w:ind w:left="460" w:right="36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part of their annual retainer, a restricted stock grant valued at $60,000 on the date of grant was made to each of Messrs. Johnson, Henry, Casper, Warren and Ms. Dial after our annual meeting of stockholders on May 16, 2013. Ms. Dial was appointed to the Board of Directors and received a restricted stock grant valued at $20,000 on the date of grant in March 2013.</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6" w:name="page17"/>
    <w:bookmarkEnd w:id="16"/>
    <w:p>
      <w:pPr>
        <w:ind w:right="4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a breakdown of the cash compensation paid to our non-employee directors in 2013 in respect of their annual retainers for service on the Board of Directors, for service on Board committees, and for services as a Board committee chair or as lead independent director:</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Board 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Board</w:t>
            </w:r>
          </w:p>
        </w:tc>
        <w:tc>
          <w:tcPr>
            <w:tcW w:w="2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Committee</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Chair</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8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Directors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Committee</w:t>
            </w:r>
          </w:p>
        </w:tc>
        <w:tc>
          <w:tcPr>
            <w:tcW w:w="2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Annual</w:t>
            </w:r>
          </w:p>
        </w:tc>
        <w:tc>
          <w:tcPr>
            <w:tcW w:w="30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1340" w:type="dxa"/>
            <w:vAlign w:val="bottom"/>
            <w:gridSpan w:val="3"/>
          </w:tcPr>
          <w:p>
            <w:pPr>
              <w:jc w:val="right"/>
              <w:ind w:right="300"/>
              <w:spacing w:after="0" w:line="158" w:lineRule="exact"/>
              <w:rPr>
                <w:sz w:val="20"/>
                <w:szCs w:val="20"/>
                <w:color w:val="auto"/>
              </w:rPr>
            </w:pPr>
            <w:r>
              <w:rPr>
                <w:rFonts w:ascii="Arial" w:cs="Arial" w:eastAsia="Arial" w:hAnsi="Arial"/>
                <w:sz w:val="14"/>
                <w:szCs w:val="14"/>
                <w:b w:val="1"/>
                <w:bCs w:val="1"/>
                <w:color w:val="auto"/>
                <w:w w:val="94"/>
              </w:rPr>
              <w:t>Annual Retainer</w:t>
            </w:r>
          </w:p>
        </w:tc>
        <w:tc>
          <w:tcPr>
            <w:tcW w:w="300" w:type="dxa"/>
            <w:vAlign w:val="bottom"/>
          </w:tcPr>
          <w:p>
            <w:pPr>
              <w:spacing w:after="0"/>
              <w:rPr>
                <w:sz w:val="15"/>
                <w:szCs w:val="15"/>
                <w:color w:val="auto"/>
              </w:rPr>
            </w:pPr>
          </w:p>
        </w:tc>
        <w:tc>
          <w:tcPr>
            <w:tcW w:w="140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Annual Retainers</w:t>
            </w:r>
          </w:p>
        </w:tc>
        <w:tc>
          <w:tcPr>
            <w:tcW w:w="280" w:type="dxa"/>
            <w:vAlign w:val="bottom"/>
          </w:tcPr>
          <w:p>
            <w:pPr>
              <w:spacing w:after="0"/>
              <w:rPr>
                <w:sz w:val="15"/>
                <w:szCs w:val="15"/>
                <w:color w:val="auto"/>
              </w:rPr>
            </w:pPr>
          </w:p>
        </w:tc>
        <w:tc>
          <w:tcPr>
            <w:tcW w:w="10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Retainer</w:t>
            </w:r>
          </w:p>
        </w:tc>
        <w:tc>
          <w:tcPr>
            <w:tcW w:w="3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J. Johnson(1)</w:t>
            </w: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$ 35,833</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$85,833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Jack A. Henry(1)</w:t>
            </w:r>
          </w:p>
        </w:tc>
        <w:tc>
          <w:tcPr>
            <w:tcW w:w="1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10,000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Kevin F. Warren(1)</w:t>
            </w:r>
          </w:p>
        </w:tc>
        <w:tc>
          <w:tcPr>
            <w:tcW w:w="1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 R. Dial(1)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5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for Mr. Johnson includes the additional annual retainer of $33,333 that he receives in his capacity as lead independent director. The amounts for all non-employee directors exclude their respective annual restricted stock grants valued at $60,000 on the date of grant. Ms. Dial joined our Board of Directors in March 2013 and joined our Compensation Committee and our Nominating and Corporate Governance Committee in October 2013. The amount for Ms. Dial also excludes the restricted stock grant valued at $20,000 on the date of grant that was made to her upon her appointment to the Board in March 2013.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Director Compensation for 2014</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an analysis prepared by Mercer, our Compensation Committee recommended, and our Board of Directors approved, changes to the compensation program for our non-employee directors, which took effect on January 1, 2014. Under the new program, for serving on our Board of Directors, our non-employee directors will receive an annual retainer of $50,000 in cash and an award of restricted stock under our Equity Incentive Plan valued at $75,000 on the date of grant. Additionally, each committee chair will receive an additional cash retainer of $10,000, except for the chair of the Audit Committee, whose additional cash retainer will be $15,000. The remaining provisions of the compensation program remain unchanged.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bylaws provide that our business will be managed by or under the direction of a Board of Directors. The number of directors constituting our Board of Directors is determined from time to time by our Board of Directors. Currently, our Board of Directors consists of seven members.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seven persons named below for election as directors. Proxies solicited by our Board of Directors will, unless otherwise directed, be voted to elect the seven nominees named below to constitute the entire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Director Nominees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420" w:type="dxa"/>
            <w:vAlign w:val="bottom"/>
          </w:tcPr>
          <w:p>
            <w:pPr>
              <w:spacing w:after="0"/>
              <w:rPr>
                <w:sz w:val="16"/>
                <w:szCs w:val="16"/>
                <w:color w:val="auto"/>
              </w:rPr>
            </w:pPr>
          </w:p>
        </w:tc>
        <w:tc>
          <w:tcPr>
            <w:tcW w:w="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4740" w:type="dxa"/>
            <w:vAlign w:val="bottom"/>
            <w:gridSpan w:val="2"/>
          </w:tcPr>
          <w:p>
            <w:pPr>
              <w:ind w:left="2060"/>
              <w:spacing w:after="0"/>
              <w:rPr>
                <w:sz w:val="20"/>
                <w:szCs w:val="20"/>
                <w:color w:val="auto"/>
              </w:rPr>
            </w:pPr>
            <w:r>
              <w:rPr>
                <w:rFonts w:ascii="Arial" w:cs="Arial" w:eastAsia="Arial" w:hAnsi="Arial"/>
                <w:sz w:val="14"/>
                <w:szCs w:val="14"/>
                <w:b w:val="1"/>
                <w:bCs w:val="1"/>
                <w:color w:val="auto"/>
              </w:rPr>
              <w:t>Position</w:t>
            </w:r>
          </w:p>
        </w:tc>
        <w:tc>
          <w:tcPr>
            <w:tcW w:w="4520" w:type="dxa"/>
            <w:vAlign w:val="bottom"/>
          </w:tcPr>
          <w:p>
            <w:pPr>
              <w:ind w:left="1500"/>
              <w:spacing w:after="0"/>
              <w:rPr>
                <w:sz w:val="20"/>
                <w:szCs w:val="20"/>
                <w:color w:val="auto"/>
              </w:rPr>
            </w:pPr>
            <w:r>
              <w:rPr>
                <w:rFonts w:ascii="Arial" w:cs="Arial" w:eastAsia="Arial" w:hAnsi="Arial"/>
                <w:sz w:val="14"/>
                <w:szCs w:val="14"/>
                <w:b w:val="1"/>
                <w:bCs w:val="1"/>
                <w:color w:val="auto"/>
              </w:rPr>
              <w:t>Committee Membership</w:t>
            </w:r>
          </w:p>
        </w:tc>
      </w:tr>
      <w:tr>
        <w:trPr>
          <w:trHeight w:val="203"/>
        </w:trPr>
        <w:tc>
          <w:tcPr>
            <w:tcW w:w="1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Brent D. Richardson</w:t>
            </w:r>
          </w:p>
        </w:tc>
        <w:tc>
          <w:tcPr>
            <w:tcW w:w="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51</w:t>
            </w:r>
          </w:p>
        </w:tc>
        <w:tc>
          <w:tcPr>
            <w:tcW w:w="12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Executive Chairman</w:t>
            </w:r>
          </w:p>
        </w:tc>
        <w:tc>
          <w:tcPr>
            <w:tcW w:w="120" w:type="dxa"/>
            <w:vAlign w:val="bottom"/>
            <w:tcBorders>
              <w:top w:val="single" w:sz="8" w:color="CCEEFF"/>
            </w:tcBorders>
            <w:shd w:val="clear" w:color="auto" w:fill="CCEEFF"/>
          </w:tcPr>
          <w:p>
            <w:pPr>
              <w:spacing w:after="0"/>
              <w:rPr>
                <w:sz w:val="17"/>
                <w:szCs w:val="17"/>
                <w:color w:val="auto"/>
              </w:rPr>
            </w:pPr>
          </w:p>
        </w:tc>
        <w:tc>
          <w:tcPr>
            <w:tcW w:w="4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None</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Brian E. Mueller</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Chief Executive Officer,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None</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Director, and President of Grand Canyon University</w:t>
            </w:r>
          </w:p>
        </w:tc>
        <w:tc>
          <w:tcPr>
            <w:tcW w:w="4520" w:type="dxa"/>
            <w:vAlign w:val="bottom"/>
          </w:tcPr>
          <w:p>
            <w:pPr>
              <w:spacing w:after="0"/>
              <w:rPr>
                <w:sz w:val="20"/>
                <w:szCs w:val="20"/>
                <w:color w:val="auto"/>
              </w:rPr>
            </w:pPr>
          </w:p>
        </w:tc>
      </w:tr>
      <w:tr>
        <w:trPr>
          <w:trHeight w:val="215"/>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(chair)</w:t>
            </w:r>
          </w:p>
        </w:tc>
      </w:tr>
      <w:tr>
        <w:trPr>
          <w:trHeight w:val="244"/>
        </w:trPr>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Jack A. Henry</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Director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Audit (chair)</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Compensation</w:t>
            </w:r>
          </w:p>
        </w:tc>
      </w:tr>
      <w:tr>
        <w:trPr>
          <w:trHeight w:val="230"/>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(chair) Audit</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Kevin F. Warren</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Director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Nominating and Corporate Governance</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Audit</w:t>
            </w:r>
          </w:p>
        </w:tc>
      </w:tr>
      <w:tr>
        <w:trPr>
          <w:trHeight w:val="215"/>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 R. Dial</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r>
      <w:tr>
        <w:trPr>
          <w:trHeight w:val="244"/>
        </w:trPr>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r>
    </w:tbl>
    <w:p>
      <w:pPr>
        <w:spacing w:after="0" w:line="202"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i w:val="1"/>
          <w:iCs w:val="1"/>
          <w:color w:val="auto"/>
        </w:rPr>
        <w:t xml:space="preserve">Brent D. Richardson </w:t>
      </w:r>
      <w:r>
        <w:rPr>
          <w:rFonts w:ascii="Arial" w:cs="Arial" w:eastAsia="Arial" w:hAnsi="Arial"/>
          <w:sz w:val="16"/>
          <w:szCs w:val="16"/>
          <w:color w:val="auto"/>
        </w:rPr>
        <w:t>has been serving as our Executive Chairman since July 1, 2008. Mr. Richardson previously served as our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as a director from 2004 to July 2008. From 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received a Bachelor of Science degree in Finance from Eastern Illinois University. As our former Chief Executive Officer, and with more than 20 years of experience in the education industry, we believe that</w:t>
      </w:r>
    </w:p>
    <w:p>
      <w:pPr>
        <w:spacing w:after="0" w:line="5"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Mr. Richardson brings an extensive understanding of both our Company, in particular, and the education industry, in general, to the Board and serves as an invaluable resource for assessing and managing risks and planning for corporate strategy within the context of our overall corporate culture.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8" w:name="page19"/>
    <w:bookmarkEnd w:id="18"/>
    <w:p>
      <w:pPr>
        <w:ind w:right="100" w:firstLine="456"/>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Brian E. Mueller </w:t>
      </w:r>
      <w:r>
        <w:rPr>
          <w:rFonts w:ascii="Arial" w:cs="Arial" w:eastAsia="Arial" w:hAnsi="Arial"/>
          <w:sz w:val="16"/>
          <w:szCs w:val="16"/>
          <w:color w:val="auto"/>
        </w:rPr>
        <w:t>has been serving as our Chief Executive Officer since July 1, 2008, as a director since March 2009 and as the President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University since September 1, 2012. Mr. Mueller has been serving as the President of the Grand Canyon University Foundation, a foundation formed to benefit public charities, since its formation in 2010.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 to day leadership and intimate knowledge of our business and operations, provide the Board of Directors with both industry-wide and Company-specific experience and expertise.</w:t>
      </w:r>
    </w:p>
    <w:p>
      <w:pPr>
        <w:spacing w:after="0" w:line="17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David J. Johnson </w:t>
      </w:r>
      <w:r>
        <w:rPr>
          <w:rFonts w:ascii="Arial" w:cs="Arial" w:eastAsia="Arial" w:hAnsi="Arial"/>
          <w:sz w:val="16"/>
          <w:szCs w:val="16"/>
          <w:color w:val="auto"/>
        </w:rPr>
        <w:t>has been serving as a member of our Board of Directors since November 2008. From 1997 to 2006, Mr. Johnson served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Chairman of the Board of Directors of KinderCare Learning Centers, Inc., a for-profit provider of early childhood education and care services, and from 1991 to 1996, he served as President, Chief Executive Officer, and Chairman of the Board of Directors of Red Lion Hotels Corporation,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currently serves as a director of Red Lion Hotels Corporation. Mr. Johnson received a Bachelor of Arts degree from the University of Oregon and a Master of Business Administration degree from the University of Southern California. We believe that Mr. Johnson’s extensive experience as a Chief Executive Officer of other companies provides a tremendous resource to our Board of Directors and management team, particularly in the areas of operations, finance, and corporate governance.</w:t>
      </w:r>
    </w:p>
    <w:p>
      <w:pPr>
        <w:spacing w:after="0" w:line="16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Jack A. Henry </w:t>
      </w:r>
      <w:r>
        <w:rPr>
          <w:rFonts w:ascii="Arial" w:cs="Arial" w:eastAsia="Arial" w:hAnsi="Arial"/>
          <w:sz w:val="16"/>
          <w:szCs w:val="16"/>
          <w:color w:val="auto"/>
        </w:rPr>
        <w:t>has been serving as a member of our Board of Directors since November 2008. Since 2000, Mr. Henry has served as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boards of directors and audit committees of several private companies and is President of the Arizona Chapter of the National Association of Corporate Directors.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Bradley A. Casper </w:t>
      </w:r>
      <w:r>
        <w:rPr>
          <w:rFonts w:ascii="Arial" w:cs="Arial" w:eastAsia="Arial" w:hAnsi="Arial"/>
          <w:sz w:val="17"/>
          <w:szCs w:val="17"/>
          <w:color w:val="auto"/>
        </w:rPr>
        <w:t>has been serving as a member of our Board of Directors since August 2011. Mr. Casper has served as the President &amp; CEO of</w:t>
      </w:r>
      <w:r>
        <w:rPr>
          <w:rFonts w:ascii="Arial" w:cs="Arial" w:eastAsia="Arial" w:hAnsi="Arial"/>
          <w:sz w:val="17"/>
          <w:szCs w:val="17"/>
          <w:i w:val="1"/>
          <w:iCs w:val="1"/>
          <w:color w:val="auto"/>
        </w:rPr>
        <w:t xml:space="preserve"> </w:t>
      </w:r>
      <w:r>
        <w:rPr>
          <w:rFonts w:ascii="Arial" w:cs="Arial" w:eastAsia="Arial" w:hAnsi="Arial"/>
          <w:sz w:val="17"/>
          <w:szCs w:val="17"/>
          <w:color w:val="auto"/>
        </w:rPr>
        <w:t>Dogswell, LLC, a private equity-backed pet nutrition business, since November 2013. Previously, Mr. Casper served from March 2011 to January 2014 as the Executive Chairman of Dymatize Nutrition, Inc., a private-equity backed sports nutrition company, and from 2011 to 2012 as the President of Business Operations for the Phoenix Suns, a National Basketball Association franchise. From 2005 to 2010, Mr. Casper served as the President and Chief Executive Officer of The Dial Corporation, a consumer product manufacturing company. From 2002 to 2005, Mr. Casper served as the President of the Personal Care division of Church &amp; Dwight Co., Inc., a manufacturer and distributor of consumer goods company. Prior to that time, he served in various positions over 16 years at Procter &amp; Gamble Co. Mr. Casper received his Bachelor of Science degree in Finance from Virginia Tech University and is a graduate of the Financial Management Program at General Electric Company. We believe that Mr. Casper’s marketing expertise, and his extensive experience as a Chief Executive Officer of other companies provides a tremendous resource to our Board of Directors and management team, particularly in the areas of operations, finance and corporate governance.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9" w:name="page20"/>
    <w:bookmarkEnd w:id="19"/>
    <w:p>
      <w:pPr>
        <w:ind w:right="300" w:firstLine="456"/>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Kevin F. Warren </w:t>
      </w:r>
      <w:r>
        <w:rPr>
          <w:rFonts w:ascii="Arial" w:cs="Arial" w:eastAsia="Arial" w:hAnsi="Arial"/>
          <w:sz w:val="16"/>
          <w:szCs w:val="16"/>
          <w:color w:val="auto"/>
        </w:rPr>
        <w:t>has been serving as a member of our Board of Directors since September 2012. Mr. Warren has served as a senior officer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Vikings, a National Football League franchise, since 2005 and currently serves as the club’s Vice President of Legal Affairs &amp; Chief Administrative Officer with responsibility for various day-to-day business, operational and administrative issues, legal affairs, strategic planning, human resources, stadium development and other special projects. Prior to joining the Vikings, from 2003 to 2005, Mr. Warren worked with the international law firm of Greenberg Traurig, which included working with the Wilf ownership group during its acquisition of the Vikings. From 2001 to 2003, Mr. Warren served as Senior Vice President of Business Operations &amp; General Counsel for the Detroit Lions. Prior to that time, Mr. Warren worked with the St. Louis Rams, as Vice President of Football Administration in 2001 and as Vice President of Player Programs &amp; Football Legal Counsel from 1997 to 2000.</w:t>
      </w:r>
    </w:p>
    <w:p>
      <w:pPr>
        <w:spacing w:after="0" w:line="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Mr. Warren earned his bachelor’s degree in business administration from Grand Canyon University and, in March 2012, was inducted into the Grand Canyon University Athletics Hall of Fame. Mr. Warren also earned his master’s degree in business administration from Arizona State University, and his Juris Doctorate degree from the University of Notre Dame School of Law. We believe Mr. Warren’s extensive experience with legal, financial and marketing expertise provides a tremendous resource to our Board of Directors and management team, particularly in the areas of operations, finance and corporate governance.</w:t>
      </w:r>
    </w:p>
    <w:p>
      <w:pPr>
        <w:spacing w:after="0" w:line="19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Sara R. Dial </w:t>
      </w:r>
      <w:r>
        <w:rPr>
          <w:rFonts w:ascii="Arial" w:cs="Arial" w:eastAsia="Arial" w:hAnsi="Arial"/>
          <w:sz w:val="16"/>
          <w:szCs w:val="16"/>
          <w:color w:val="auto"/>
        </w:rPr>
        <w:t>has been serving as a member of our Board of Directors since March 2013. Ms. Dial was previously a member of the board of trustees at</w:t>
      </w:r>
      <w:r>
        <w:rPr>
          <w:rFonts w:ascii="Arial" w:cs="Arial" w:eastAsia="Arial" w:hAnsi="Arial"/>
          <w:sz w:val="16"/>
          <w:szCs w:val="16"/>
          <w:i w:val="1"/>
          <w:iCs w:val="1"/>
          <w:color w:val="auto"/>
        </w:rPr>
        <w:t xml:space="preserve"> </w:t>
      </w:r>
      <w:r>
        <w:rPr>
          <w:rFonts w:ascii="Arial" w:cs="Arial" w:eastAsia="Arial" w:hAnsi="Arial"/>
          <w:sz w:val="16"/>
          <w:szCs w:val="16"/>
          <w:color w:val="auto"/>
        </w:rPr>
        <w:t>Seattle Pacific University. Ms. Dial has served as President and CEO of Sara Dial &amp; Associates, an economic development consulting firm specializing in site selection and government relations since 1996, where she has led high profile economic development initiatives in Arizona and the restructuring of Arizona’s statewide economic development organization. From 2002 through 2003, Ms. Dial also served as the Chief Executive of Social Venture Partners Arizona, a philanthropic foundation using a venture capital approach to giving. In 2004, Ms. Dial was elected as Chairman of the Board of Social Venture Partners Arizona. From 1993 to 1996, Ms. Dial served as the director of the Arizona Department of Commerce, having previously served as the finance director from 1991 to 1993. Prior to her work in the public sector, Ms. Dial worked in the investment banking industry at Rauscher Pierces Refsnes, Boettcher and Company and Kemper Securities Group, focusing on municipal finance. Ms. Dial is a graduate of Stanford University with a Bachelor of Arts degree in international relations. We believe Ms. Dial’s extensive experience with government, higher education and economic development expertise provides a tremendous resource to our Board of Directors and management team, particularly in the areas of government relations, finance and corporate governance.</w:t>
      </w:r>
    </w:p>
    <w:p>
      <w:pPr>
        <w:spacing w:after="0" w:line="165"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seven nominees listed above to constitute our Board of Directors.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1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2011 Annual Meeting, our stockholders voted in favor of holding Say-On-Pay votes annually. In light of this result and other factors considered by the Board, the Board has determined that the Company will hold Say-On-Pay votes on an annual basis until the next required vote on the frequency of such Say-On-Pay votes.</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Compensation Discussion and Analysis section starting on page 19 of this proxy statement for a detailed discussion about our executive compensation programs, including information about the fiscal 2013 compensation of our named executive officers.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Compensation Discussion and Analysis section starting on page 19 of this proxy statement provides a more detailed discussion of our executive compensation program. We believe that the compensation program we follow helps us achieve our principal compensation objectives.</w:t>
      </w:r>
    </w:p>
    <w:p>
      <w:pPr>
        <w:spacing w:after="0" w:line="19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will be asked at the Annual Meeting to approve the following resolution pursuant to this Proposal No. 2:</w:t>
      </w:r>
    </w:p>
    <w:p>
      <w:pPr>
        <w:spacing w:after="0" w:line="225"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“RESOLVED, that the stockholders of Grand Canyon Education, Inc. approve, on an advisory basis, the compensation of the Company’s named executive officers, disclosed pursuant to Item 402 of Regulation S-K in the Company’s definitive proxy statement for the 2014 Annual Meeting of Stockholders.”</w:t>
      </w:r>
    </w:p>
    <w:p>
      <w:pPr>
        <w:spacing w:after="0" w:line="177"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resolution approving the compensation of our named executive officers as disclosed in this proxy statement.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Audit Committee of the Board of Directors has selected KPMG LLP (“KPMG”), an independent registered public accounting firm, to audit our consolidated financial statements for the year ending December 31, 2014.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2014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KPMG has served as our independent registered public accounting firm since June 21, 2012. Prior to such time, Ernst &amp; Young LLP (“Ernst &amp; Young”) served as our independent registered public accounting firm. See “Changes in Independent Registered Public Accounting Firm” below. Proxies solicited by our Board of Directors will, unless otherwise directed, be voted to ratify the appointment of KPMG as our independent registered public accounting firm for the fiscal year ending December 31, 2014.</w:t>
      </w:r>
    </w:p>
    <w:p>
      <w:pPr>
        <w:spacing w:after="0" w:line="18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166"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KPMG LLP as our independent registered public accounting firm for the fiscal year ending December 31,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121"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For the years ended December 31, 2013 and 2012, KPMG and Ernst &amp; Young billed us the amounts set forth below for professional services rendered in connection with audit, audit-related, tax and other professional services. All of the fees for audit, audit-related, tax and other services performed by KPMG or Ernst &amp; Young were pre-approved by the Audit Committee in accordance with the pre-approval policies and procedures described below.</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Services Rendered</w:t>
            </w:r>
          </w:p>
        </w:tc>
        <w:tc>
          <w:tcPr>
            <w:tcW w:w="5620" w:type="dxa"/>
            <w:vAlign w:val="bottom"/>
          </w:tcPr>
          <w:p>
            <w:pPr>
              <w:spacing w:after="0"/>
              <w:rPr>
                <w:sz w:val="16"/>
                <w:szCs w:val="16"/>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r>
      <w:tr>
        <w:trPr>
          <w:trHeight w:val="203"/>
        </w:trPr>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 (2)</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$495,843</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$571,070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499,343</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583,470</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Fees in 2013 relate to services rendered for the audits of our annual consolidated financial statements, for the review of our quarterly financial statements, and for services that are normally provided by the auditor in connection with statutory and regulatory filings or engagements. For 2013, we paid $25,000 to Ernst &amp; Young for their services in providing necessary filing consents.</w:t>
      </w:r>
    </w:p>
    <w:p>
      <w:pPr>
        <w:ind w:left="460" w:right="8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Audit Fees in 2012 relate to services rendered for the audits of our annual consolidated financial statements, for the review of our quarterly financial statements, and for services that are normally provided by the auditor in connection with statutory and regulatory filings or engagements. For 2012, we were billed $467,500 by KPMG for audit fees for the period commencing on June 21, 2012. We also paid $30,114 to Ernst &amp; Young for its services in connection with the review of our financial statements for the first quarter of 2012. We paid an additional $73,456 to Ernst &amp; Young for transition type services (e.g. consent, review of workpapers and review of preferability letter, etc.) in connection with our change to KPMG.</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Fees in 2012 relate to amounts paid to KPMG for tax consulting services.</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Fees relate to amounts paid to KPMG in 2013 in connection with their attestation review for a state regulatory report and to amounts paid to Ernst &amp; Young in 2012 in connection with their consent to our filing of a Registration Statement on Form S-8.</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of Independent Registered Public Accounting Firm Services and Fees</w:t>
      </w:r>
    </w:p>
    <w:p>
      <w:pPr>
        <w:spacing w:after="0" w:line="121"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a regular basis, management provides written updates to the Audit Committee regarding the amount of audit and non-audit service fees incurred to date. All of the services described above for fiscal years 2013 and 2012 were approved by our Audit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During 2012, the Audit Committee completed a competitive process to review the appointment of the Company’s independent registered public accounting firm for the year ended December 31, 2012. As a result of this process, the Audit Committee dismissed Ernst &amp; Young from that role, effective June 18, 2012, and engaged KPMG as the Company’s independent registered public accounting firm, effective June 21, 2012, for the fiscal year ending December 31, 2012. Notwithstanding this change, Ernst &amp; Young completed certain audit services related to our preparation of Government Auditing Standard consolidated financial statements for the year ended December 31, 2011 that were filed with the Department of Education.</w:t>
      </w:r>
    </w:p>
    <w:p>
      <w:pPr>
        <w:spacing w:after="0" w:line="15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For the fiscal years ended December 31, 2010 and December 31, 2011, Ernst &amp; Young’s reports on our consolidated financial statements did not contain an adverse opinion or disclaimer of opinion, nor were they qualified or modified as to uncertainty, audit scope or accounting principles. In addition, during the fiscal years ended December 31, 2010 and December 31, 2011, and the subsequent interim period through June 18, 2012, there were no “disagreements” between us and Ernst &amp; Young, as defined in Item 304(a)(1(iv) of Regulation S-K, on any matter of accounting principles or practices, financial statement disclosure or auditing scope or procedures, which disagreements, if not resolved to Ernst &amp; Young’s satisfaction, would have caused Ernst &amp; Young to make reference to the subject matter of the disagreement in connection with its reports on the financial statements for such years.</w:t>
      </w:r>
    </w:p>
    <w:p>
      <w:pPr>
        <w:spacing w:after="0" w:line="165"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During the fiscal years ended December 31, 2010 and December 31, 2011, and the subsequent interim period through June 18, 2012, there was one “reportable event” as that term is defined in Item 304(a)(1)(v) of Regulation S-K, relating to a disclosure of a material weakness in internal control over financial reporting. On November 14, 2011, we amended our Annual Report on Form 10-K for the fiscal year ended December 31, 2010 and amended our unaudited interim financial statements for the quarters ended June 30, 2010, September 30, 2010, March 31, 2011 and June 30, 2011 to restate the financial statements relating to these periods to correct the methodology we were using to estimate our allowance for doubtful accounts. The correction and the corresponding restatements resulted in management’s determination that a material weakness existed with respect to the internal controls over financial reporting with respect to our calculation of the allowance for doubtful accounts. The material weakness existed at June 30, 2010, September 30,</w:t>
      </w:r>
    </w:p>
    <w:p>
      <w:pPr>
        <w:spacing w:after="0" w:line="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2010, December 31, 2010, March 31, 2011, June 30, 2011 and September 30, 2011 and was remediated by management as of the date of the amended filings, November 14, 2011. To remediate the material weakness, we conducted a full review of our methodology for estimating the allowance for doubtful accounts, established controls and procedures adequate to timely identify changes to the composition of our accounts receivable, and established controls and procedures to enhance our ability to monitor collection trends. There were no other “reportable events” as such term is defined in Regulation S-K.</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70" w:right="319" w:bottom="1440" w:gutter="0" w:footer="0" w:header="0"/>
        </w:sectPr>
      </w:pPr>
    </w:p>
    <w:bookmarkStart w:id="23" w:name="page24"/>
    <w:bookmarkEnd w:id="23"/>
    <w:p>
      <w:pPr>
        <w:ind w:right="10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fiscal years ended December 31, 2010 and December 31, 2011, and the subsequent interim periods through June 21, 2012, neither we nor anyone acting on our behalf consulted with KPMG regarding (i) the application of accounting principles to a specified transaction, either completed or proposed, or the type of audit opinion that might be rendered on our consolidated financial statements, and neither a written report nor oral advice was provided to us that KPMG concluded was an important factor considered by us in reaching a decision as to any accounting, auditing, or financial reporting issue, or (ii) any matter that was either the subject of a “disagreement” or “reportable event” as those terms are defined in Item 304(a)(1) of Regulation S-K.</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Our Audit Committee is composed of three members, each of whom the Board has determined to be an independent director as defined by the listing standards of the Nasdaq Stock Market. The duties of the Audit Committee are summarized in this proxy statement under “Committees of Our Board of Directors” on page 4 and are more fully described in the Audit Committee charter adopted by the Board of Directors.</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reviewed and discussed our Company’s audited financial statements for the fiscal year ended December 31, 2013, with management;</w:t>
      </w:r>
    </w:p>
    <w:p>
      <w:pPr>
        <w:spacing w:after="0" w:line="46" w:lineRule="exact"/>
        <w:rPr>
          <w:sz w:val="20"/>
          <w:szCs w:val="20"/>
          <w:color w:val="auto"/>
        </w:rPr>
      </w:pPr>
    </w:p>
    <w:p>
      <w:pPr>
        <w:ind w:right="140" w:firstLine="8"/>
        <w:spacing w:after="0" w:line="253"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discussed with our Company’s independent registered public accounting firm the matters required to be discussed by Codification of Statements on Auditing Standards, AU § 380 regarding communication with Audit Committees; (c)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 discussed with the independent registered public accounting firm its independence.</w:t>
      </w:r>
    </w:p>
    <w:p>
      <w:pPr>
        <w:spacing w:after="0" w:line="19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2013, for filing with the Securities and Exchange Commission.</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17"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Jack A. Henry (Chair)</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Bradley A. Casper</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Kevin F. Warren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The following sets forth information regarding our non-director executive officers as of the date of this proxy statement. For information regarding Brent D. Richardson, our Executive Chairman, and Brian E. Mueller, our Chief Executive Officer, and a director, and President of Grand Canyon University, see “Proposal No. 1 </w:t>
      </w:r>
      <w:r>
        <w:rPr>
          <w:rFonts w:ascii="Arial" w:cs="Arial" w:eastAsia="Arial" w:hAnsi="Arial"/>
          <w:sz w:val="18"/>
          <w:szCs w:val="18"/>
          <w:b w:val="1"/>
          <w:bCs w:val="1"/>
          <w:color w:val="auto"/>
        </w:rPr>
        <w:t>—</w:t>
      </w:r>
      <w:r>
        <w:rPr>
          <w:rFonts w:ascii="Arial" w:cs="Arial" w:eastAsia="Arial" w:hAnsi="Arial"/>
          <w:sz w:val="18"/>
          <w:szCs w:val="18"/>
          <w:color w:val="auto"/>
        </w:rPr>
        <w:t xml:space="preserve"> Election of Directors </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Directors and Director Nominees.”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100" w:type="dxa"/>
            <w:vAlign w:val="bottom"/>
          </w:tcPr>
          <w:p>
            <w:pPr>
              <w:jc w:val="center"/>
              <w:ind w:left="1054"/>
              <w:spacing w:after="0"/>
              <w:rPr>
                <w:sz w:val="20"/>
                <w:szCs w:val="20"/>
                <w:color w:val="auto"/>
              </w:rPr>
            </w:pPr>
            <w:r>
              <w:rPr>
                <w:rFonts w:ascii="Arial" w:cs="Arial" w:eastAsia="Arial" w:hAnsi="Arial"/>
                <w:sz w:val="14"/>
                <w:szCs w:val="14"/>
                <w:b w:val="1"/>
                <w:bCs w:val="1"/>
                <w:color w:val="auto"/>
                <w:w w:val="90"/>
              </w:rPr>
              <w:t>Age</w:t>
            </w:r>
          </w:p>
        </w:tc>
        <w:tc>
          <w:tcPr>
            <w:tcW w:w="4760" w:type="dxa"/>
            <w:vAlign w:val="bottom"/>
          </w:tcPr>
          <w:p>
            <w:pPr>
              <w:ind w:left="88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3100" w:type="dxa"/>
            <w:vAlign w:val="bottom"/>
            <w:shd w:val="clear" w:color="auto" w:fill="CCEEFF"/>
          </w:tcPr>
          <w:p>
            <w:pPr>
              <w:jc w:val="center"/>
              <w:ind w:left="1074"/>
              <w:spacing w:after="0"/>
              <w:rPr>
                <w:sz w:val="20"/>
                <w:szCs w:val="20"/>
                <w:color w:val="auto"/>
              </w:rPr>
            </w:pPr>
            <w:r>
              <w:rPr>
                <w:rFonts w:ascii="Arial" w:cs="Arial" w:eastAsia="Arial" w:hAnsi="Arial"/>
                <w:sz w:val="18"/>
                <w:szCs w:val="18"/>
                <w:color w:val="auto"/>
                <w:w w:val="89"/>
              </w:rPr>
              <w:t>53</w:t>
            </w:r>
          </w:p>
        </w:tc>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Chief Operating Officer</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Daniel E. Bachus</w:t>
            </w:r>
          </w:p>
        </w:tc>
        <w:tc>
          <w:tcPr>
            <w:tcW w:w="3100" w:type="dxa"/>
            <w:vAlign w:val="bottom"/>
          </w:tcPr>
          <w:p>
            <w:pPr>
              <w:jc w:val="center"/>
              <w:ind w:left="1074"/>
              <w:spacing w:after="0"/>
              <w:rPr>
                <w:sz w:val="20"/>
                <w:szCs w:val="20"/>
                <w:color w:val="auto"/>
              </w:rPr>
            </w:pPr>
            <w:r>
              <w:rPr>
                <w:rFonts w:ascii="Arial" w:cs="Arial" w:eastAsia="Arial" w:hAnsi="Arial"/>
                <w:sz w:val="18"/>
                <w:szCs w:val="18"/>
                <w:color w:val="auto"/>
                <w:w w:val="89"/>
              </w:rPr>
              <w:t>43</w:t>
            </w:r>
          </w:p>
        </w:tc>
        <w:tc>
          <w:tcPr>
            <w:tcW w:w="4760" w:type="dxa"/>
            <w:vAlign w:val="bottom"/>
          </w:tcPr>
          <w:p>
            <w:pPr>
              <w:ind w:left="880"/>
              <w:spacing w:after="0"/>
              <w:rPr>
                <w:sz w:val="20"/>
                <w:szCs w:val="20"/>
                <w:color w:val="auto"/>
              </w:rPr>
            </w:pPr>
            <w:r>
              <w:rPr>
                <w:rFonts w:ascii="Arial" w:cs="Arial" w:eastAsia="Arial" w:hAnsi="Arial"/>
                <w:sz w:val="18"/>
                <w:szCs w:val="18"/>
                <w:color w:val="auto"/>
              </w:rPr>
              <w:t>Chief Financial Officer</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3100" w:type="dxa"/>
            <w:vAlign w:val="bottom"/>
            <w:shd w:val="clear" w:color="auto" w:fill="CCEEFF"/>
          </w:tcPr>
          <w:p>
            <w:pPr>
              <w:jc w:val="center"/>
              <w:ind w:left="1074"/>
              <w:spacing w:after="0"/>
              <w:rPr>
                <w:sz w:val="20"/>
                <w:szCs w:val="20"/>
                <w:color w:val="auto"/>
              </w:rPr>
            </w:pPr>
            <w:r>
              <w:rPr>
                <w:rFonts w:ascii="Arial" w:cs="Arial" w:eastAsia="Arial" w:hAnsi="Arial"/>
                <w:sz w:val="18"/>
                <w:szCs w:val="18"/>
                <w:color w:val="auto"/>
                <w:w w:val="89"/>
              </w:rPr>
              <w:t>60</w:t>
            </w:r>
          </w:p>
        </w:tc>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Chief Information Officer</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Brian M. Roberts</w:t>
            </w:r>
          </w:p>
        </w:tc>
        <w:tc>
          <w:tcPr>
            <w:tcW w:w="3100" w:type="dxa"/>
            <w:vAlign w:val="bottom"/>
          </w:tcPr>
          <w:p>
            <w:pPr>
              <w:jc w:val="center"/>
              <w:ind w:left="1074"/>
              <w:spacing w:after="0"/>
              <w:rPr>
                <w:sz w:val="20"/>
                <w:szCs w:val="20"/>
                <w:color w:val="auto"/>
              </w:rPr>
            </w:pPr>
            <w:r>
              <w:rPr>
                <w:rFonts w:ascii="Arial" w:cs="Arial" w:eastAsia="Arial" w:hAnsi="Arial"/>
                <w:sz w:val="18"/>
                <w:szCs w:val="18"/>
                <w:color w:val="auto"/>
                <w:w w:val="89"/>
              </w:rPr>
              <w:t>41</w:t>
            </w:r>
          </w:p>
        </w:tc>
        <w:tc>
          <w:tcPr>
            <w:tcW w:w="4760" w:type="dxa"/>
            <w:vAlign w:val="bottom"/>
          </w:tcPr>
          <w:p>
            <w:pPr>
              <w:ind w:left="880"/>
              <w:spacing w:after="0"/>
              <w:rPr>
                <w:sz w:val="20"/>
                <w:szCs w:val="20"/>
                <w:color w:val="auto"/>
              </w:rPr>
            </w:pPr>
            <w:r>
              <w:rPr>
                <w:rFonts w:ascii="Arial" w:cs="Arial" w:eastAsia="Arial" w:hAnsi="Arial"/>
                <w:sz w:val="18"/>
                <w:szCs w:val="18"/>
                <w:color w:val="auto"/>
                <w:w w:val="88"/>
              </w:rPr>
              <w:t>Senior Vice President, General Counsel and Secretary</w:t>
            </w:r>
          </w:p>
        </w:tc>
      </w:tr>
    </w:tbl>
    <w:p>
      <w:pPr>
        <w:spacing w:after="0" w:line="187"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i w:val="1"/>
          <w:iCs w:val="1"/>
          <w:color w:val="auto"/>
        </w:rPr>
        <w:t xml:space="preserve">Dr. W. Stan Meyer </w:t>
      </w:r>
      <w:r>
        <w:rPr>
          <w:rFonts w:ascii="Arial" w:cs="Arial" w:eastAsia="Arial" w:hAnsi="Arial"/>
          <w:sz w:val="16"/>
          <w:szCs w:val="16"/>
          <w:color w:val="auto"/>
        </w:rPr>
        <w:t>has been serving as our Chief Operating Officer since July 26, 2012 and has been serving as a Director of the Grand Canyon</w:t>
      </w:r>
      <w:r>
        <w:rPr>
          <w:rFonts w:ascii="Arial" w:cs="Arial" w:eastAsia="Arial" w:hAnsi="Arial"/>
          <w:sz w:val="16"/>
          <w:szCs w:val="16"/>
          <w:i w:val="1"/>
          <w:iCs w:val="1"/>
          <w:color w:val="auto"/>
        </w:rPr>
        <w:t xml:space="preserve"> </w:t>
      </w:r>
      <w:r>
        <w:rPr>
          <w:rFonts w:ascii="Arial" w:cs="Arial" w:eastAsia="Arial" w:hAnsi="Arial"/>
          <w:sz w:val="16"/>
          <w:szCs w:val="16"/>
          <w:color w:val="auto"/>
        </w:rPr>
        <w:t>University Foundation, a foundation formed to benefit public charities, since its formation in 2010. Between June 2008 and July 2012, Dr. Meyer served the Company in the position of Executive Vice President.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Dr. Meyer received a Bachelor of Arts in Communications degree from Concordia University and a Master of Business Administration degree and a Doctor of Education in Institutional Management degree from Pepperdine University.</w:t>
      </w:r>
    </w:p>
    <w:p>
      <w:pPr>
        <w:spacing w:after="0" w:line="184"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 xml:space="preserve">Daniel E. Bachus </w:t>
      </w:r>
      <w:r>
        <w:rPr>
          <w:rFonts w:ascii="Arial" w:cs="Arial" w:eastAsia="Arial" w:hAnsi="Arial"/>
          <w:sz w:val="16"/>
          <w:szCs w:val="16"/>
          <w:color w:val="auto"/>
        </w:rPr>
        <w:t>has been serving as our Chief Financial Officer since July 1, 2008, and has been serving as a Director of the Grand Canyon</w:t>
      </w:r>
      <w:r>
        <w:rPr>
          <w:rFonts w:ascii="Arial" w:cs="Arial" w:eastAsia="Arial" w:hAnsi="Arial"/>
          <w:sz w:val="16"/>
          <w:szCs w:val="16"/>
          <w:i w:val="1"/>
          <w:iCs w:val="1"/>
          <w:color w:val="auto"/>
        </w:rPr>
        <w:t xml:space="preserve"> </w:t>
      </w:r>
      <w:r>
        <w:rPr>
          <w:rFonts w:ascii="Arial" w:cs="Arial" w:eastAsia="Arial" w:hAnsi="Arial"/>
          <w:sz w:val="16"/>
          <w:szCs w:val="16"/>
          <w:color w:val="auto"/>
        </w:rPr>
        <w:t>University Foundation since its formation in 2010. From 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 Mr. Bachus is also a certified public accountant.</w:t>
      </w:r>
    </w:p>
    <w:p>
      <w:pPr>
        <w:spacing w:after="0" w:line="16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Joseph N. Mildenhall </w:t>
      </w:r>
      <w:r>
        <w:rPr>
          <w:rFonts w:ascii="Arial" w:cs="Arial" w:eastAsia="Arial" w:hAnsi="Arial"/>
          <w:sz w:val="17"/>
          <w:szCs w:val="17"/>
          <w:color w:val="auto"/>
        </w:rPr>
        <w:t>has been serving as our Chief Information Officer since September 2009. From 1998 to September 2009, Mr. Mildenhall was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Apollo Education Group, Inc., a for-profit, postsecondary education company and the parent company of the University of Phoenix, serving between June 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 Mr. Mildenhall holds a Bachelor of Science degree in Accounting from Brigham Young University and a Master of Business Administration from the University of Phoenix.</w:t>
      </w:r>
    </w:p>
    <w:p>
      <w:pPr>
        <w:spacing w:after="0" w:line="17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 xml:space="preserve">Brian M. Roberts </w:t>
      </w:r>
      <w:r>
        <w:rPr>
          <w:rFonts w:ascii="Arial" w:cs="Arial" w:eastAsia="Arial" w:hAnsi="Arial"/>
          <w:sz w:val="17"/>
          <w:szCs w:val="17"/>
          <w:color w:val="auto"/>
        </w:rPr>
        <w:t>has been serving as our Senior Vice President and General Counsel since May 2012 and as our Secretary since July 2012. From</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2003 to May 2012, Mr. Roberts was employed by iGo, Inc., a publicly traded developer of electronics accessories, where he served as general counsel and secretary since May 2005. From September 1998 to August 2003, Mr. Roberts was an attorney with the law firm of Snell &amp; Wilmer L.L.P. Mr. Roberts received a Bachelor of Science degree in Business Administration and a Juris Doctorate from the University of Kansas.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“Compensation of Named Executive Officers” and the related tables that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healthcare, business, and liberal arts. We offer programs online, on ground at our approximately 133 acre traditional campus in Phoenix, Arizona, and onsite at facilities we lease and at facilities owned by third party employers. We are committed to providing an academically rigorous educational experience with a focus on professionally relevant programs that meet the objectives of our students. We utilize an integrated, innovative approach to marketing, recruiting, and retaining both traditional aged students attending on our campus in Phoenix, Arizona and working adult students attending on our campus or at off-site locations in cohorts (referred to by us as professional studies students) or online, which has enabled us to increase enrollment to approximately 59,700 students at December 31, 2013. At December 31, 2013, 83.1% of our students were enrolled in our online programs, and, of our working adult students (online and professional studies students), 43.5% were pursuing masters or doctoral degrees.</w:t>
      </w:r>
    </w:p>
    <w:p>
      <w:pPr>
        <w:spacing w:after="0" w:line="166"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2013, we continued to increase the number of students in attendance at our expanding traditional ground campus. We believe our strong campus presence in Arizona is a key branding tool that is attractive to many students. We are able to provide traditional ground students an opportunity to earn an education at a private, Christian-oriented university at rates equivalent to those of a state funded university. We plan to increase enrollment growth for our traditional campus in Phoenix over the next few years, and seek to have 15,000 traditional ground students in attendance at the beginning of our 2016-2017 academic year.</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November 2012, we accepted an invitation to become a member of the Division I Western Athletic Conference beginning with the 2013-2014 academic year, and in 2013 we began the four-year process to reclassify our NCAA membership from Division II to Division I. During the reclassification process we are considered a Division I university and are playing full conference schedules but are ineligible to compete for national championships which, for example, precludes us from playing in the end-of-year NCAA basketball tournament during that period of time.</w:t>
      </w:r>
    </w:p>
    <w:p>
      <w:pPr>
        <w:spacing w:after="0" w:line="17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During 2013, we announced our plans to acquire 100 acres for the development of a second campus in Mesa, Arizona as part of a unique mixed-use project called Eastmark. Classes would begin on the site in 2015, and enrollment eventually could approach 10,000 students. The University currently has plans to spend approximately $170 million in the next two years in infrastructure and construction costs which we believe would bring the campus to a capacity of 5,000 students. Our working adult student body continues to grow as well, which we attribute to our growing brand recognition especially in the Southwest portion of the United States and our competitive pricing of our degree programs.</w:t>
      </w:r>
    </w:p>
    <w:p>
      <w:pPr>
        <w:spacing w:after="0" w:line="17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Since 2010, our industry has faced a changing regulatory environment with new proposed and final rules being issued by the Department of Education and legislative hearings and initiatives in both the U.S. Senate and House of Representatives. For a complete description of these matters, please see “Business – Regulation” and “Management’s Discussion and Analysis of Financial Condition and Results of Operations” in our Annual Report on Form 10-K. At the same time we believe that competition for students continues to increase, as an increasing number of traditional colleges and universities and community colleges, including many with well-established reputations for excellence, now offer distance learning and other online education programs, including programs that are geared towards the needs of working adult students. This trend has been accelerated by private companies that provide and/or manage online learning platforms for traditional colleges and universities and has resulted in declines in enrollment at most of the other publicly traded education companies.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0" w:right="279" w:bottom="1440" w:gutter="0" w:footer="0" w:header="0"/>
        </w:sectPr>
      </w:pPr>
    </w:p>
    <w:bookmarkStart w:id="26" w:name="page27"/>
    <w:bookmarkEnd w:id="2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senior management has guided our Company through these changes while still producing very positive financial results.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16" w:lineRule="exact"/>
        <w:rPr>
          <w:sz w:val="20"/>
          <w:szCs w:val="20"/>
          <w:color w:val="auto"/>
        </w:rPr>
      </w:pPr>
    </w:p>
    <w:p>
      <w:pPr>
        <w:ind w:left="900" w:right="840" w:hanging="446"/>
        <w:spacing w:after="0" w:line="277" w:lineRule="auto"/>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Net revenue increased 17.0% to $598.3 million for the year ended December 31, 2013, compared to $511.3 million for the year ended December 31, 2012.</w:t>
      </w:r>
    </w:p>
    <w:p>
      <w:pPr>
        <w:spacing w:after="0" w:line="75" w:lineRule="exact"/>
        <w:rPr>
          <w:rFonts w:ascii="Arial" w:cs="Arial" w:eastAsia="Arial" w:hAnsi="Arial"/>
          <w:sz w:val="18"/>
          <w:szCs w:val="18"/>
          <w:b w:val="1"/>
          <w:bCs w:val="1"/>
          <w:color w:val="auto"/>
        </w:rPr>
      </w:pPr>
    </w:p>
    <w:p>
      <w:pPr>
        <w:ind w:left="900" w:hanging="446"/>
        <w:spacing w:after="0" w:line="297" w:lineRule="auto"/>
        <w:tabs>
          <w:tab w:leader="none" w:pos="90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Operating income for the year ended December 31, 2013 was $143.3 million, an increase of 25.6% as compared to $114.1 million for the same period in 2012. The operating margin for the year ended December 31, 2013 was 23.9%, compared to 22.3% for the same period in 2012. Excluding the contributions we made in lieu of state income taxes, operating income and operating margin for the year ended December 31, 2013 would have been $145.8 million and 24.4%, respectively. Excluding the contributions we made in lieu of state income taxes, operating income and operating margin for the year ended December 31, 2012 would have been $116.1 million and 22.7%, respectively.</w:t>
      </w:r>
    </w:p>
    <w:p>
      <w:pPr>
        <w:spacing w:after="0" w:line="63" w:lineRule="exact"/>
        <w:rPr>
          <w:rFonts w:ascii="Arial" w:cs="Arial" w:eastAsia="Arial" w:hAnsi="Arial"/>
          <w:sz w:val="16"/>
          <w:szCs w:val="16"/>
          <w:b w:val="1"/>
          <w:bCs w:val="1"/>
          <w:color w:val="auto"/>
        </w:rPr>
      </w:pPr>
    </w:p>
    <w:p>
      <w:pPr>
        <w:ind w:left="900" w:right="80" w:hanging="446"/>
        <w:spacing w:after="0" w:line="277" w:lineRule="auto"/>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Adjusted EBITDA increased 23.7% to $185.1 million for the year ended December 31, 2013, compared to $149.6 million for the same period in 2012.</w:t>
      </w:r>
    </w:p>
    <w:p>
      <w:pPr>
        <w:spacing w:after="0" w:line="75" w:lineRule="exact"/>
        <w:rPr>
          <w:rFonts w:ascii="Arial" w:cs="Arial" w:eastAsia="Arial" w:hAnsi="Arial"/>
          <w:sz w:val="18"/>
          <w:szCs w:val="18"/>
          <w:b w:val="1"/>
          <w:bCs w:val="1"/>
          <w:color w:val="auto"/>
        </w:rPr>
      </w:pPr>
    </w:p>
    <w:p>
      <w:pPr>
        <w:ind w:left="900" w:right="240" w:hanging="446"/>
        <w:spacing w:after="0" w:line="342" w:lineRule="auto"/>
        <w:tabs>
          <w:tab w:leader="none" w:pos="90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The tax rate for the years ended December 31, 2013 and 2012 was 38.8% for both of the years. Excluding contributions made in lieu of state income taxes recorded during the period, the effective tax rate would have been 39.8% for both the years ended December 31, 2013 and 2012.</w:t>
      </w:r>
    </w:p>
    <w:p>
      <w:pPr>
        <w:spacing w:after="0" w:line="29" w:lineRule="exact"/>
        <w:rPr>
          <w:rFonts w:ascii="Arial" w:cs="Arial" w:eastAsia="Arial" w:hAnsi="Arial"/>
          <w:sz w:val="16"/>
          <w:szCs w:val="16"/>
          <w:b w:val="1"/>
          <w:bCs w:val="1"/>
          <w:color w:val="auto"/>
        </w:rPr>
      </w:pPr>
    </w:p>
    <w:p>
      <w:pPr>
        <w:ind w:left="900" w:hanging="446"/>
        <w:spacing w:after="0"/>
        <w:tabs>
          <w:tab w:leader="none" w:pos="90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Net income increased 27.7% to $88.7 million for the year ended December 31, 2013, compared to $69.4 million for the same period in 2012.</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$1.92 for the year ended December 31, 2013, compared to $1.53 for the same period in 2012.</w:t>
      </w:r>
    </w:p>
    <w:p>
      <w:pPr>
        <w:spacing w:after="0" w:line="22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For a discussion of the manner in which we compute our Adjusted EBITDA and to view a table setting forth a reconciliation of our Adjusted EBITDA to our net income (as determined in accordance with U.S. generally accepted accounting principles), please see Item 6, </w:t>
      </w:r>
      <w:r>
        <w:rPr>
          <w:rFonts w:ascii="Arial" w:cs="Arial" w:eastAsia="Arial" w:hAnsi="Arial"/>
          <w:sz w:val="18"/>
          <w:szCs w:val="18"/>
          <w:i w:val="1"/>
          <w:iCs w:val="1"/>
          <w:color w:val="auto"/>
        </w:rPr>
        <w:t>Selected Consolidated Financial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Data, </w:t>
      </w:r>
      <w:r>
        <w:rPr>
          <w:rFonts w:ascii="Arial" w:cs="Arial" w:eastAsia="Arial" w:hAnsi="Arial"/>
          <w:sz w:val="18"/>
          <w:szCs w:val="18"/>
          <w:color w:val="auto"/>
        </w:rPr>
        <w:t>beginning on page 43 of our Annual Report on Form 10-K for the fiscal year ended December 31, 2013, filed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on February 20, 2014.</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had positive non-financial developments in 2013, including:</w:t>
      </w:r>
    </w:p>
    <w:p>
      <w:pPr>
        <w:spacing w:after="0" w:line="131" w:lineRule="exact"/>
        <w:rPr>
          <w:sz w:val="20"/>
          <w:szCs w:val="20"/>
          <w:color w:val="auto"/>
        </w:rPr>
      </w:pPr>
    </w:p>
    <w:p>
      <w:pPr>
        <w:ind w:left="900" w:right="40" w:hanging="446"/>
        <w:spacing w:after="0" w:line="25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only has our enrollment grown over the past year, we believe the quality of our student body has as well. The average incoming grade point average of our admitted traditional students was approximately 3.4. Approximately 50% of all traditional students are studying in our Health Sciences programs. The pass rates of our nursing, health care professionals and teacher education students on national exams continues to be high. Our students are being accepted into top medical, dental, veterinary and pharmacy schools in the country. In addition, the percentage of our working adult students studying in graduate programs as well as degree completer bachelor programs such as the RN-BSN program continues to grow.</w:t>
      </w:r>
    </w:p>
    <w:p>
      <w:pPr>
        <w:spacing w:after="0" w:line="98" w:lineRule="exact"/>
        <w:rPr>
          <w:rFonts w:ascii="Arial" w:cs="Arial" w:eastAsia="Arial" w:hAnsi="Arial"/>
          <w:sz w:val="18"/>
          <w:szCs w:val="18"/>
          <w:color w:val="auto"/>
        </w:rPr>
      </w:pPr>
    </w:p>
    <w:p>
      <w:pPr>
        <w:ind w:left="900" w:hanging="446"/>
        <w:spacing w:after="0" w:line="269"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brand recognition for our traditional campus was highlighted throughout 2013 primarily due to highly visible awards and recognition we received. The University won a number of awards in 2013 including the “Economic Driver” for large Phoenix-area businesses and Business of the Year for the large-business sector as awarded by the Phoenix Chamber of Commerce. We also won the Gold Stevie Award for company of the year in the services division, the Community Service Hero Award from the City of Phoenix and the Industry Leaders of Arizona Education company of the year award. The University won the 2012-13 Learfield Sports Directors Cup as the top overall NCAA Division II intercollegiate athletic program based on the combined success in all of the sports in which we competed. In November 2012, we accepted an invitation to be a member of the NCAA Division I Western Athletic Conference beginning with the 2013-14 academic year and in September 2013 we began playing full Division I schedules. Our home men’s basketball games are televised locally and we have averaged over 4,000 fans at these games which is the second highest average attendance in our conference. Our other athletic teams are all competing very well on a national level during this school year. We believe this increased brand recognition has been the primary factor behind our increased enrollment, especially in Arizona and bordering states.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7" w:name="page28"/>
    <w:bookmarkEnd w:id="27"/>
    <w:p>
      <w:pPr>
        <w:ind w:left="900" w:right="60" w:hanging="446"/>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2013, we completed two additional dormitories, and an expansion of our student union which includes additional food services and library space. We also started construction on a new classroom building and a 1,000 bed apartment style dormitory to support our increasing traditional student enrollment as well as purchases of computer equipment, internal use software projects and furniture and equipment. In addition, during 2013 we spent $14.5 million to refurbish a building that is located less than two miles from our Phoenix, Arizona traditional campus and is being used as office space for our employees. These investments are intended to support our growing on-campus student population as well as enhance the brand of the University.</w:t>
      </w:r>
    </w:p>
    <w:p>
      <w:pPr>
        <w:spacing w:after="0" w:line="98" w:lineRule="exact"/>
        <w:rPr>
          <w:rFonts w:ascii="Arial" w:cs="Arial" w:eastAsia="Arial" w:hAnsi="Arial"/>
          <w:sz w:val="18"/>
          <w:szCs w:val="18"/>
          <w:color w:val="auto"/>
        </w:rPr>
      </w:pPr>
    </w:p>
    <w:p>
      <w:pPr>
        <w:ind w:left="900" w:right="120" w:hanging="446"/>
        <w:spacing w:after="0" w:line="271"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University is involved in more than 120 community events and projects throughout the year. We put on a Fall festival in October that draws more than 5,000 people to campus, and popular gift drives at Christmas and Easter help brighten those seasons for many underprivileged families. Our faculty, staff and students also go out into our surrounding neighborhoods to participate in University sponsored programs such as Serve the City, Canyon Kids, 12 Months of Service and the Run to Fight Children’s Cancer. In September 2013, the University launched a free mentoring and tutoring program for students at nearby Alhambra High School in hopes of raising the math, reading skills and confidence of underperforming students at the Phoenix school, many of whom come from disadvantaged minority households. Our students are serving as tutors and mentors to these high school students and the results thus far have been extremely positive. We anticipate expanding this program to other high schools as part of our K-12 Outreach Program with our communities.</w:t>
      </w:r>
    </w:p>
    <w:p>
      <w:pPr>
        <w:spacing w:after="0" w:line="84" w:lineRule="exact"/>
        <w:rPr>
          <w:rFonts w:ascii="Arial" w:cs="Arial" w:eastAsia="Arial" w:hAnsi="Arial"/>
          <w:sz w:val="17"/>
          <w:szCs w:val="17"/>
          <w:color w:val="auto"/>
        </w:rPr>
      </w:pPr>
    </w:p>
    <w:p>
      <w:pPr>
        <w:ind w:left="900" w:right="340" w:hanging="446"/>
        <w:spacing w:after="0" w:line="25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September 27, 2013, the University and the Department of Education entered into an agreement that fully resolved the findings in the preliminary report relating to the program review that was initiated in 2010, and the Department closed the review. Shortly thereafter, on October 28, 2013, the University received a new program participation agreement with full certification from the Department of Education, which gives the University the ability to participate in the Title IV programs through September 30, 2017. The University had been operating under a provisional certification since 2004.</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held stockholder advisory votes on the compensation of our named executive officers, commonly referred to as a Say-on-Pay vote, in May</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2011, May 2012 and May 2013. In each case, our stockholders approved the compensation of our named executive officers by wide margins. As we evaluated our compensation practices for 2013 and into 2014 in light of such votes, we gave great consideration to the strong support our stockholders expressed for our current compensation philosophy and practices. As a result, our Compensation Committee retained our general approach to executive compensation in 2013 and into 2014, as discussed below.</w:t>
      </w:r>
    </w:p>
    <w:p>
      <w:pPr>
        <w:spacing w:after="0" w:line="1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continued practices that are considered standard for good corporate governance and executive compensation, including:</w:t>
      </w:r>
    </w:p>
    <w:p>
      <w:pPr>
        <w:spacing w:after="0" w:line="9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Strong alignment between company-wide performance and payouts under our annual cash incentive plan (“Annual Cash Incentive Plan”);</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of any guaranteed bonuses;</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Severance arrangements with our named executive officers that are limited to one year of compensation (base salary and target bonus) and benefits and limited acceleration of vesting;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Double-trigger change-in-control arrangements with our named executive officers.</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light of the foregoing factors and practices, we believe our executive compensation in fiscal year 2013 appropriately reflected the economic and regulatory environments, the performance of the Company and the relationship with market compensation necessary to retain and motivate our executives, and that the continuation of these practices in 2014 is appropriate given the continued regulatory, economic and competitive challenges that we expect to face.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Overview of 2013 Executive Compensation</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purpose of this Compensation Discussion and Analysis is to provide information about each material element of compensation that we pay or award to, or that is earned by, the individuals set forth in the Summary Compensation Table set forth below (our “named executive officers”), including our principal executive officer, our principal financial officer, and our three other most highly compensated executive officers whose total compensation for the fiscal year ended December 31, 2013, was in excess of $100,000 and who were serving as executive officers at the end of that fiscal year. We also provide information about each material element of compensation that we pay or award to, or that is earned by, our Executive Chairman.</w:t>
      </w:r>
    </w:p>
    <w:p>
      <w:pPr>
        <w:spacing w:after="0" w:line="15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2013, the numerical and related information contained in the summary compensation and related tables presented below, and actions we have taken regarding executive compensation since the end of our 2013 fiscal year. Specifically, this Compensation Discussion and Analysis addresses:</w:t>
      </w:r>
    </w:p>
    <w:p>
      <w:pPr>
        <w:spacing w:after="0" w:line="8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objectives of our compensation program (found in the section entitled “Objectives of Compensation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what our compensation program is designed to reward (also described in the section entitled “Objectives of Compensation Programs”);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element of compensation (set forth in the section entitled “Compensation Program Design and Elements of Compensation”);</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why each element was chosen (described with each element of compensation, including base pay, short-term incentives and long-term incentives);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amounts and formulas for pay are calculated and determined (also described with each element of compensation, including base pay, short-term incentives and long-term incentives); and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(described with each element of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All of our named executive officers who appear in the Summary Compensation Table are parties to employment agreements. With respect to each named executive officer’s initial agreement with us, the level of base salary to be paid to those officers over the term of their respective employment agreements and their individual target bonus percentages were determined as part of the negotiation process relating to such agreements. With respect to the amended agreements that we entered into with certain of our named executive officers effective July 1, 2012, the base salary of each such officer was set at a level equal to 3.5% above the base salary for such officer then in effect (target bonus percentages were not changed), and those base salaries remained in effect through 2013. After review of company and individual performance, review and discussion of peer group information provided by the committee’ s compensation consultant (as further discussed below) and discussions with the executive management, the Compensation Committee set the salary increases at amounts consistent with the average annual compensation adjustment given to the Company’s other employees in that year.</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named executives, makes such determinations in consultation with our Chief Executive Officer. For additional information regarding the Compensation Committee, please see “Corporate Governance and Board Matters —Committees of Our Board of Directors — Compensation Committee.”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9" w:name="page30"/>
    <w:bookmarkEnd w:id="29"/>
    <w:p>
      <w:pPr>
        <w:ind w:right="140" w:firstLine="456"/>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Compensation philosophy. </w:t>
      </w:r>
      <w:r>
        <w:rPr>
          <w:rFonts w:ascii="Arial" w:cs="Arial" w:eastAsia="Arial" w:hAnsi="Arial"/>
          <w:sz w:val="18"/>
          <w:szCs w:val="18"/>
          <w:color w:val="auto"/>
        </w:rPr>
        <w:t>Under our compensation philosophy, a named executive officer’s total compensation will vary based on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Compensation objectives. </w:t>
      </w:r>
      <w:r>
        <w:rPr>
          <w:rFonts w:ascii="Arial" w:cs="Arial" w:eastAsia="Arial" w:hAnsi="Arial"/>
          <w:sz w:val="18"/>
          <w:szCs w:val="18"/>
          <w:color w:val="auto"/>
        </w:rPr>
        <w:t>We believe that the compensation program we follow helps us achieve the following objectives:</w:t>
      </w:r>
    </w:p>
    <w:p>
      <w:pPr>
        <w:spacing w:after="0" w:line="131" w:lineRule="exact"/>
        <w:rPr>
          <w:sz w:val="20"/>
          <w:szCs w:val="20"/>
          <w:color w:val="auto"/>
        </w:rPr>
      </w:pPr>
    </w:p>
    <w:p>
      <w:pPr>
        <w:ind w:left="900" w:right="340" w:hanging="446"/>
        <w:spacing w:after="0" w:line="286"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should be related to performance. </w:t>
      </w:r>
      <w:r>
        <w:rPr>
          <w:rFonts w:ascii="Arial" w:cs="Arial" w:eastAsia="Arial" w:hAnsi="Arial"/>
          <w:sz w:val="17"/>
          <w:szCs w:val="17"/>
          <w:color w:val="auto"/>
        </w:rPr>
        <w:t>We believe that the performance-based portion of an individual’s total compensation should</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70" w:lineRule="exact"/>
        <w:rPr>
          <w:rFonts w:ascii="Arial" w:cs="Arial" w:eastAsia="Arial" w:hAnsi="Arial"/>
          <w:sz w:val="17"/>
          <w:szCs w:val="17"/>
          <w:color w:val="auto"/>
        </w:rPr>
      </w:pPr>
    </w:p>
    <w:p>
      <w:pPr>
        <w:ind w:left="900" w:hanging="446"/>
        <w:spacing w:after="0" w:line="25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competitive and cost effective. </w:t>
      </w:r>
      <w:r>
        <w:rPr>
          <w:rFonts w:ascii="Arial" w:cs="Arial" w:eastAsia="Arial" w:hAnsi="Arial"/>
          <w:sz w:val="18"/>
          <w:szCs w:val="18"/>
          <w:color w:val="auto"/>
        </w:rPr>
        <w:t>We believe that our compensation program should foster an innovative, high integrity,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188"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i w:val="1"/>
          <w:iCs w:val="1"/>
          <w:color w:val="auto"/>
        </w:rPr>
        <w:t xml:space="preserve">Company compensation policies. </w:t>
      </w:r>
      <w:r>
        <w:rPr>
          <w:rFonts w:ascii="Arial" w:cs="Arial" w:eastAsia="Arial" w:hAnsi="Arial"/>
          <w:sz w:val="18"/>
          <w:szCs w:val="18"/>
          <w:color w:val="auto"/>
        </w:rPr>
        <w:t>During 2013, our named executive officers’ total in-service compensation consisted of base salaries, cash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compensation, limited perquisites, and other benefits generally available to all employees. With regard to these components, we adhere to the following compensation policies:</w:t>
      </w:r>
    </w:p>
    <w:p>
      <w:pPr>
        <w:spacing w:after="0" w:line="87" w:lineRule="exact"/>
        <w:rPr>
          <w:sz w:val="20"/>
          <w:szCs w:val="20"/>
          <w:color w:val="auto"/>
        </w:rPr>
      </w:pPr>
    </w:p>
    <w:p>
      <w:pPr>
        <w:ind w:left="900" w:right="40" w:hanging="446"/>
        <w:spacing w:after="0" w:line="27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Founders who have significant equity stakes require limited cash or equity incentives. </w:t>
      </w:r>
      <w:r>
        <w:rPr>
          <w:rFonts w:ascii="Arial" w:cs="Arial" w:eastAsia="Arial" w:hAnsi="Arial"/>
          <w:sz w:val="17"/>
          <w:szCs w:val="17"/>
          <w:color w:val="auto"/>
        </w:rPr>
        <w:t>In the past, we have adhered to a belief that our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founders, who had significant equity stakes, did not require further equity incentives to enhance their motivation. While Brent D. Richardson, our remaining founder who continues to serve as our Executive Chairman, no longer has significant equity ownership in the Company, in 2013, as in past years, Mr. Richardson was compensated solely through base salary, a bonus and limited perquisites.</w:t>
      </w:r>
    </w:p>
    <w:p>
      <w:pPr>
        <w:spacing w:after="0" w:line="76" w:lineRule="exact"/>
        <w:rPr>
          <w:rFonts w:ascii="Arial" w:cs="Arial" w:eastAsia="Arial" w:hAnsi="Arial"/>
          <w:sz w:val="17"/>
          <w:szCs w:val="17"/>
          <w:color w:val="auto"/>
        </w:rPr>
      </w:pPr>
    </w:p>
    <w:p>
      <w:pPr>
        <w:ind w:left="900" w:right="46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Cash should be a significant component of compensation. </w:t>
      </w:r>
      <w:r>
        <w:rPr>
          <w:rFonts w:ascii="Arial" w:cs="Arial" w:eastAsia="Arial" w:hAnsi="Arial"/>
          <w:sz w:val="18"/>
          <w:szCs w:val="18"/>
          <w:color w:val="auto"/>
        </w:rPr>
        <w:t>The Company’s compensation policy focuses on providing the opportunity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to earn total cash compensation at levels that enable the Company to achieve the motivation and retention goals described above, and to provide equity incentives that are intended to reward superior performance rather than serve as a substitute for cash compensation.</w:t>
      </w:r>
    </w:p>
    <w:p>
      <w:pPr>
        <w:spacing w:after="0" w:line="92"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Base salaries should generally be the largest component of cash compensation</w:t>
      </w:r>
      <w:r>
        <w:rPr>
          <w:rFonts w:ascii="Arial" w:cs="Arial" w:eastAsia="Arial" w:hAnsi="Arial"/>
          <w:sz w:val="18"/>
          <w:szCs w:val="18"/>
          <w:color w:val="auto"/>
        </w:rPr>
        <w:t>. Our compensation programs generally reflect our view that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reflect compensation for the named executive officers to perform the essential elements of their respective jobs, and that cash bonuses are a reward for superior company performance. In this regard, absent clear outperformance of financial goals, base salary should generally be the largest component of cash compensation.</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Cash incentives should be linked to performance. </w:t>
      </w:r>
      <w:r>
        <w:rPr>
          <w:rFonts w:ascii="Arial" w:cs="Arial" w:eastAsia="Arial" w:hAnsi="Arial"/>
          <w:sz w:val="18"/>
          <w:szCs w:val="18"/>
          <w:color w:val="auto"/>
        </w:rPr>
        <w:t>Under our Annual Cash Incentive Plan, bonuses paid to our named executive officers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overall company financial performance, but are subject to reduction based on the Compensation Committee’s assessment of the particular named executive officer’s personal performance and contribution to our overall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policies have helped us achieve our compensation objectives of attracting, motivating, retaining, and rewarding our key officers.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Programs Design and Elements of Compensation</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Elements of In-Service Compensation. </w:t>
      </w:r>
      <w:r>
        <w:rPr>
          <w:rFonts w:ascii="Arial" w:cs="Arial" w:eastAsia="Arial" w:hAnsi="Arial"/>
          <w:sz w:val="18"/>
          <w:szCs w:val="18"/>
          <w:color w:val="auto"/>
        </w:rPr>
        <w:t>For our 2013 fiscal year, our executive compensation mix included base salaries, cash bonuses,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limited perquisites, and other benefits generally available to all employees. We generally determine the nature and amount of each element of compensation as follows:</w:t>
      </w:r>
    </w:p>
    <w:p>
      <w:pPr>
        <w:spacing w:after="0" w:line="87" w:lineRule="exact"/>
        <w:rPr>
          <w:sz w:val="20"/>
          <w:szCs w:val="20"/>
          <w:color w:val="auto"/>
        </w:rPr>
      </w:pPr>
    </w:p>
    <w:p>
      <w:pPr>
        <w:ind w:left="900" w:right="20" w:hanging="446"/>
        <w:spacing w:after="0" w:line="29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We typically agree upon a base salary with a named executive officer at the time of initial employment. The amount of 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an executive officer’s scope of responsibility. We also consider qualitative criteria, such as education and experience requirements, complexity, and scope or impact of the position compared to other executive positions internally.</w:t>
      </w:r>
    </w:p>
    <w:p>
      <w:pPr>
        <w:spacing w:after="0" w:line="72" w:lineRule="exact"/>
        <w:rPr>
          <w:rFonts w:ascii="Arial" w:cs="Arial" w:eastAsia="Arial" w:hAnsi="Arial"/>
          <w:sz w:val="16"/>
          <w:szCs w:val="16"/>
          <w:color w:val="auto"/>
        </w:rPr>
      </w:pPr>
    </w:p>
    <w:p>
      <w:pPr>
        <w:ind w:left="900" w:right="8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Bonuses. </w:t>
      </w:r>
      <w:r>
        <w:rPr>
          <w:rFonts w:ascii="Arial" w:cs="Arial" w:eastAsia="Arial" w:hAnsi="Arial"/>
          <w:sz w:val="18"/>
          <w:szCs w:val="18"/>
          <w:color w:val="auto"/>
        </w:rPr>
        <w:t>We provide cash bonuses, which typically are at-risk, to recognize and reward our named executive officers based on our success in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year. For 2013, we awarded performance-related bonuses based on the Annual Cash Incentive Plan. The operation of this plan as it relates to our named executive officers is described in more detail below.</w:t>
      </w:r>
    </w:p>
    <w:p>
      <w:pPr>
        <w:spacing w:after="0" w:line="86"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currently have authorized a total of 10,998,516 shares of common stock for grants under our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2013, our named executive officers received grants of restricted stock under this plan as part of an overall, annual equity incentive grant made to Company employees.</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seek to compensate our named executive officers at levels that eliminate the need for material perquisites and enable each</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officer to provide for his or her own needs. Accordingly, in 2013, we provided limited perquisites to our named executive officers. See “Compensation of Executive Officers — Summary Compensation Table” for additional detail.</w:t>
      </w:r>
    </w:p>
    <w:p>
      <w:pPr>
        <w:spacing w:after="0" w:line="86" w:lineRule="exact"/>
        <w:rPr>
          <w:rFonts w:ascii="Arial" w:cs="Arial" w:eastAsia="Arial" w:hAnsi="Arial"/>
          <w:sz w:val="18"/>
          <w:szCs w:val="18"/>
          <w:color w:val="auto"/>
        </w:rPr>
      </w:pPr>
    </w:p>
    <w:p>
      <w:pPr>
        <w:ind w:left="900" w:right="40" w:hanging="446"/>
        <w:spacing w:after="0" w:line="272"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offer other employee benefits to named executive officers for the purpose of meeting current and future health and security needs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free tuition for a spouse or up to two children with no more than two participants receiving the tuition benefit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31" w:name="page32"/>
    <w:bookmarkEnd w:id="31"/>
    <w:p>
      <w:pPr>
        <w:ind w:right="80" w:firstLine="456"/>
        <w:spacing w:after="0" w:line="27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Elements of Post-Termination Compensation and Benefits. </w:t>
      </w:r>
      <w:r>
        <w:rPr>
          <w:rFonts w:ascii="Arial" w:cs="Arial" w:eastAsia="Arial" w:hAnsi="Arial"/>
          <w:sz w:val="17"/>
          <w:szCs w:val="17"/>
          <w:color w:val="auto"/>
        </w:rPr>
        <w:t>The employment agreements of our named executive officers provide for post-termination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salary and benefit continuation in the event of a termination by us without Cause (as defined below) or by the executive for Good Reason (as defined below) or in the event of any such termination within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2013 pursuant to the written employment agreements consisted of the following:</w:t>
      </w:r>
    </w:p>
    <w:p>
      <w:pPr>
        <w:spacing w:after="0" w:line="84" w:lineRule="exact"/>
        <w:rPr>
          <w:sz w:val="20"/>
          <w:szCs w:val="20"/>
          <w:color w:val="auto"/>
        </w:rPr>
      </w:pPr>
    </w:p>
    <w:p>
      <w:pPr>
        <w:ind w:left="900" w:right="1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salary payments for a period of twelve (12) months following any</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termination of employment.</w:t>
      </w:r>
    </w:p>
    <w:p>
      <w:pPr>
        <w:spacing w:after="0" w:line="75" w:lineRule="exact"/>
        <w:rPr>
          <w:rFonts w:ascii="Arial" w:cs="Arial" w:eastAsia="Arial" w:hAnsi="Arial"/>
          <w:sz w:val="18"/>
          <w:szCs w:val="18"/>
          <w:color w:val="auto"/>
        </w:rPr>
      </w:pPr>
    </w:p>
    <w:p>
      <w:pPr>
        <w:ind w:left="900" w:right="40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Payment of target bonus</w:t>
      </w:r>
      <w:r>
        <w:rPr>
          <w:rFonts w:ascii="Arial" w:cs="Arial" w:eastAsia="Arial" w:hAnsi="Arial"/>
          <w:sz w:val="18"/>
          <w:szCs w:val="18"/>
          <w:color w:val="auto"/>
        </w:rPr>
        <w:t>. Each named executive officer would receive an additional amount equal to 100% of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target bonus for the year in which such termination occurs, with such amount also payable over twelve (12) months following any qualifying termination of employment.</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Each named executive officer would continue to receive Company-paid premiums for continued group health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COBRA during the salary continuation period.</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Partially accelerated vesting of equity incentives</w:t>
      </w:r>
      <w:r>
        <w:rPr>
          <w:rFonts w:ascii="Arial" w:cs="Arial" w:eastAsia="Arial" w:hAnsi="Arial"/>
          <w:sz w:val="18"/>
          <w:szCs w:val="18"/>
          <w:color w:val="auto"/>
        </w:rPr>
        <w:t>. Certain of our named executive officers would receive partial acceleration of the vesting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stock options or restricted stock awards to the next vesting date immediately following the date of termination, in the event of a termination by us without Cause or by the executive for Good Reason.</w:t>
      </w:r>
    </w:p>
    <w:p>
      <w:pPr>
        <w:spacing w:after="0" w:line="86"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Fully accelerated vesting of stock options</w:t>
      </w:r>
      <w:r>
        <w:rPr>
          <w:rFonts w:ascii="Arial" w:cs="Arial" w:eastAsia="Arial" w:hAnsi="Arial"/>
          <w:sz w:val="18"/>
          <w:szCs w:val="18"/>
          <w:color w:val="auto"/>
        </w:rPr>
        <w:t>. In the event of a termination by us without Cause or by the executive for Good Reason within 12</w:t>
      </w:r>
      <w:r>
        <w:rPr>
          <w:rFonts w:ascii="Arial" w:cs="Arial" w:eastAsia="Arial" w:hAnsi="Arial"/>
          <w:sz w:val="18"/>
          <w:szCs w:val="18"/>
          <w:i w:val="1"/>
          <w:iCs w:val="1"/>
          <w:color w:val="auto"/>
        </w:rPr>
        <w:t xml:space="preserve"> </w:t>
      </w:r>
      <w:r>
        <w:rPr>
          <w:rFonts w:ascii="Arial" w:cs="Arial" w:eastAsia="Arial" w:hAnsi="Arial"/>
          <w:sz w:val="18"/>
          <w:szCs w:val="18"/>
          <w:color w:val="auto"/>
        </w:rPr>
        <w:t>months following a Change in Control, each named executive officer would receive full acceleration of the vesting of their outstanding stock options or restricted stock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“Potential Payments Upon Termination or Change in Control” for certain exceptions and additional detail.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Under the Annual Cash Incentive Plan as in effect for 2013,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2013, we defined Adjusted EBITDA for purposes of the Annual Cash Incentive Plan in a manner consistent with the definition we use when reporting our financial results. See Item 6, </w:t>
      </w:r>
      <w:r>
        <w:rPr>
          <w:rFonts w:ascii="Arial" w:cs="Arial" w:eastAsia="Arial" w:hAnsi="Arial"/>
          <w:sz w:val="17"/>
          <w:szCs w:val="17"/>
          <w:i w:val="1"/>
          <w:iCs w:val="1"/>
          <w:color w:val="auto"/>
        </w:rPr>
        <w:t>Selected Consolidated Financial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Data, </w:t>
      </w:r>
      <w:r>
        <w:rPr>
          <w:rFonts w:ascii="Arial" w:cs="Arial" w:eastAsia="Arial" w:hAnsi="Arial"/>
          <w:sz w:val="17"/>
          <w:szCs w:val="17"/>
          <w:color w:val="auto"/>
        </w:rPr>
        <w:t>beginning on page 43 of our Annual Report on Form 10-K for the fiscal year ended December 31, 2013 for information regarding our use and</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calculation of Adjusted EBITDA. As such, we believe it is fair and reasonable to our executives to assess their individual performance on the same basis as our performance is assessed by our Board of Directors and investors.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Company performance</w:t>
      </w:r>
      <w:r>
        <w:rPr>
          <w:rFonts w:ascii="Arial" w:cs="Arial" w:eastAsia="Arial" w:hAnsi="Arial"/>
          <w:sz w:val="18"/>
          <w:szCs w:val="18"/>
          <w:color w:val="auto"/>
        </w:rPr>
        <w:t>. For our named executive officers, the financial metrics account for 100% of the target bonus, with the resulting amount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reduction based on the Compensation Committee’s assessment of the particular named executive officer’s personal performance and contribution to our overall results. For other plan participants, the financial metrics account for 60% of the target bonus and specific individual performance goals account for 40% of the target bonus.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In reviewing individual performance, we look at an executive’s achievement of non-financial objectives that, with respect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participant, may include achieving objectives related to, among other things, program development and expansion, regulatory compliance, student retention and academic outcomes.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4" w:right="299" w:bottom="1440" w:gutter="0" w:footer="0" w:header="0"/>
        </w:sectPr>
      </w:pPr>
    </w:p>
    <w:bookmarkStart w:id="32" w:name="page33"/>
    <w:bookmarkEnd w:id="32"/>
    <w:p>
      <w:pPr>
        <w:ind w:right="200" w:firstLine="456"/>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of bonuses</w:t>
      </w:r>
      <w:r>
        <w:rPr>
          <w:rFonts w:ascii="Arial" w:cs="Arial" w:eastAsia="Arial" w:hAnsi="Arial"/>
          <w:sz w:val="18"/>
          <w:szCs w:val="18"/>
          <w:color w:val="auto"/>
        </w:rPr>
        <w:t>. For each named executive officer, the Compensation Committee establishes a target bonus, which is stated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officer’s base salary other than for Mr. Roberts whose target bonus was set at $70,000. For 2013, the target bonus percentages for the other named executive officers were as follows: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760" w:type="dxa"/>
            <w:vAlign w:val="bottom"/>
            <w:gridSpan w:val="3"/>
          </w:tcPr>
          <w:p>
            <w:pPr>
              <w:jc w:val="center"/>
              <w:ind w:left="2134"/>
              <w:spacing w:after="0"/>
              <w:rPr>
                <w:sz w:val="20"/>
                <w:szCs w:val="20"/>
                <w:color w:val="auto"/>
              </w:rPr>
            </w:pPr>
            <w:r>
              <w:rPr>
                <w:rFonts w:ascii="Arial" w:cs="Arial" w:eastAsia="Arial" w:hAnsi="Arial"/>
                <w:sz w:val="14"/>
                <w:szCs w:val="14"/>
                <w:b w:val="1"/>
                <w:bCs w:val="1"/>
                <w:color w:val="auto"/>
                <w:w w:val="90"/>
              </w:rPr>
              <w:t>Target Bonus as a</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4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640" w:type="dxa"/>
            <w:vAlign w:val="bottom"/>
            <w:vMerge w:val="continue"/>
          </w:tcPr>
          <w:p>
            <w:pPr>
              <w:spacing w:after="0"/>
              <w:rPr>
                <w:sz w:val="13"/>
                <w:szCs w:val="13"/>
                <w:color w:val="auto"/>
              </w:rPr>
            </w:pPr>
          </w:p>
        </w:tc>
        <w:tc>
          <w:tcPr>
            <w:tcW w:w="2440" w:type="dxa"/>
            <w:vAlign w:val="bottom"/>
          </w:tcPr>
          <w:p>
            <w:pPr>
              <w:spacing w:after="0"/>
              <w:rPr>
                <w:sz w:val="13"/>
                <w:szCs w:val="13"/>
                <w:color w:val="auto"/>
              </w:rPr>
            </w:pPr>
          </w:p>
        </w:tc>
        <w:tc>
          <w:tcPr>
            <w:tcW w:w="13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Base Salary</w:t>
            </w: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2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vMerge w:val="continue"/>
            <w:shd w:val="clear" w:color="auto" w:fill="CCEEFF"/>
          </w:tcPr>
          <w:p>
            <w:pPr>
              <w:spacing w:after="0"/>
              <w:rPr>
                <w:sz w:val="17"/>
                <w:szCs w:val="17"/>
                <w:color w:val="auto"/>
              </w:rPr>
            </w:pPr>
          </w:p>
        </w:tc>
        <w:tc>
          <w:tcPr>
            <w:tcW w:w="2440" w:type="dxa"/>
            <w:vAlign w:val="bottom"/>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37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3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3760" w:type="dxa"/>
            <w:vAlign w:val="bottom"/>
            <w:gridSpan w:val="3"/>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3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For each named executive officer,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With respect to these targets, the financial goals are based upon goals established for the applicable fiscal year. For participants to earn any payout under the plan, the Company must achieve at least 95% of both the revenue and Adjusted EBITDA goals. Assuming both of these thresholds are achieved, payouts are made based on the Company’s achievement of a minimum of 95% of both the revenue goal and Adjusted EBITDA goal (resulting in a bonus of 50% of the target bonus) and a maximum of 105% of the revenue goal and 107% of the Adjusted EBITDA goal (resulting in a bonus of 150% of the target bonus). Performance between minimum and maximum levels results in prorated payments using straight-line interpolation.</w:t>
      </w:r>
    </w:p>
    <w:p>
      <w:pPr>
        <w:sectPr>
          <w:pgSz w:w="11900" w:h="16838" w:orient="portrait"/>
          <w:cols w:equalWidth="0" w:num="1">
            <w:col w:w="11420"/>
          </w:cols>
          <w:pgMar w:left="240" w:top="274" w:right="239" w:bottom="1440" w:gutter="0" w:footer="0" w:header="0"/>
        </w:sectPr>
      </w:pP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Shown below is a summary of the matrix described above:</w:t>
      </w:r>
    </w:p>
    <w:p>
      <w:pPr>
        <w:spacing w:after="0" w:line="267"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Goal</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 goal</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Adjusted EBITDA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Bonus payout as a % of target bonus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5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5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426"/>
        </w:trPr>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95% of goal</w:t>
            </w: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100% of goal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105% of goal</w:t>
            </w:r>
          </w:p>
        </w:tc>
      </w:tr>
      <w:tr>
        <w:trPr>
          <w:trHeight w:val="431"/>
        </w:trPr>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95% of goal</w:t>
            </w: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100% of goal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107% of goal</w:t>
            </w: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5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-702310</wp:posOffset>
            </wp:positionV>
            <wp:extent cx="6080125" cy="283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80125" cy="28321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-136525</wp:posOffset>
            </wp:positionV>
            <wp:extent cx="608012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840"/>
          </w:cols>
          <w:pgMar w:left="240" w:top="274" w:right="239" w:bottom="1440" w:gutter="0" w:footer="0" w:header="0"/>
          <w:type w:val="continuous"/>
        </w:sectPr>
      </w:pPr>
    </w:p>
    <w:p>
      <w:pPr>
        <w:spacing w:after="0" w:line="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2013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is payable at that level) and the Adjusted EBITDA target is achieved at the target level (so that 100% of the Adjusted EBITDA component is payable at that level) the participant would be entitled to a potential bonus of $112,500 (calculated as $37,500 plus $75,000).</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plan for eligible senior management other than the named executive officers differs in that it continues to include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other than the named executive officers, the bonus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type w:val="continuous"/>
        </w:sectPr>
      </w:pPr>
    </w:p>
    <w:bookmarkStart w:id="33" w:name="page34"/>
    <w:bookmarkEnd w:id="33"/>
    <w:p>
      <w:pPr>
        <w:ind w:right="20" w:firstLine="456"/>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to performance goals and target awards</w:t>
      </w:r>
      <w:r>
        <w:rPr>
          <w:rFonts w:ascii="Arial" w:cs="Arial" w:eastAsia="Arial" w:hAnsi="Arial"/>
          <w:sz w:val="18"/>
          <w:szCs w:val="18"/>
          <w:color w:val="auto"/>
        </w:rPr>
        <w:t>. In accordance with the terms of the Annual Cash Incentive Plan, at any time prior to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192"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i w:val="1"/>
          <w:iCs w:val="1"/>
          <w:color w:val="auto"/>
        </w:rPr>
        <w:t xml:space="preserve">2013 financial goals. </w:t>
      </w:r>
      <w:r>
        <w:rPr>
          <w:rFonts w:ascii="Arial" w:cs="Arial" w:eastAsia="Arial" w:hAnsi="Arial"/>
          <w:sz w:val="17"/>
          <w:szCs w:val="17"/>
          <w:color w:val="auto"/>
        </w:rPr>
        <w:t>The following table shows the company-wide financial goals established for the named executive officers for 2013. These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goals were selected based upon a combination of the Company’s internal budget and analyst estimates, which the Board of Directors believes establishes an appropriate level at which to set goals in order to maximize the incentive for superior performance.</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Threshold</w:t>
            </w: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(105% of Goal for</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Revenue/107% of Goal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(95% of Goal)</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(100% of Goal)</w:t>
            </w:r>
          </w:p>
        </w:tc>
        <w:tc>
          <w:tcPr>
            <w:tcW w:w="28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for Adjusted EBITDA</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$546,012,500</w:t>
            </w:r>
          </w:p>
        </w:tc>
        <w:tc>
          <w:tcPr>
            <w:tcW w:w="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$574,750,000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603,487,500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159,598,100</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167,998,000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179,757,860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i w:val="1"/>
          <w:iCs w:val="1"/>
          <w:color w:val="auto"/>
        </w:rPr>
        <w:t>Actual performance vs. compensation paid for 2013</w:t>
      </w:r>
      <w:r>
        <w:rPr>
          <w:rFonts w:ascii="Arial" w:cs="Arial" w:eastAsia="Arial" w:hAnsi="Arial"/>
          <w:sz w:val="17"/>
          <w:szCs w:val="17"/>
          <w:color w:val="auto"/>
        </w:rPr>
        <w:t>. For 2013, the Company achieved revenue of $598.3 million, which is equal to 104.2% of target,</w:t>
      </w:r>
      <w:r>
        <w:rPr>
          <w:rFonts w:ascii="Arial" w:cs="Arial" w:eastAsia="Arial" w:hAnsi="Arial"/>
          <w:sz w:val="17"/>
          <w:szCs w:val="17"/>
          <w:i w:val="1"/>
          <w:iCs w:val="1"/>
          <w:color w:val="auto"/>
        </w:rPr>
        <w:t xml:space="preserve"> </w:t>
      </w:r>
      <w:r>
        <w:rPr>
          <w:rFonts w:ascii="Arial" w:cs="Arial" w:eastAsia="Arial" w:hAnsi="Arial"/>
          <w:sz w:val="17"/>
          <w:szCs w:val="17"/>
          <w:color w:val="auto"/>
        </w:rPr>
        <w:t>and Adjusted EBITDA of $185.1 million, which is equal to 108.6% of target, resulting in performance payout percentages equal to the maximum of 142.0% for the revenue component of the target bonus and the maximum 150.0% for the Adjusted EBITDA component of the target bonus. Accordingly, the named executive officers achieved incentive bonuses equal to the following percentages of their base salaries: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Adjusted</w:t>
            </w:r>
          </w:p>
        </w:tc>
        <w:tc>
          <w:tcPr>
            <w:tcW w:w="14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7"/>
              </w:rPr>
              <w:t>2013 Bonus as</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2013 Bonus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Revenue</w:t>
            </w:r>
          </w:p>
        </w:tc>
        <w:tc>
          <w:tcPr>
            <w:tcW w:w="14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EBITDA</w:t>
            </w: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900" w:type="dxa"/>
            <w:vAlign w:val="bottom"/>
            <w:gridSpan w:val="2"/>
            <w:vMerge w:val="restart"/>
          </w:tcPr>
          <w:p>
            <w:pPr>
              <w:jc w:val="center"/>
              <w:ind w:left="13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660" w:type="dxa"/>
            <w:vAlign w:val="bottom"/>
            <w:vMerge w:val="restart"/>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Target Bonus</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of Base</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4660" w:type="dxa"/>
            <w:vAlign w:val="bottom"/>
            <w:vMerge w:val="continue"/>
          </w:tcPr>
          <w:p>
            <w:pPr>
              <w:spacing w:after="0"/>
              <w:rPr>
                <w:sz w:val="13"/>
                <w:szCs w:val="13"/>
                <w:color w:val="auto"/>
              </w:rPr>
            </w:pPr>
          </w:p>
        </w:tc>
        <w:tc>
          <w:tcPr>
            <w:tcW w:w="142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6"/>
              </w:rPr>
              <w:t>Payout (%)</w:t>
            </w:r>
          </w:p>
        </w:tc>
        <w:tc>
          <w:tcPr>
            <w:tcW w:w="140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6"/>
              </w:rPr>
              <w:t>Payout (%)</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3"/>
                <w:szCs w:val="13"/>
                <w:color w:val="auto"/>
              </w:rPr>
            </w:pP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Salary($)</w:t>
            </w:r>
          </w:p>
        </w:tc>
        <w:tc>
          <w:tcPr>
            <w:tcW w:w="220" w:type="dxa"/>
            <w:vAlign w:val="bottom"/>
          </w:tcPr>
          <w:p>
            <w:pPr>
              <w:spacing w:after="0"/>
              <w:rPr>
                <w:sz w:val="13"/>
                <w:szCs w:val="13"/>
                <w:color w:val="auto"/>
              </w:rPr>
            </w:pPr>
          </w:p>
        </w:tc>
        <w:tc>
          <w:tcPr>
            <w:tcW w:w="7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5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8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2"/>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142.0%</w:t>
            </w:r>
          </w:p>
        </w:tc>
        <w:tc>
          <w:tcPr>
            <w:tcW w:w="140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150.0%</w:t>
            </w:r>
          </w:p>
        </w:tc>
        <w:tc>
          <w:tcPr>
            <w:tcW w:w="14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146.0%</w:t>
            </w: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35.2%</w:t>
            </w: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$ 36,500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Brian E. Mueller</w:t>
            </w:r>
            <w:r>
              <w:rPr>
                <w:rFonts w:ascii="Arial" w:cs="Arial" w:eastAsia="Arial" w:hAnsi="Arial"/>
                <w:sz w:val="15"/>
                <w:szCs w:val="15"/>
                <w:color w:val="auto"/>
              </w:rPr>
              <w:t>(1)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142.0%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150.0%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146.0%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146.0%</w:t>
            </w:r>
          </w:p>
        </w:tc>
        <w:tc>
          <w:tcPr>
            <w:tcW w:w="900" w:type="dxa"/>
            <w:vAlign w:val="bottom"/>
            <w:gridSpan w:val="2"/>
          </w:tcPr>
          <w:p>
            <w:pPr>
              <w:jc w:val="center"/>
              <w:ind w:left="133"/>
              <w:spacing w:after="0"/>
              <w:rPr>
                <w:sz w:val="20"/>
                <w:szCs w:val="20"/>
                <w:color w:val="auto"/>
              </w:rPr>
            </w:pPr>
            <w:r>
              <w:rPr>
                <w:rFonts w:ascii="Arial" w:cs="Arial" w:eastAsia="Arial" w:hAnsi="Arial"/>
                <w:sz w:val="18"/>
                <w:szCs w:val="18"/>
                <w:color w:val="auto"/>
                <w:w w:val="90"/>
              </w:rPr>
              <w:t>$906,660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5"/>
                <w:szCs w:val="15"/>
                <w:color w:val="auto"/>
              </w:rPr>
              <w:t>(1)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w:t>
            </w:r>
          </w:p>
        </w:tc>
        <w:tc>
          <w:tcPr>
            <w:tcW w:w="9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0"/>
              </w:rPr>
              <w:t>$396,664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5"/>
                <w:szCs w:val="15"/>
                <w:color w:val="auto"/>
              </w:rPr>
              <w:t>(1)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142.0%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150.0%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146.0%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900" w:type="dxa"/>
            <w:vAlign w:val="bottom"/>
            <w:gridSpan w:val="2"/>
          </w:tcPr>
          <w:p>
            <w:pPr>
              <w:jc w:val="center"/>
              <w:ind w:left="133"/>
              <w:spacing w:after="0"/>
              <w:rPr>
                <w:sz w:val="20"/>
                <w:szCs w:val="20"/>
                <w:color w:val="auto"/>
              </w:rPr>
            </w:pPr>
            <w:r>
              <w:rPr>
                <w:rFonts w:ascii="Arial" w:cs="Arial" w:eastAsia="Arial" w:hAnsi="Arial"/>
                <w:sz w:val="18"/>
                <w:szCs w:val="18"/>
                <w:color w:val="auto"/>
                <w:w w:val="90"/>
              </w:rPr>
              <w:t>$396,664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5"/>
                <w:szCs w:val="15"/>
                <w:color w:val="auto"/>
              </w:rPr>
              <w:t>(1)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9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0"/>
              </w:rPr>
              <w:t>$226,665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Brian M. Roberts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142.0%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150.0%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146.0%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45.4%</w:t>
            </w:r>
          </w:p>
        </w:tc>
        <w:tc>
          <w:tcPr>
            <w:tcW w:w="900" w:type="dxa"/>
            <w:vAlign w:val="bottom"/>
            <w:gridSpan w:val="2"/>
          </w:tcPr>
          <w:p>
            <w:pPr>
              <w:jc w:val="center"/>
              <w:ind w:left="133"/>
              <w:spacing w:after="0"/>
              <w:rPr>
                <w:sz w:val="20"/>
                <w:szCs w:val="20"/>
                <w:color w:val="auto"/>
              </w:rPr>
            </w:pPr>
            <w:r>
              <w:rPr>
                <w:rFonts w:ascii="Arial" w:cs="Arial" w:eastAsia="Arial" w:hAnsi="Arial"/>
                <w:sz w:val="18"/>
                <w:szCs w:val="18"/>
                <w:color w:val="auto"/>
                <w:w w:val="90"/>
              </w:rPr>
              <w:t>$102,200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00" w:hanging="452"/>
        <w:spacing w:after="0" w:line="30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Compensation Committee’s historical practice has been to analyze named executive officer base salaries during the first half of the fiscal year and make adjustments, if any, with effect from July 1 of such year. Accordingly, the actual bonus paid as a percentage of fiscal year end base salary may be slightly lower than the bonus percentage listed above, reflecting the fact that a portion of the bonus calculation was based on a lower base salary in effect during the first half of the year. In 2013, however, the named executive officer’s did not receive base salary increases.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4" w:name="page35"/>
    <w:bookmarkEnd w:id="34"/>
    <w:p>
      <w:pPr>
        <w:ind w:right="160" w:firstLine="456"/>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individual goals</w:t>
      </w:r>
      <w:r>
        <w:rPr>
          <w:rFonts w:ascii="Arial" w:cs="Arial" w:eastAsia="Arial" w:hAnsi="Arial"/>
          <w:sz w:val="16"/>
          <w:szCs w:val="16"/>
          <w:color w:val="auto"/>
        </w:rPr>
        <w:t>. The individual performance goals applicable to the named executive officers in 2013 focused on each executive’s achievement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one or more objectives that related to their specific duties and responsibilities on behalf of the Company. For Dr. Meyer, Mr. Bachus, Mr. Mildenhall, and Mr. Roberts one individual performance goal was to manage their individual departments within budget. Mr. Richardson’s individual performance goals included providing insight and direction to the senior management team regarding key corporate objectives. The individual performance goals for</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Mr. Mueller, Dr. Meyer, and Mr. Bachus included continuing to work on initiatives to increase the percentage of students studying in high retention rate programs, expanding public good projects in our surrounding neighborhoods and developing campus infrastructure. The individual performance goals for Mr. Mueller and Mr. Bachus also included participation in a specified number of investor conferences and/or investor meetings, while Dr. Meyer’s individual performance goals included demonstrating leadership over key functional areas such as facilities, security and the athletics department. Mr. Bachus’ individual performance goals included managing the financial and reporting functions to ensure that no material weaknesses occurred within the Company’s financial reporting structure. Mr. Mildenhall’s individual performance goals included improving and building additional software engineering capabilities to address key needs in student scheduling, demonstration of improvement in application availability, managing the learning management system and overseeing the relationship with CampusVue to ensure continued improvement are made to the product to eliminate manual processes. Mr. Roberts individual performance goals included compliance with regulatory and Securities and Exchange Commission rules and regulations and timely resolution to litigation matters. Based on each individual named executive officer’s achievement or substantial achievement of their individual performance goals, and in light of the superior financial performance achieved by the Company in 2013, the Compensation Committee determined that cash bonuses under the Annual Cash Incentive Plan should be paid out at the maximum level achieved as a result of the achievement of the company-wide financial goals, and that no reductions were otherwise merited.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2008, our Board of Directors and stockholders adopted the Equity Incentive Plan and authorized and reserved a total of 4,199,937 shares of our common stock for issuance thereunder. The number of shares authorized and reserved under the Equity Incentive Plan increases on each subsequent January 1 through 2018 by an amount equal to the smaller of (a) 2.5% of the number of shares of common stock issued and outstanding on the immediately preceding December 31, or (b) a lesser amount determined by our Board of Directors. As of January 1, 2014, there is authorized and reserved a total of 10,998,516 shares under the Equity Incentive Plan. Shares subject to awards that expire or are cancelled or forfeited will again become available for issuance under the Equity Incentive Plan. The shares available are not reduced by awards settled in cash or by shares withheld to satisfy tax withholding obligations. Only the net number of shares issued upon the exercise of stock appreciation rights or options exercised by means of a net exercise or by tender of previously owned shares are deducted from the shares available under the Equity Incentive Plan.</w:t>
      </w:r>
    </w:p>
    <w:p>
      <w:pPr>
        <w:spacing w:after="0" w:line="17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provides information as of December 31, 2013, with respect to shares of our common stock that may be issued under our existing equity compensation plans: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4"/>
              </w:rPr>
              <w:t>Weighted-</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Number of securities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to be</w:t>
            </w:r>
          </w:p>
        </w:tc>
        <w:tc>
          <w:tcPr>
            <w:tcW w:w="340" w:type="dxa"/>
            <w:vAlign w:val="bottom"/>
          </w:tcPr>
          <w:p>
            <w:pPr>
              <w:spacing w:after="0"/>
              <w:rPr>
                <w:sz w:val="12"/>
                <w:szCs w:val="12"/>
                <w:color w:val="auto"/>
              </w:rPr>
            </w:pPr>
          </w:p>
        </w:tc>
        <w:tc>
          <w:tcPr>
            <w:tcW w:w="17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issued upon exercise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options,</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340" w:type="dxa"/>
            <w:vAlign w:val="bottom"/>
          </w:tcPr>
          <w:p>
            <w:pPr>
              <w:spacing w:after="0"/>
              <w:rPr>
                <w:sz w:val="12"/>
                <w:szCs w:val="12"/>
                <w:color w:val="auto"/>
              </w:rPr>
            </w:pPr>
          </w:p>
        </w:tc>
        <w:tc>
          <w:tcPr>
            <w:tcW w:w="17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58"/>
        </w:trPr>
        <w:tc>
          <w:tcPr>
            <w:tcW w:w="4600" w:type="dxa"/>
            <w:vAlign w:val="bottom"/>
            <w:gridSpan w:val="2"/>
            <w:vMerge w:val="continue"/>
          </w:tcPr>
          <w:p>
            <w:pPr>
              <w:spacing w:after="0"/>
              <w:rPr>
                <w:sz w:val="13"/>
                <w:szCs w:val="13"/>
                <w:color w:val="auto"/>
              </w:rPr>
            </w:pPr>
          </w:p>
        </w:tc>
        <w:tc>
          <w:tcPr>
            <w:tcW w:w="17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warrants and rights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92"/>
              </w:rPr>
              <w:t>rights</w:t>
            </w:r>
          </w:p>
        </w:tc>
        <w:tc>
          <w:tcPr>
            <w:tcW w:w="11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plans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1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Securityholders</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6,421,127</w:t>
            </w:r>
            <w:r>
              <w:rPr>
                <w:rFonts w:ascii="Arial" w:cs="Arial" w:eastAsia="Arial" w:hAnsi="Arial"/>
                <w:sz w:val="15"/>
                <w:szCs w:val="15"/>
                <w:color w:val="auto"/>
              </w:rPr>
              <w:t>(1)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14.80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2,308,351</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2"/>
        </w:trPr>
        <w:tc>
          <w:tcPr>
            <w:tcW w:w="46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Securityholders</w:t>
            </w:r>
          </w:p>
        </w:tc>
        <w:tc>
          <w:tcPr>
            <w:tcW w:w="1780" w:type="dxa"/>
            <w:vAlign w:val="bottom"/>
            <w:gridSpan w:val="2"/>
          </w:tcPr>
          <w:p>
            <w:pPr>
              <w:jc w:val="right"/>
              <w:ind w:right="500"/>
              <w:spacing w:after="0"/>
              <w:rPr>
                <w:sz w:val="20"/>
                <w:szCs w:val="20"/>
                <w:color w:val="auto"/>
              </w:rPr>
            </w:pPr>
            <w:r>
              <w:rPr>
                <w:rFonts w:ascii="Arial" w:cs="Arial" w:eastAsia="Arial" w:hAnsi="Arial"/>
                <w:sz w:val="18"/>
                <w:szCs w:val="18"/>
                <w:color w:val="auto"/>
              </w:rPr>
              <w:t>None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6,421,127</w:t>
            </w:r>
            <w:r>
              <w:rPr>
                <w:rFonts w:ascii="Arial" w:cs="Arial" w:eastAsia="Arial" w:hAnsi="Arial"/>
                <w:sz w:val="15"/>
                <w:szCs w:val="15"/>
                <w:color w:val="auto"/>
              </w:rPr>
              <w:t>(1)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14.80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2,308,351</w:t>
            </w: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outstanding options to purchase shares of our common stock under our Equity Incentive Plan.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our Equity Incentive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5" w:name="page36"/>
    <w:bookmarkEnd w:id="35"/>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grant awards under the Equity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Only members of the Board of Directors who are not employees at the time of grant are eligible to participate in the non-employee director awards component of the Equity Incentive Plan. The Board of Directors, based on the recommendation of the Compensation Committee, sets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event of a change in control, as described in the Equity Incentive Plan, the acquiring or successor entity may assume or continue all or any awards outstanding under the Equity Incentive Plan or substitute substantially equivalent awards. Any awards that are not assumed or continued in connection with a change in control or are not exercised or settled prior to the change in control will terminate effective as of the time of the change in control. In connection with a change in control, the Compensation Committee may provide for the acceleration of vesting of any or all outstanding awards upon such terms and to such extent as it determines, except that the vesting of all non-employee director awards will automatically be accelerated in full, and the vesting of awards held by each of our named executive officers who are parties to employment agreements will automatically be accelerated in full upon termination other than for cause upon or within 12 months following such change in control.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approved a policy relating to the granting of stock options and other equity-based awards. Under this policy:</w:t>
      </w:r>
    </w:p>
    <w:p>
      <w:pPr>
        <w:spacing w:after="0" w:line="131" w:lineRule="exact"/>
        <w:rPr>
          <w:sz w:val="20"/>
          <w:szCs w:val="20"/>
          <w:color w:val="auto"/>
        </w:rPr>
      </w:pPr>
    </w:p>
    <w:p>
      <w:pPr>
        <w:ind w:left="900" w:right="4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stock option grants, restricted stock awards, and other equity based awards, which we collectively refer to as stock-based grants, must be approved by the Compensation Committee;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Compensation Committee will approve stock-based grants only for persons specifically identified at the meeting by management.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Compensation Committee has the sole authority, delegated from the Board of Directors, to appoint, compensate and oversee the work of our outside compensation consultant. The Compensation Committee has retained Mercer, a wholly-owned subsidiary of Marsh &amp; McLennan Companies, Inc. (“MMC”), as its consultant to assist the Compensation Committee with its responsibilities related to our executive compensation programs. Mercer’s fees for executive compensation consulting to the Compensation Committee in fiscal year 2013 were $35,000. The executive compensation services that Mercer provided to the Compensation Committee included providing market benchmark information and advising on changes to executive officer and non-employee director compensation levels.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6" w:name="page37"/>
    <w:bookmarkEnd w:id="36"/>
    <w:p>
      <w:pPr>
        <w:ind w:right="2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fiscal year, Mercer was retained by Company management to provide services unrelated to executive compensation, including insurance brokerage services and services related to the Company’s employee health plans. The aggregate fees paid for those other services in fiscal 2013 were $38,000. The Compensation Committee did not review or approve the other services provided by Mercer to the Company, as those services were approved by management in the normal course of business. Based on policies and procedures implemented by the Compensation Committee and by Mercer to ensure the objectivity of Mercer’s individual executive compensation consultant, the Compensation Committee believes that the consulting advice it receives from Mercer is objective and not influenced by Mercer’s or its affiliates’ other relationships with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Section 162(m) of the Code, as amended, imposes a $1 million limit on the amount that a public company may deduct for compensation paid to the company’s chief executive officer or any of the company’s four other most highly compensated executive officers who are employed as of the 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stockholders). The performance criteria within our Equity Incentive Plan and our Annual Cash Incentive Plan were approved by our stockholders at our 2011 annual meeting in accordance with Section 162(m).</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409A</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w:t>
      </w:r>
    </w:p>
    <w:p>
      <w:pPr>
        <w:spacing w:after="0" w:line="11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Grants of equity awards under the Equity Incentive Plan are recognized as compensation expense for the fair value of equity-based compensation awards. The Compensation Committee considers the accounting implications of significant compensation decisions, including in connection with decisions that relate to the Equity Incentive Plan and equity award programs thereunder. As accounting standards change, we may revise certain programs to appropriately align accounting expenses of our equity awards with our overall executive compensation philosophy and objectives.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2013 were reasonable and appropriate and in our best interests.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Events After December 31, 2013</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Base salary increases. </w:t>
      </w:r>
      <w:r>
        <w:rPr>
          <w:rFonts w:ascii="Arial" w:cs="Arial" w:eastAsia="Arial" w:hAnsi="Arial"/>
          <w:sz w:val="17"/>
          <w:szCs w:val="17"/>
          <w:color w:val="auto"/>
        </w:rPr>
        <w:t>As discussed above, in July 2012, the Compensation Committee approved new executive employment agreements for our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that included base salary increases of 3.5% above the base salary for each such officer then in effect (target bonus percentages were not changed), and that those base salaries remained in effect through 2013. With information from Mercer regarding peer group executive compensation information, and in light of the Compensation Committee’s views as to the strong performance of the Company overall and the executive management team in particular over a period of years, the Compensation Committee determined to adjust its historic goal of targeting executive officer compensation at approximately the 50th percentile of the relevant peer group to a goal of seeking to target such compensation between the 50th percentile and the 75th percentile. Thereafter, at a meeting held in March 2014, the Compensation Committee approved increases for each of the named executive officers (other than Mr. Richardson) in their base salaries from the base salaries in effect for 2013, as set forth in the Summary Compensation Table below, in each case effective as of April 1, 2014. After review of company and individual performance, review and discussion of peer group information provided by the committee’ s compensation consultant (as further discussed below) and discussions with the executive management, the Compensation Committee once again set the salary increases at amounts consistent with the average annual compensation adjustment given to the Company’s other employees other than for Mr. Roberts who received an additional adjustment.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7" w:name="page38"/>
    <w:bookmarkEnd w:id="37"/>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440" w:type="dxa"/>
            <w:vAlign w:val="bottom"/>
            <w:vMerge w:val="restart"/>
          </w:tcPr>
          <w:p>
            <w:pPr>
              <w:spacing w:after="0"/>
              <w:rPr>
                <w:sz w:val="14"/>
                <w:szCs w:val="14"/>
                <w:color w:val="auto"/>
              </w:rPr>
            </w:pPr>
          </w:p>
        </w:tc>
        <w:tc>
          <w:tcPr>
            <w:tcW w:w="39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New Base Salary effective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April 2014</w:t>
            </w: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Brian E. Mueller</w:t>
            </w:r>
          </w:p>
        </w:tc>
        <w:tc>
          <w:tcPr>
            <w:tcW w:w="2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642,000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firstLine="456"/>
        <w:spacing w:after="0" w:line="286" w:lineRule="auto"/>
        <w:rPr>
          <w:sz w:val="20"/>
          <w:szCs w:val="20"/>
          <w:color w:val="auto"/>
        </w:rPr>
      </w:pPr>
      <w:r>
        <w:rPr>
          <w:rFonts w:ascii="Arial" w:cs="Arial" w:eastAsia="Arial" w:hAnsi="Arial"/>
          <w:sz w:val="17"/>
          <w:szCs w:val="17"/>
          <w:i w:val="1"/>
          <w:iCs w:val="1"/>
          <w:color w:val="auto"/>
        </w:rPr>
        <w:t xml:space="preserve">Restricted stock grants. </w:t>
      </w:r>
      <w:r>
        <w:rPr>
          <w:rFonts w:ascii="Arial" w:cs="Arial" w:eastAsia="Arial" w:hAnsi="Arial"/>
          <w:sz w:val="17"/>
          <w:szCs w:val="17"/>
          <w:color w:val="auto"/>
        </w:rPr>
        <w:t>The Compensation Committee approved grants of restricted stock awards to the Company’s named executive officers,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Mr. Richardson, effective March 14, 2014. Each restricted stock award vests 20% on March 1, 2015 (the “First Vesting Date”) and on each of the first four anniversaries of the First Vesting Date. The number of shares granted to each such officer was as follows: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600" w:type="dxa"/>
            <w:vAlign w:val="bottom"/>
          </w:tcPr>
          <w:p>
            <w:pPr>
              <w:spacing w:after="0"/>
              <w:rPr>
                <w:sz w:val="16"/>
                <w:szCs w:val="16"/>
                <w:color w:val="auto"/>
              </w:rPr>
            </w:pPr>
          </w:p>
        </w:tc>
        <w:tc>
          <w:tcPr>
            <w:tcW w:w="4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Shares Subject to Restricted Stock Award</w:t>
            </w:r>
          </w:p>
        </w:tc>
      </w:tr>
      <w:tr>
        <w:trPr>
          <w:trHeight w:val="203"/>
        </w:trPr>
        <w:tc>
          <w:tcPr>
            <w:tcW w:w="2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Brian E. Mueller</w:t>
            </w:r>
          </w:p>
        </w:tc>
        <w:tc>
          <w:tcPr>
            <w:tcW w:w="144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 and Practices as Related to Risk Management</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29" w:lineRule="exact"/>
        <w:rPr>
          <w:sz w:val="20"/>
          <w:szCs w:val="20"/>
          <w:color w:val="auto"/>
        </w:rPr>
      </w:pPr>
    </w:p>
    <w:p>
      <w:pPr>
        <w:ind w:left="900" w:right="4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29" w:lineRule="exact"/>
        <w:rPr>
          <w:rFonts w:ascii="Arial" w:cs="Arial" w:eastAsia="Arial" w:hAnsi="Arial"/>
          <w:sz w:val="16"/>
          <w:szCs w:val="16"/>
          <w:color w:val="auto"/>
        </w:rPr>
      </w:pPr>
    </w:p>
    <w:p>
      <w:pPr>
        <w:ind w:left="900" w:right="600" w:hanging="446"/>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253" w:right="499" w:bottom="1440" w:gutter="0" w:footer="0" w:header="0"/>
        </w:sectPr>
      </w:pPr>
    </w:p>
    <w:bookmarkStart w:id="38" w:name="page39"/>
    <w:bookmarkEnd w:id="38"/>
    <w:p>
      <w:pPr>
        <w:ind w:left="900" w:right="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equity grants made to our named executive officers, and all other employees, under the Equity Incentive Plan all vest in annual increments over a period of five years, which we believe discourages excessive or inappropriate short-term risk taking.</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that there are no known potential risks arising from our compensation polices or practices that are reasonably likely to have a material adverse effect on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David J. Johnson (Chair)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Jack A. Henry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Sara R. Dial</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274"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the total compensation earned for services rendered by our principal executive officer, our principal financial officer, our three other most highly compensated executive officers whose total compensation for the fiscal year ended December 31, 2013 was in excess of $100,000 and who were serving as executive officers at the end of that fiscal year, and our Executive Chairman. The listed individuals are referred to herein as the “named executive officers.”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Restricted</w:t>
            </w: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Stock and</w:t>
            </w: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30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40" w:type="dxa"/>
            <w:vAlign w:val="bottom"/>
            <w:gridSpan w:val="2"/>
          </w:tcPr>
          <w:p>
            <w:pPr>
              <w:jc w:val="right"/>
              <w:ind w:right="179"/>
              <w:spacing w:after="0" w:line="15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91"/>
              <w:spacing w:after="0" w:line="158" w:lineRule="exact"/>
              <w:rPr>
                <w:sz w:val="20"/>
                <w:szCs w:val="20"/>
                <w:color w:val="auto"/>
              </w:rPr>
            </w:pPr>
            <w:r>
              <w:rPr>
                <w:rFonts w:ascii="Arial" w:cs="Arial" w:eastAsia="Arial" w:hAnsi="Arial"/>
                <w:sz w:val="14"/>
                <w:szCs w:val="14"/>
                <w:b w:val="1"/>
                <w:bCs w:val="1"/>
                <w:color w:val="auto"/>
                <w:w w:val="99"/>
              </w:rPr>
              <w:t>($)(2)</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2"/>
              <w:spacing w:after="0" w:line="158" w:lineRule="exact"/>
              <w:rPr>
                <w:sz w:val="20"/>
                <w:szCs w:val="20"/>
                <w:color w:val="auto"/>
              </w:rPr>
            </w:pPr>
            <w:r>
              <w:rPr>
                <w:rFonts w:ascii="Arial" w:cs="Arial" w:eastAsia="Arial" w:hAnsi="Arial"/>
                <w:sz w:val="14"/>
                <w:szCs w:val="14"/>
                <w:b w:val="1"/>
                <w:bCs w:val="1"/>
                <w:color w:val="auto"/>
                <w:w w:val="94"/>
              </w:rPr>
              <w:t>($) (3)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shd w:val="clear" w:color="auto" w:fill="000000"/>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Brent D. Richardson</w:t>
            </w:r>
          </w:p>
        </w:tc>
        <w:tc>
          <w:tcPr>
            <w:tcW w:w="4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84"/>
              </w:rPr>
              <w:t>2013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$103,750</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34"/>
              <w:spacing w:after="0" w:line="17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36,500</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14,388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  154,638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Chairman</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154,471</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37,500</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16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297,500</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18,400</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334,904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spacing w:after="0" w:line="201" w:lineRule="exact"/>
              <w:rPr>
                <w:sz w:val="20"/>
                <w:szCs w:val="20"/>
                <w:color w:val="auto"/>
              </w:rPr>
            </w:pPr>
            <w:r>
              <w:rPr>
                <w:rFonts w:ascii="Arial" w:cs="Arial" w:eastAsia="Arial" w:hAnsi="Arial"/>
                <w:sz w:val="18"/>
                <w:szCs w:val="18"/>
                <w:color w:val="auto"/>
              </w:rPr>
              <w:t>Brian E. Mueller</w:t>
            </w:r>
          </w:p>
        </w:tc>
        <w:tc>
          <w:tcPr>
            <w:tcW w:w="5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2013</w:t>
            </w: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621,000</w:t>
            </w:r>
          </w:p>
        </w:tc>
        <w:tc>
          <w:tcPr>
            <w:tcW w:w="300" w:type="dxa"/>
            <w:vAlign w:val="bottom"/>
          </w:tcPr>
          <w:p>
            <w:pPr>
              <w:spacing w:after="0"/>
              <w:rPr>
                <w:sz w:val="17"/>
                <w:szCs w:val="17"/>
                <w:color w:val="auto"/>
              </w:rPr>
            </w:pPr>
          </w:p>
        </w:tc>
        <w:tc>
          <w:tcPr>
            <w:tcW w:w="11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w w:val="99"/>
              </w:rPr>
              <w:t>1,622,025</w:t>
            </w:r>
          </w:p>
        </w:tc>
        <w:tc>
          <w:tcPr>
            <w:tcW w:w="1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906,660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11,443</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3,161,128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Executive Officer and Director</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609,692</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1,149,525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915,750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2,677,289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Executive Officer)</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3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1,048,350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441,600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2,580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2,092,530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362,250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865,080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355,654</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613,080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6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559,120</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193,200</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1,108,098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spacing w:after="0" w:line="201" w:lineRule="exact"/>
              <w:rPr>
                <w:sz w:val="20"/>
                <w:szCs w:val="20"/>
                <w:color w:val="auto"/>
              </w:rPr>
            </w:pPr>
            <w:r>
              <w:rPr>
                <w:rFonts w:ascii="Arial" w:cs="Arial" w:eastAsia="Arial" w:hAnsi="Arial"/>
                <w:sz w:val="18"/>
                <w:szCs w:val="18"/>
                <w:color w:val="auto"/>
              </w:rPr>
              <w:t>Daniel E. Bachus</w:t>
            </w:r>
          </w:p>
        </w:tc>
        <w:tc>
          <w:tcPr>
            <w:tcW w:w="5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2013</w:t>
            </w: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362,250</w:t>
            </w:r>
          </w:p>
        </w:tc>
        <w:tc>
          <w:tcPr>
            <w:tcW w:w="300" w:type="dxa"/>
            <w:vAlign w:val="bottom"/>
          </w:tcPr>
          <w:p>
            <w:pPr>
              <w:spacing w:after="0"/>
              <w:rPr>
                <w:sz w:val="17"/>
                <w:szCs w:val="17"/>
                <w:color w:val="auto"/>
              </w:rPr>
            </w:pPr>
          </w:p>
        </w:tc>
        <w:tc>
          <w:tcPr>
            <w:tcW w:w="11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865,080</w:t>
            </w:r>
          </w:p>
        </w:tc>
        <w:tc>
          <w:tcPr>
            <w:tcW w:w="1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396,664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376</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1,624,370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355,654</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613,080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400,641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1,396,751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Financial Officer)</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3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559,120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186,638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1,096,178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865,050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226,665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Information Officer</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304,846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851,500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6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559,120</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106,650</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970,969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spacing w:after="0" w:line="201" w:lineRule="exact"/>
              <w:rPr>
                <w:sz w:val="20"/>
                <w:szCs w:val="20"/>
                <w:color w:val="auto"/>
              </w:rPr>
            </w:pPr>
            <w:r>
              <w:rPr>
                <w:rFonts w:ascii="Arial" w:cs="Arial" w:eastAsia="Arial" w:hAnsi="Arial"/>
                <w:sz w:val="18"/>
                <w:szCs w:val="18"/>
                <w:color w:val="auto"/>
              </w:rPr>
              <w:t>Brian M. Roberts (4)</w:t>
            </w:r>
          </w:p>
        </w:tc>
        <w:tc>
          <w:tcPr>
            <w:tcW w:w="5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2013</w:t>
            </w: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225,000</w:t>
            </w:r>
          </w:p>
        </w:tc>
        <w:tc>
          <w:tcPr>
            <w:tcW w:w="300" w:type="dxa"/>
            <w:vAlign w:val="bottom"/>
          </w:tcPr>
          <w:p>
            <w:pPr>
              <w:spacing w:after="0"/>
              <w:rPr>
                <w:sz w:val="17"/>
                <w:szCs w:val="17"/>
                <w:color w:val="auto"/>
              </w:rPr>
            </w:pPr>
          </w:p>
        </w:tc>
        <w:tc>
          <w:tcPr>
            <w:tcW w:w="11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480,600</w:t>
            </w:r>
          </w:p>
        </w:tc>
        <w:tc>
          <w:tcPr>
            <w:tcW w:w="1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102,200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2,643</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810,443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180"/>
              <w:spacing w:after="0"/>
              <w:rPr>
                <w:sz w:val="20"/>
                <w:szCs w:val="20"/>
                <w:color w:val="auto"/>
              </w:rPr>
            </w:pPr>
            <w:r>
              <w:rPr>
                <w:rFonts w:ascii="Arial" w:cs="Arial" w:eastAsia="Arial" w:hAnsi="Arial"/>
                <w:sz w:val="18"/>
                <w:szCs w:val="18"/>
                <w:i w:val="1"/>
                <w:iCs w:val="1"/>
                <w:color w:val="auto"/>
              </w:rPr>
              <w:t>General Counsel</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140,885</w:t>
            </w:r>
          </w:p>
        </w:tc>
        <w:tc>
          <w:tcPr>
            <w:tcW w:w="3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334,800</w:t>
            </w:r>
          </w:p>
        </w:tc>
        <w:tc>
          <w:tcPr>
            <w:tcW w:w="1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60,500</w:t>
            </w: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1,528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537,713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20" w:hanging="452"/>
        <w:spacing w:after="0" w:line="285"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shown in this column reflect the compensation costs attributable to the restricted stock awards granted in 2013 and 2012 and the stock options granted to the named executive officers in 2011. The compensation costs are based on the grant date fair value of each stock option and restricted stock award and do not take into account any estimated forfeitures related to service-based vesting conditions, if any. Assumptions used in the calculation of the grant date fair value of each restricted stock award or option granted during the 2013, 2012, and 2011 fiscal years are set forth in Notes 3 and 15 to our financial statements for the fiscal year ended December 31, 2013 included in our 2013 Annual Report on Form 10-K.</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 this column reflect non-equity incentive payments earned pursuant to our Annual Cash Incentive Plan.</w:t>
      </w:r>
    </w:p>
    <w:p>
      <w:pPr>
        <w:spacing w:after="0" w:line="9" w:lineRule="exact"/>
        <w:rPr>
          <w:rFonts w:ascii="Arial" w:cs="Arial" w:eastAsia="Arial" w:hAnsi="Arial"/>
          <w:sz w:val="18"/>
          <w:szCs w:val="18"/>
          <w:color w:val="auto"/>
        </w:rPr>
      </w:pPr>
    </w:p>
    <w:p>
      <w:pPr>
        <w:ind w:left="460" w:right="30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2013, 2012, and 2011, the amounts in this column include company paid life insurance premiums for all named executive officers. In addition for Mr. Richardson, the amounts in this column include the value of payments made by us on a Company-owned vehicle used by Mr. Richardson. For Dr. Meyer, Mr. Mildenhall, and Mr. Roberts, the amounts in this column reflect matching payments made by the Company under our 401(k) plan.</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Roberts commenced employment with us in May 2012.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Grants of Plan-Based Awards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incentive plan awards under our Annual Cash Incentive Plan and our Equity Incentive Plan for the fiscal year ended December 31, 2013 to each of our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6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80" w:type="dxa"/>
            <w:vAlign w:val="bottom"/>
          </w:tcPr>
          <w:p>
            <w:pPr>
              <w:spacing w:after="0"/>
              <w:rPr>
                <w:sz w:val="12"/>
                <w:szCs w:val="12"/>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60" w:type="dxa"/>
            <w:vAlign w:val="bottom"/>
            <w:gridSpan w:val="7"/>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Estimated Future Payouts Under Non-</w:t>
            </w:r>
          </w:p>
        </w:tc>
        <w:tc>
          <w:tcPr>
            <w:tcW w:w="8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or Base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Equity Incentive Plan Awards(1)</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2"/>
                <w:szCs w:val="2"/>
                <w:color w:val="auto"/>
              </w:rPr>
            </w:pPr>
          </w:p>
        </w:tc>
        <w:tc>
          <w:tcPr>
            <w:tcW w:w="5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7"/>
              </w:rPr>
              <w:t>Option</w:t>
            </w: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92"/>
        </w:trPr>
        <w:tc>
          <w:tcPr>
            <w:tcW w:w="3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820" w:type="dxa"/>
            <w:vAlign w:val="bottom"/>
            <w:vMerge w:val="restart"/>
          </w:tcPr>
          <w:p>
            <w:pPr>
              <w:spacing w:after="0"/>
              <w:rPr>
                <w:sz w:val="12"/>
                <w:szCs w:val="12"/>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Grant Date</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Threshold($</w:t>
            </w:r>
            <w:r>
              <w:rPr>
                <w:rFonts w:ascii="Arial" w:cs="Arial" w:eastAsia="Arial" w:hAnsi="Arial"/>
                <w:sz w:val="14"/>
                <w:szCs w:val="14"/>
                <w:b w:val="1"/>
                <w:bCs w:val="1"/>
                <w:color w:val="auto"/>
              </w:rPr>
              <w:t>)</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u w:val="single" w:color="auto"/>
                <w:color w:val="auto"/>
                <w:w w:val="93"/>
              </w:rPr>
              <w:t>Target($</w:t>
            </w: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u w:val="single" w:color="auto"/>
                <w:color w:val="auto"/>
                <w:w w:val="95"/>
              </w:rPr>
              <w:t>Maximum($</w:t>
            </w:r>
            <w:r>
              <w:rPr>
                <w:rFonts w:ascii="Arial" w:cs="Arial" w:eastAsia="Arial" w:hAnsi="Arial"/>
                <w:sz w:val="14"/>
                <w:szCs w:val="14"/>
                <w:b w:val="1"/>
                <w:bCs w:val="1"/>
                <w:color w:val="auto"/>
                <w:w w:val="95"/>
              </w:rPr>
              <w:t>)</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Options (#)</w:t>
            </w:r>
          </w:p>
        </w:tc>
        <w:tc>
          <w:tcPr>
            <w:tcW w:w="16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w w:val="91"/>
              </w:rPr>
              <w:t>Awards(2)</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Brent D. Richardson</w:t>
            </w:r>
          </w:p>
        </w:tc>
        <w:tc>
          <w:tcPr>
            <w:tcW w:w="106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12,500</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$ 25,000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37,500</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Mar. 15, 2013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310,500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621,000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931,500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67,500</w:t>
            </w:r>
          </w:p>
        </w:tc>
        <w:tc>
          <w:tcPr>
            <w:tcW w:w="16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1,622,025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 15, 2013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135,844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271,688</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407,532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Mar. 15, 2013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135,844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271,688</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407,532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36,000</w:t>
            </w:r>
          </w:p>
        </w:tc>
        <w:tc>
          <w:tcPr>
            <w:tcW w:w="16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 15, 2013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155,250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232,875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Mr. Brian Roberts</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Mar. 15, 2013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70,000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105,000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34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amounts reflect the Threshold, Target and Maximum bonuses payable to our named executive officers under our Annual Cash Incentive Plan (based on their base salaries as in effect at year end). All such awards have been paid, and the actual amounts paid are set forth in the Summary Compensation Table above.</w:t>
      </w:r>
    </w:p>
    <w:p>
      <w:pPr>
        <w:ind w:left="460" w:right="100" w:hanging="452"/>
        <w:spacing w:after="0" w:line="277"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dollar value reported in this column with respect to restricted stock awards represents the grant date fair value of each restricted share award. A discussion of the fair value of share-based awards and amortization of share-based compensation expense is set forth in Notes 3 and 15 to our financial statements for the fiscal year ended December 31, 2013, included in our 2013 Annual Report on Form 10-K.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Outstanding Equity Awards at Fiscal Year-End</w:t>
      </w:r>
    </w:p>
    <w:p>
      <w:pPr>
        <w:spacing w:after="0" w:line="117"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the named executive officers as of December 31,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ind w:left="820"/>
              <w:spacing w:after="0"/>
              <w:rPr>
                <w:sz w:val="20"/>
                <w:szCs w:val="20"/>
                <w:color w:val="auto"/>
              </w:rPr>
            </w:pPr>
            <w:r>
              <w:rPr>
                <w:rFonts w:ascii="Arial" w:cs="Arial" w:eastAsia="Arial" w:hAnsi="Arial"/>
                <w:sz w:val="14"/>
                <w:szCs w:val="14"/>
                <w:b w:val="1"/>
                <w:bCs w:val="1"/>
                <w:color w:val="auto"/>
              </w:rPr>
              <w:t>Option Awards(1)</w:t>
            </w: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ind w:left="160"/>
              <w:spacing w:after="0"/>
              <w:rPr>
                <w:sz w:val="20"/>
                <w:szCs w:val="20"/>
                <w:color w:val="auto"/>
              </w:rPr>
            </w:pPr>
            <w:r>
              <w:rPr>
                <w:rFonts w:ascii="Arial" w:cs="Arial" w:eastAsia="Arial" w:hAnsi="Arial"/>
                <w:sz w:val="14"/>
                <w:szCs w:val="14"/>
                <w:b w:val="1"/>
                <w:bCs w:val="1"/>
                <w:color w:val="auto"/>
              </w:rPr>
              <w:t>Restricted 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 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 Expiration</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 (#)</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Options (#)</w:t>
            </w:r>
          </w:p>
        </w:tc>
        <w:tc>
          <w:tcPr>
            <w:tcW w:w="11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660" w:type="dxa"/>
            <w:vAlign w:val="bottom"/>
            <w:gridSpan w:val="2"/>
            <w:vMerge w:val="continue"/>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 Not</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1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5"/>
                <w:szCs w:val="15"/>
                <w:color w:val="auto"/>
              </w:rPr>
            </w:pPr>
          </w:p>
        </w:tc>
        <w:tc>
          <w:tcPr>
            <w:tcW w:w="720" w:type="dxa"/>
            <w:vAlign w:val="bottom"/>
          </w:tcPr>
          <w:p>
            <w:pPr>
              <w:jc w:val="right"/>
              <w:ind w:right="272"/>
              <w:spacing w:after="0" w:line="15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660" w:type="dxa"/>
            <w:vAlign w:val="bottom"/>
            <w:gridSpan w:val="2"/>
          </w:tcPr>
          <w:p>
            <w:pPr>
              <w:ind w:left="580"/>
              <w:spacing w:after="0" w:line="158" w:lineRule="exact"/>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Vested (2)</w:t>
            </w:r>
          </w:p>
        </w:tc>
        <w:tc>
          <w:tcPr>
            <w:tcW w:w="9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03"/>
        </w:trPr>
        <w:tc>
          <w:tcPr>
            <w:tcW w:w="4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Brian E. Mueller</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83"/>
              </w:rPr>
              <w:t>90,000</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15.34</w:t>
            </w:r>
          </w:p>
        </w:tc>
        <w:tc>
          <w:tcPr>
            <w:tcW w:w="3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11, 2021</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121,500</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$ 5,297,400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60,000</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759,788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Dr. W. Stan Meyer</w:t>
            </w: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32,000</w:t>
            </w:r>
          </w:p>
        </w:tc>
        <w:tc>
          <w:tcPr>
            <w:tcW w:w="118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48,000</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15.34</w:t>
            </w:r>
          </w:p>
        </w:tc>
        <w:tc>
          <w:tcPr>
            <w:tcW w:w="1660" w:type="dxa"/>
            <w:vAlign w:val="bottom"/>
            <w:gridSpan w:val="2"/>
          </w:tcPr>
          <w:p>
            <w:pPr>
              <w:spacing w:after="0" w:line="201" w:lineRule="exact"/>
              <w:rPr>
                <w:sz w:val="20"/>
                <w:szCs w:val="20"/>
                <w:color w:val="auto"/>
              </w:rPr>
            </w:pPr>
            <w:r>
              <w:rPr>
                <w:rFonts w:ascii="Arial" w:cs="Arial" w:eastAsia="Arial" w:hAnsi="Arial"/>
                <w:sz w:val="18"/>
                <w:szCs w:val="18"/>
                <w:color w:val="auto"/>
              </w:rPr>
              <w:t>March 11, 2021</w:t>
            </w: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64,800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2,825,280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24,000</w:t>
            </w: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271,315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32,000</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48,000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15.34</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11, 2021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24,000</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16,000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187,428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Joseph N. Mildenhall</w:t>
            </w: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7,000</w:t>
            </w:r>
          </w:p>
        </w:tc>
        <w:tc>
          <w:tcPr>
            <w:tcW w:w="118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48,000</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15.34</w:t>
            </w:r>
          </w:p>
        </w:tc>
        <w:tc>
          <w:tcPr>
            <w:tcW w:w="1660" w:type="dxa"/>
            <w:vAlign w:val="bottom"/>
            <w:gridSpan w:val="2"/>
          </w:tcPr>
          <w:p>
            <w:pPr>
              <w:spacing w:after="0" w:line="201" w:lineRule="exact"/>
              <w:rPr>
                <w:sz w:val="20"/>
                <w:szCs w:val="20"/>
                <w:color w:val="auto"/>
              </w:rPr>
            </w:pPr>
            <w:r>
              <w:rPr>
                <w:rFonts w:ascii="Arial" w:cs="Arial" w:eastAsia="Arial" w:hAnsi="Arial"/>
                <w:sz w:val="18"/>
                <w:szCs w:val="18"/>
                <w:color w:val="auto"/>
              </w:rPr>
              <w:t>March 11, 2021</w:t>
            </w: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76,000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3,313,600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15,000</w:t>
            </w: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35,000</w:t>
            </w: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17.03</w:t>
            </w:r>
          </w:p>
        </w:tc>
        <w:tc>
          <w:tcPr>
            <w:tcW w:w="1660" w:type="dxa"/>
            <w:vAlign w:val="bottom"/>
            <w:gridSpan w:val="2"/>
          </w:tcPr>
          <w:p>
            <w:pPr>
              <w:spacing w:after="0"/>
              <w:rPr>
                <w:sz w:val="20"/>
                <w:szCs w:val="20"/>
                <w:color w:val="auto"/>
              </w:rPr>
            </w:pPr>
            <w:r>
              <w:rPr>
                <w:rFonts w:ascii="Arial" w:cs="Arial" w:eastAsia="Arial" w:hAnsi="Arial"/>
                <w:sz w:val="18"/>
                <w:szCs w:val="18"/>
                <w:color w:val="auto"/>
              </w:rPr>
              <w:t>September 16, 2019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Brian Roberts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1" w:name="page42"/>
    <w:bookmarkEnd w:id="41"/>
    <w:p>
      <w:pPr>
        <w:ind w:left="460" w:right="40" w:hanging="452"/>
        <w:spacing w:after="0" w:line="297"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covered by the options granted to Mr. Mueller, Dr. Meyer, Mr. Bachus, and Mr. Mildenhall vest in five successive equal annual installments upon the completion of each year of service with us over the five year period measured from the respective date of grant, subject to fully accelerated vesting in the event of a termination of employment by us without cause or by the executive for good reason within 12 months following a change in control of the Company. Mr. Mueller, Dr. Meyer, Mr. Bachus and Mr. Mildenhall also receive partially accelerated vesting through the next vesting date immediately following the date of termination, upon the termination of employment by us without cause or by the executive for good reason.</w:t>
      </w:r>
    </w:p>
    <w:p>
      <w:pPr>
        <w:spacing w:after="0" w:line="63" w:lineRule="exact"/>
        <w:rPr>
          <w:rFonts w:ascii="Arial" w:cs="Arial" w:eastAsia="Arial" w:hAnsi="Arial"/>
          <w:sz w:val="16"/>
          <w:szCs w:val="16"/>
          <w:color w:val="auto"/>
        </w:rPr>
      </w:pPr>
    </w:p>
    <w:p>
      <w:pPr>
        <w:ind w:left="460" w:right="520" w:hanging="452"/>
        <w:spacing w:after="0" w:line="28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restricted share awards granted to Mr. Mueller, Dr. Meyer, Mr. Bachus, Mr. Mildenhall, and Mr. Roberts vest in five successive equal annual installments upon the completion of each year of service with us over the five year period, subject to fully accelerated vesting in the event of a termination of employment without cause or by the executive for good reason within 12 months following a change in control of the Company.</w:t>
      </w: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Mr. Mueller, Dr. Meyer, Mr. Bachus and Mr. Mildenhall also receive partial accelerated vesting through the next vesting date immediately following the date of termination, upon the termination of employment by us without cause or by the executive for good reason.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provides certain summary information concerning option awards exercised by our named executive officers, and restricted stock awards made to our named executive officers that vested, during the fiscal year ended December 31, 2013.</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8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w w:val="96"/>
              </w:rPr>
              <w:t>Option Awards</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Restricted Stock Awards</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60" w:type="dxa"/>
            <w:vAlign w:val="bottom"/>
            <w:vMerge w:val="restart"/>
          </w:tcPr>
          <w:p>
            <w:pPr>
              <w:spacing w:after="0"/>
              <w:rPr>
                <w:sz w:val="10"/>
                <w:szCs w:val="10"/>
                <w:color w:val="auto"/>
              </w:rPr>
            </w:pPr>
          </w:p>
        </w:tc>
        <w:tc>
          <w:tcPr>
            <w:tcW w:w="21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Number of Shares Acquired</w:t>
            </w:r>
          </w:p>
        </w:tc>
        <w:tc>
          <w:tcPr>
            <w:tcW w:w="60" w:type="dxa"/>
            <w:vAlign w:val="bottom"/>
          </w:tcPr>
          <w:p>
            <w:pPr>
              <w:spacing w:after="0"/>
              <w:rPr>
                <w:sz w:val="10"/>
                <w:szCs w:val="10"/>
                <w:color w:val="auto"/>
              </w:rPr>
            </w:pP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Value Realized on</w:t>
            </w:r>
          </w:p>
        </w:tc>
        <w:tc>
          <w:tcPr>
            <w:tcW w:w="500" w:type="dxa"/>
            <w:vAlign w:val="bottom"/>
          </w:tcPr>
          <w:p>
            <w:pPr>
              <w:spacing w:after="0"/>
              <w:rPr>
                <w:sz w:val="10"/>
                <w:szCs w:val="10"/>
                <w:color w:val="auto"/>
              </w:rPr>
            </w:pPr>
          </w:p>
        </w:tc>
        <w:tc>
          <w:tcPr>
            <w:tcW w:w="22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 of Shares Acquired</w:t>
            </w:r>
          </w:p>
        </w:tc>
        <w:tc>
          <w:tcPr>
            <w:tcW w:w="11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Value Realized on</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1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on Exercise(#)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700"/>
              <w:spacing w:after="0" w:line="158" w:lineRule="exact"/>
              <w:rPr>
                <w:sz w:val="20"/>
                <w:szCs w:val="20"/>
                <w:color w:val="auto"/>
              </w:rPr>
            </w:pPr>
            <w:r>
              <w:rPr>
                <w:rFonts w:ascii="Arial" w:cs="Arial" w:eastAsia="Arial" w:hAnsi="Arial"/>
                <w:sz w:val="14"/>
                <w:szCs w:val="14"/>
                <w:b w:val="1"/>
                <w:bCs w:val="1"/>
                <w:color w:val="auto"/>
                <w:w w:val="98"/>
              </w:rPr>
              <w:t>Exercise($)</w:t>
            </w:r>
          </w:p>
        </w:tc>
        <w:tc>
          <w:tcPr>
            <w:tcW w:w="22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0"/>
              </w:rPr>
              <w:t>on Vesting(#)</w:t>
            </w:r>
          </w:p>
        </w:tc>
        <w:tc>
          <w:tcPr>
            <w:tcW w:w="240" w:type="dxa"/>
            <w:vAlign w:val="bottom"/>
          </w:tcPr>
          <w:p>
            <w:pPr>
              <w:spacing w:after="0"/>
              <w:rPr>
                <w:sz w:val="15"/>
                <w:szCs w:val="15"/>
                <w:color w:val="auto"/>
              </w:rPr>
            </w:pPr>
          </w:p>
        </w:tc>
        <w:tc>
          <w:tcPr>
            <w:tcW w:w="11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Brian E. Mueller</w:t>
            </w: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w:t>
            </w: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4,367,672</w:t>
            </w:r>
          </w:p>
        </w:tc>
        <w:tc>
          <w:tcPr>
            <w:tcW w:w="5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13,500</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324,405</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2180" w:type="dxa"/>
            <w:vAlign w:val="bottom"/>
            <w:gridSpan w:val="2"/>
          </w:tcPr>
          <w:p>
            <w:pPr>
              <w:jc w:val="right"/>
              <w:ind w:right="440"/>
              <w:spacing w:after="0"/>
              <w:rPr>
                <w:sz w:val="20"/>
                <w:szCs w:val="20"/>
                <w:color w:val="auto"/>
              </w:rPr>
            </w:pPr>
            <w:r>
              <w:rPr>
                <w:rFonts w:ascii="Arial" w:cs="Arial" w:eastAsia="Arial" w:hAnsi="Arial"/>
                <w:sz w:val="18"/>
                <w:szCs w:val="18"/>
                <w:color w:val="auto"/>
              </w:rPr>
              <w:t>146,000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2,340,454</w:t>
            </w:r>
          </w:p>
        </w:tc>
        <w:tc>
          <w:tcPr>
            <w:tcW w:w="500" w:type="dxa"/>
            <w:vAlign w:val="bottom"/>
          </w:tcPr>
          <w:p>
            <w:pPr>
              <w:spacing w:after="0"/>
              <w:rPr>
                <w:sz w:val="18"/>
                <w:szCs w:val="18"/>
                <w:color w:val="auto"/>
              </w:rPr>
            </w:pPr>
          </w:p>
        </w:tc>
        <w:tc>
          <w:tcPr>
            <w:tcW w:w="2220" w:type="dxa"/>
            <w:vAlign w:val="bottom"/>
            <w:gridSpan w:val="2"/>
          </w:tcPr>
          <w:p>
            <w:pPr>
              <w:jc w:val="right"/>
              <w:ind w:right="480"/>
              <w:spacing w:after="0"/>
              <w:rPr>
                <w:sz w:val="20"/>
                <w:szCs w:val="20"/>
                <w:color w:val="auto"/>
              </w:rPr>
            </w:pPr>
            <w:r>
              <w:rPr>
                <w:rFonts w:ascii="Arial" w:cs="Arial" w:eastAsia="Arial" w:hAnsi="Arial"/>
                <w:sz w:val="18"/>
                <w:szCs w:val="18"/>
                <w:color w:val="auto"/>
              </w:rPr>
              <w:t>7,200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173,016</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Daniel E. Bachus</w:t>
            </w:r>
          </w:p>
        </w:tc>
        <w:tc>
          <w:tcPr>
            <w:tcW w:w="2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186,156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3,037,841</w:t>
            </w:r>
          </w:p>
        </w:tc>
        <w:tc>
          <w:tcPr>
            <w:tcW w:w="5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173,016</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Mr. Joseph N. Mildenhall</w:t>
            </w:r>
          </w:p>
        </w:tc>
        <w:tc>
          <w:tcPr>
            <w:tcW w:w="2180" w:type="dxa"/>
            <w:vAlign w:val="bottom"/>
            <w:gridSpan w:val="2"/>
          </w:tcPr>
          <w:p>
            <w:pPr>
              <w:jc w:val="right"/>
              <w:ind w:right="440"/>
              <w:spacing w:after="0"/>
              <w:rPr>
                <w:sz w:val="20"/>
                <w:szCs w:val="20"/>
                <w:color w:val="auto"/>
              </w:rPr>
            </w:pPr>
            <w:r>
              <w:rPr>
                <w:rFonts w:ascii="Arial" w:cs="Arial" w:eastAsia="Arial" w:hAnsi="Arial"/>
                <w:sz w:val="18"/>
                <w:szCs w:val="18"/>
                <w:color w:val="auto"/>
              </w:rPr>
              <w:t>25,000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384,292</w:t>
            </w:r>
          </w:p>
        </w:tc>
        <w:tc>
          <w:tcPr>
            <w:tcW w:w="2220" w:type="dxa"/>
            <w:vAlign w:val="bottom"/>
            <w:gridSpan w:val="2"/>
          </w:tcPr>
          <w:p>
            <w:pPr>
              <w:jc w:val="right"/>
              <w:ind w:right="48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240,300</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Brian Roberts</w:t>
            </w:r>
          </w:p>
        </w:tc>
        <w:tc>
          <w:tcPr>
            <w:tcW w:w="21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119,360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We are parties to employment agreements with each of our named executive officers. Each of the agreements have a four-year term that automatically renews for one year periods after the initial four-year term unless either party provides written notice that it does not wish to renew the respective agreement. Except with respect to certain items of compensation, as described below, the terms of each agreement are similar in all material respects.</w:t>
      </w:r>
    </w:p>
    <w:p>
      <w:pPr>
        <w:spacing w:after="0" w:line="52" w:lineRule="exact"/>
        <w:rPr>
          <w:sz w:val="20"/>
          <w:szCs w:val="20"/>
          <w:color w:val="auto"/>
        </w:rPr>
      </w:pPr>
    </w:p>
    <w:p>
      <w:pPr>
        <w:ind w:left="900" w:right="24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agreement with Mr. Richardson provides for a base salary, subject to annual review by the Compensation Committee. The agreement does not set a target performance bonus as percentage of base salary, but leaves such target to be determined by the Compensation Committee.</w:t>
      </w:r>
    </w:p>
    <w:p>
      <w:pPr>
        <w:spacing w:after="0" w:line="29"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agreements with each of Mr. Mueller, Dr. Meyer, Mr. Bachus, Mr. Mildenhall, and Mr. Roberts provide for a base salary and a target bonus under our Annual Cash Incentive Plan.</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agreement entitles the executive to certain benefits upon his or her termination of employment under specified circumstances.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2" w:name="page43"/>
    <w:bookmarkEnd w:id="42"/>
    <w:p>
      <w:pPr>
        <w:ind w:right="3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each of the above employment agreements provides for payments upon certain terminations of the executive’s employment. For a description of these termination provisions, whether or not following a change-in-control, and a quantification of benefits that would be received by these executives, see the heading “Potential Payments upon Termination or Change in Control”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employment agreements with our named executive officers entitle them to certain severance payments and other benefits in the event of certain types of terminations, which are summarized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117"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restricted stock awards will terminate. For purposes of each of the employment agreements, “Cause” is defined as</w:t>
      </w:r>
    </w:p>
    <w:p>
      <w:pPr>
        <w:ind w:firstLine="8"/>
        <w:spacing w:after="0" w:line="287" w:lineRule="auto"/>
        <w:tabs>
          <w:tab w:leader="none" w:pos="2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87" w:lineRule="exact"/>
        <w:rPr>
          <w:sz w:val="20"/>
          <w:szCs w:val="20"/>
          <w:color w:val="auto"/>
        </w:rPr>
      </w:pPr>
    </w:p>
    <w:p>
      <w:pPr>
        <w:ind w:left="900" w:right="60" w:hanging="446"/>
        <w:spacing w:after="0" w:line="25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severance payment in an amount equal to the sum of (i) twelve (12) months of the executive’s base salary then in effect on the date of termination date (except for Mr. Roberts, whose payments would be equivalent to six (6) months of his base salary), and (ii)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p>
      <w:pPr>
        <w:spacing w:after="0" w:line="93"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payment by us of the premiums required to continue the executive’s group health care coverage for a period of twelve (12) months following the executive’s termination (except for Mr. Roberts whose payments would be for a period of six (6 months following his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93" w:lineRule="exact"/>
        <w:rPr>
          <w:rFonts w:ascii="Arial" w:cs="Arial" w:eastAsia="Arial" w:hAnsi="Arial"/>
          <w:sz w:val="18"/>
          <w:szCs w:val="18"/>
          <w:color w:val="auto"/>
        </w:rPr>
      </w:pPr>
    </w:p>
    <w:p>
      <w:pPr>
        <w:jc w:val="both"/>
        <w:ind w:left="900" w:right="42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Mr. Mueller, Dr. Meyer, Mr. Bachus and Mr. Mildenhall, acceleration of the vesting of the next annual installment under any outstanding stock option or restricted stock award that otherwise would have vested on the next vesting date following the named executive officer’s 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43" w:name="page44"/>
    <w:bookmarkEnd w:id="43"/>
    <w:p>
      <w:pPr>
        <w:ind w:right="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w:t>
      </w:r>
    </w:p>
    <w:p>
      <w:pPr>
        <w:spacing w:after="0" w:line="188"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w:t>
      </w:r>
    </w:p>
    <w:p>
      <w:pPr>
        <w:ind w:right="20" w:firstLine="8"/>
        <w:spacing w:after="0" w:line="268" w:lineRule="auto"/>
        <w:tabs>
          <w:tab w:leader="none" w:pos="3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4" w:name="page45"/>
    <w:bookmarkEnd w:id="44"/>
    <w:p>
      <w:pPr>
        <w:ind w:right="2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provides information regarding the potential payments upon termination without Cause or for Good Reason, as well upon termination without Cause or for Good Reason after a Change in Control of the Company, which would have been paid to each executive in the event he or she had been terminated as of December 31, 2013, the last business day of fiscal year 2013.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640" w:type="dxa"/>
            <w:vAlign w:val="bottom"/>
            <w:gridSpan w:val="8"/>
            <w:vMerge w:val="restart"/>
          </w:tcPr>
          <w:p>
            <w:pPr>
              <w:ind w:left="260"/>
              <w:spacing w:after="0"/>
              <w:rPr>
                <w:sz w:val="20"/>
                <w:szCs w:val="20"/>
                <w:color w:val="auto"/>
              </w:rPr>
            </w:pPr>
            <w:r>
              <w:rPr>
                <w:rFonts w:ascii="Arial" w:cs="Arial" w:eastAsia="Arial" w:hAnsi="Arial"/>
                <w:sz w:val="14"/>
                <w:szCs w:val="14"/>
                <w:b w:val="1"/>
                <w:bCs w:val="1"/>
                <w:color w:val="auto"/>
              </w:rPr>
              <w:t>Termination without Cause or for Good Reason</w:t>
            </w:r>
          </w:p>
        </w:tc>
        <w:tc>
          <w:tcPr>
            <w:tcW w:w="220" w:type="dxa"/>
            <w:vAlign w:val="bottom"/>
          </w:tcPr>
          <w:p>
            <w:pPr>
              <w:spacing w:after="0"/>
              <w:rPr>
                <w:sz w:val="14"/>
                <w:szCs w:val="14"/>
                <w:color w:val="auto"/>
              </w:rPr>
            </w:pPr>
          </w:p>
        </w:tc>
        <w:tc>
          <w:tcPr>
            <w:tcW w:w="35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Termination without Cause or for Good Reason</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3640" w:type="dxa"/>
            <w:vAlign w:val="bottom"/>
            <w:gridSpan w:val="8"/>
            <w:vMerge w:val="continue"/>
          </w:tcPr>
          <w:p>
            <w:pPr>
              <w:spacing w:after="0"/>
              <w:rPr>
                <w:sz w:val="14"/>
                <w:szCs w:val="14"/>
                <w:color w:val="auto"/>
              </w:rPr>
            </w:pPr>
          </w:p>
        </w:tc>
        <w:tc>
          <w:tcPr>
            <w:tcW w:w="220" w:type="dxa"/>
            <w:vAlign w:val="bottom"/>
          </w:tcPr>
          <w:p>
            <w:pPr>
              <w:spacing w:after="0"/>
              <w:rPr>
                <w:sz w:val="14"/>
                <w:szCs w:val="14"/>
                <w:color w:val="auto"/>
              </w:rPr>
            </w:pPr>
          </w:p>
        </w:tc>
        <w:tc>
          <w:tcPr>
            <w:tcW w:w="35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following a Change in Control</w:t>
            </w: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8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4"/>
                <w:szCs w:val="14"/>
                <w:b w:val="1"/>
                <w:bCs w:val="1"/>
                <w:color w:val="auto"/>
              </w:rPr>
              <w:t>Cash</w:t>
            </w: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Acceleration of</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Acceleration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Benefits</w:t>
            </w:r>
          </w:p>
        </w:tc>
        <w:tc>
          <w:tcPr>
            <w:tcW w:w="22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Vesting of Shares</w:t>
            </w:r>
          </w:p>
        </w:tc>
        <w:tc>
          <w:tcPr>
            <w:tcW w:w="22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1"/>
              </w:rPr>
              <w:t>Cash Payment</w:t>
            </w: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Benefits</w:t>
            </w:r>
          </w:p>
        </w:tc>
        <w:tc>
          <w:tcPr>
            <w:tcW w:w="11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Vesting of Shares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Payment</w:t>
            </w: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and Options</w:t>
            </w: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and Options</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($)(1)</w:t>
            </w:r>
          </w:p>
        </w:tc>
        <w:tc>
          <w:tcPr>
            <w:tcW w:w="44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4"/>
                <w:szCs w:val="14"/>
                <w:color w:val="auto"/>
              </w:rPr>
            </w:pPr>
          </w:p>
        </w:tc>
        <w:tc>
          <w:tcPr>
            <w:tcW w:w="1120" w:type="dxa"/>
            <w:vAlign w:val="bottom"/>
            <w:gridSpan w:val="2"/>
          </w:tcPr>
          <w:p>
            <w:pPr>
              <w:jc w:val="right"/>
              <w:ind w:right="204"/>
              <w:spacing w:after="0"/>
              <w:rPr>
                <w:sz w:val="20"/>
                <w:szCs w:val="20"/>
                <w:color w:val="auto"/>
              </w:rPr>
            </w:pPr>
            <w:r>
              <w:rPr>
                <w:rFonts w:ascii="Arial" w:cs="Arial" w:eastAsia="Arial" w:hAnsi="Arial"/>
                <w:sz w:val="14"/>
                <w:szCs w:val="14"/>
                <w:b w:val="1"/>
                <w:bCs w:val="1"/>
                <w:color w:val="auto"/>
              </w:rPr>
              <w:t>($)(1)</w:t>
            </w:r>
          </w:p>
        </w:tc>
        <w:tc>
          <w:tcPr>
            <w:tcW w:w="44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4"/>
              <w:spacing w:after="0"/>
              <w:rPr>
                <w:sz w:val="20"/>
                <w:szCs w:val="20"/>
                <w:color w:val="auto"/>
              </w:rPr>
            </w:pPr>
            <w:r>
              <w:rPr>
                <w:rFonts w:ascii="Arial" w:cs="Arial" w:eastAsia="Arial" w:hAnsi="Arial"/>
                <w:sz w:val="14"/>
                <w:szCs w:val="14"/>
                <w:b w:val="1"/>
                <w:bCs w:val="1"/>
                <w:color w:val="auto"/>
                <w:w w:val="99"/>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125,000</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$ 19,492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125,000</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$19,492</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Brian E. Mueller</w:t>
            </w:r>
          </w:p>
        </w:tc>
        <w:tc>
          <w:tcPr>
            <w:tcW w:w="840" w:type="dxa"/>
            <w:vAlign w:val="bottom"/>
          </w:tcPr>
          <w:p>
            <w:pPr>
              <w:jc w:val="right"/>
              <w:spacing w:after="0"/>
              <w:rPr>
                <w:sz w:val="20"/>
                <w:szCs w:val="20"/>
                <w:color w:val="auto"/>
              </w:rPr>
            </w:pPr>
            <w:r>
              <w:rPr>
                <w:rFonts w:ascii="Arial" w:cs="Arial" w:eastAsia="Arial" w:hAnsi="Arial"/>
                <w:sz w:val="18"/>
                <w:szCs w:val="18"/>
                <w:color w:val="auto"/>
              </w:rPr>
              <w:t>1,242,000</w:t>
            </w:r>
          </w:p>
        </w:tc>
        <w:tc>
          <w:tcPr>
            <w:tcW w:w="4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12,984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2,475,000</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1,242,000</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12,984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6,265,800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633,938</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1,260,000</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633,938</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15,662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Daniel E. Bachus</w:t>
            </w:r>
          </w:p>
        </w:tc>
        <w:tc>
          <w:tcPr>
            <w:tcW w:w="840" w:type="dxa"/>
            <w:vAlign w:val="bottom"/>
          </w:tcPr>
          <w:p>
            <w:pPr>
              <w:jc w:val="right"/>
              <w:spacing w:after="0"/>
              <w:rPr>
                <w:sz w:val="20"/>
                <w:szCs w:val="20"/>
                <w:color w:val="auto"/>
              </w:rPr>
            </w:pPr>
            <w:r>
              <w:rPr>
                <w:rFonts w:ascii="Arial" w:cs="Arial" w:eastAsia="Arial" w:hAnsi="Arial"/>
                <w:sz w:val="18"/>
                <w:szCs w:val="18"/>
                <w:color w:val="auto"/>
              </w:rPr>
              <w:t>633,938</w:t>
            </w:r>
          </w:p>
        </w:tc>
        <w:tc>
          <w:tcPr>
            <w:tcW w:w="4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18,175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1,260,000</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633,938</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18,175</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3,281,760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465,750</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1,580,280</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465,750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10,430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Brian M. Roberts</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112,500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7,831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112,500</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7,831</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1,220,800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a termination date of December 31, 2013, and is based on the executive’s salary and target bonus in effect at such date.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cost related to the continuation of the executive’s health benefits for the period specified.</w:t>
      </w:r>
    </w:p>
    <w:p>
      <w:pPr>
        <w:spacing w:after="0" w:line="9"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Calculated based on an assumed termination date of December 31, 2013 and the closing market price of our common stock on the Nasdaq Global Market on such date, less the applicable exercise price for each option for which vesting is accelerated.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February 28, 2014 for:</w:t>
      </w:r>
    </w:p>
    <w:p>
      <w:pPr>
        <w:spacing w:after="0" w:line="13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our directors and named executive officers as a group.</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5" w:name="page46"/>
    <w:bookmarkEnd w:id="45"/>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calculations of beneficial ownership in this table are based on 46,078,068 shares outstanding at February 28, 2014</w:t>
      </w:r>
      <w:r>
        <w:rPr>
          <w:rFonts w:ascii="Arial" w:cs="Arial" w:eastAsia="Arial" w:hAnsi="Arial"/>
          <w:sz w:val="18"/>
          <w:szCs w:val="18"/>
          <w:b w:val="1"/>
          <w:bCs w:val="1"/>
          <w:color w:val="auto"/>
        </w:rPr>
        <w:t>.</w:t>
      </w:r>
    </w:p>
    <w:p>
      <w:pPr>
        <w:spacing w:after="0" w:line="23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gridSpan w:val="2"/>
          </w:tcPr>
          <w:p>
            <w:pPr>
              <w:ind w:left="1180"/>
              <w:spacing w:after="0"/>
              <w:rPr>
                <w:sz w:val="20"/>
                <w:szCs w:val="20"/>
                <w:color w:val="auto"/>
              </w:rPr>
            </w:pPr>
            <w:r>
              <w:rPr>
                <w:rFonts w:ascii="Arial" w:cs="Arial" w:eastAsia="Arial" w:hAnsi="Arial"/>
                <w:sz w:val="14"/>
                <w:szCs w:val="14"/>
                <w:b w:val="1"/>
                <w:bCs w:val="1"/>
                <w:color w:val="auto"/>
                <w:w w:val="91"/>
              </w:rPr>
              <w:t>Common Stock</w:t>
            </w: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Amount and Nature of</w:t>
            </w:r>
          </w:p>
        </w:tc>
        <w:tc>
          <w:tcPr>
            <w:tcW w:w="13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1"/>
              </w:rPr>
              <w:t>Percent of Class</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Beneficial Ownership</w:t>
            </w: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Principal Stockholders:</w:t>
            </w:r>
          </w:p>
        </w:tc>
        <w:tc>
          <w:tcPr>
            <w:tcW w:w="7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Riverbridge Partners LLC</w:t>
            </w:r>
            <w:r>
              <w:rPr>
                <w:rFonts w:ascii="Arial" w:cs="Arial" w:eastAsia="Arial" w:hAnsi="Arial"/>
                <w:sz w:val="15"/>
                <w:szCs w:val="15"/>
                <w:color w:val="auto"/>
              </w:rPr>
              <w:t>(2)</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3,004,405</w:t>
            </w:r>
          </w:p>
        </w:tc>
        <w:tc>
          <w:tcPr>
            <w:tcW w:w="74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 – 23-1945930</w:t>
            </w:r>
            <w:r>
              <w:rPr>
                <w:rFonts w:ascii="Arial" w:cs="Arial" w:eastAsia="Arial" w:hAnsi="Arial"/>
                <w:sz w:val="15"/>
                <w:szCs w:val="15"/>
                <w:color w:val="auto"/>
              </w:rPr>
              <w:t>(3)</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2,917,584</w:t>
            </w:r>
          </w:p>
        </w:tc>
        <w:tc>
          <w:tcPr>
            <w:tcW w:w="7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(4)</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2,521,992</w:t>
            </w:r>
          </w:p>
        </w:tc>
        <w:tc>
          <w:tcPr>
            <w:tcW w:w="74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(5)</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2,451,116</w:t>
            </w:r>
          </w:p>
        </w:tc>
        <w:tc>
          <w:tcPr>
            <w:tcW w:w="7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5"/>
                <w:szCs w:val="15"/>
                <w:color w:val="auto"/>
              </w:rPr>
              <w:t>(6)</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110,504</w:t>
            </w:r>
          </w:p>
        </w:tc>
        <w:tc>
          <w:tcPr>
            <w:tcW w:w="7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Brian E. Mueller</w:t>
            </w:r>
            <w:r>
              <w:rPr>
                <w:rFonts w:ascii="Arial" w:cs="Arial" w:eastAsia="Arial" w:hAnsi="Arial"/>
                <w:sz w:val="15"/>
                <w:szCs w:val="15"/>
                <w:color w:val="auto"/>
              </w:rPr>
              <w:t>(7)</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1,167,765</w:t>
            </w:r>
          </w:p>
        </w:tc>
        <w:tc>
          <w:tcPr>
            <w:tcW w:w="74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5"/>
                <w:szCs w:val="15"/>
                <w:color w:val="auto"/>
              </w:rPr>
              <w:t>(7)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422,615</w:t>
            </w:r>
          </w:p>
        </w:tc>
        <w:tc>
          <w:tcPr>
            <w:tcW w:w="7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5"/>
                <w:szCs w:val="15"/>
                <w:color w:val="auto"/>
              </w:rPr>
              <w:t>(7)</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344,898</w:t>
            </w:r>
          </w:p>
        </w:tc>
        <w:tc>
          <w:tcPr>
            <w:tcW w:w="74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5"/>
                <w:szCs w:val="15"/>
                <w:color w:val="auto"/>
              </w:rPr>
              <w:t>(7)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160,895</w:t>
            </w:r>
          </w:p>
        </w:tc>
        <w:tc>
          <w:tcPr>
            <w:tcW w:w="7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Brian M. Roberts</w:t>
            </w:r>
            <w:r>
              <w:rPr>
                <w:rFonts w:ascii="Arial" w:cs="Arial" w:eastAsia="Arial" w:hAnsi="Arial"/>
                <w:sz w:val="15"/>
                <w:szCs w:val="15"/>
                <w:color w:val="auto"/>
              </w:rPr>
              <w:t>(7)</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36,000</w:t>
            </w:r>
          </w:p>
        </w:tc>
        <w:tc>
          <w:tcPr>
            <w:tcW w:w="74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Jack A. Henry</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13,423</w:t>
            </w:r>
          </w:p>
        </w:tc>
        <w:tc>
          <w:tcPr>
            <w:tcW w:w="7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Kevin F. Warren</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2,781</w:t>
            </w:r>
          </w:p>
        </w:tc>
        <w:tc>
          <w:tcPr>
            <w:tcW w:w="7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Sara R. Dial</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Arial" w:cs="Arial" w:eastAsia="Arial" w:hAnsi="Arial"/>
                <w:sz w:val="18"/>
                <w:szCs w:val="18"/>
                <w:b w:val="1"/>
                <w:bCs w:val="1"/>
                <w:color w:val="auto"/>
              </w:rPr>
              <w:t>All directors and executive officers as a group (11</w:t>
            </w:r>
          </w:p>
        </w:tc>
        <w:tc>
          <w:tcPr>
            <w:tcW w:w="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persons)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2,277,412</w:t>
            </w:r>
          </w:p>
        </w:tc>
        <w:tc>
          <w:tcPr>
            <w:tcW w:w="740" w:type="dxa"/>
            <w:vAlign w:val="bottom"/>
          </w:tcPr>
          <w:p>
            <w:pPr>
              <w:spacing w:after="0"/>
              <w:rPr>
                <w:sz w:val="20"/>
                <w:szCs w:val="20"/>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52" w:hanging="452"/>
        <w:spacing w:after="0"/>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beneficial ownership of less than 0.1%</w:t>
      </w:r>
    </w:p>
    <w:p>
      <w:pPr>
        <w:spacing w:after="0" w:line="23" w:lineRule="exact"/>
        <w:rPr>
          <w:sz w:val="20"/>
          <w:szCs w:val="20"/>
          <w:color w:val="auto"/>
        </w:rPr>
      </w:pPr>
    </w:p>
    <w:p>
      <w:pPr>
        <w:ind w:left="452" w:hanging="452"/>
        <w:spacing w:after="0" w:line="250"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2" w:lineRule="exact"/>
        <w:rPr>
          <w:rFonts w:ascii="Arial" w:cs="Arial" w:eastAsia="Arial" w:hAnsi="Arial"/>
          <w:sz w:val="18"/>
          <w:szCs w:val="18"/>
          <w:color w:val="auto"/>
        </w:rPr>
      </w:pPr>
    </w:p>
    <w:p>
      <w:pPr>
        <w:ind w:left="452" w:hanging="452"/>
        <w:spacing w:after="0" w:line="250"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information for Riverbridge Partners LLC is based on a Schedule 13G/A filed with the Securities and Exchange Commission on February 4, 2014. The address for Riverbridge Partners is 80 South Eighth St., Suite 1200, Minneapolis, MN 55402.</w:t>
      </w:r>
    </w:p>
    <w:p>
      <w:pPr>
        <w:ind w:left="452" w:right="820" w:hanging="452"/>
        <w:spacing w:after="0" w:line="265" w:lineRule="auto"/>
        <w:tabs>
          <w:tab w:leader="none" w:pos="45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information for The Vanguard Group – 23-1945930 is based on a Schedule 13G filed with the Securities and Exchange Commission on February 11, 2014. The address for The Vanguard Group – 23-1945930 is 100 Vanguard Blvd., Malvern, PA 19355.</w:t>
      </w:r>
    </w:p>
    <w:p>
      <w:pPr>
        <w:ind w:left="452" w:right="20" w:hanging="452"/>
        <w:spacing w:after="0" w:line="250"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information for BlackRock Inc. is based on a Schedule 13G filed with the Securities and Exchange Commission on January 28, 2014. The address for BlackRock Inc. is 40 East 52</w:t>
      </w:r>
      <w:r>
        <w:rPr>
          <w:rFonts w:ascii="Arial" w:cs="Arial" w:eastAsia="Arial" w:hAnsi="Arial"/>
          <w:sz w:val="15"/>
          <w:szCs w:val="15"/>
          <w:color w:val="auto"/>
        </w:rPr>
        <w:t>nd</w:t>
      </w:r>
      <w:r>
        <w:rPr>
          <w:rFonts w:ascii="Arial" w:cs="Arial" w:eastAsia="Arial" w:hAnsi="Arial"/>
          <w:sz w:val="18"/>
          <w:szCs w:val="18"/>
          <w:color w:val="auto"/>
        </w:rPr>
        <w:t xml:space="preserve"> Street, New York, NY 10022.</w:t>
      </w:r>
    </w:p>
    <w:p>
      <w:pPr>
        <w:ind w:left="452" w:right="60" w:hanging="452"/>
        <w:spacing w:after="0" w:line="250"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information for FMR, LLC is based on a Schedule 13G/A filed with the Securities and Exchange Commission on February 14, 2014. The address for FMR, LLC is 245 Summer Street, Boston, MA 02210.</w:t>
      </w:r>
    </w:p>
    <w:p>
      <w:pPr>
        <w:ind w:left="452" w:right="600" w:hanging="452"/>
        <w:spacing w:after="0" w:line="250"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110,504 shares of common stock held of record by Exeter Capital, LLC, a limited liability company of which Mr. Richardson is the manager, which are attributable to, and beneficially owned by, Mr. Richardson.</w:t>
      </w:r>
    </w:p>
    <w:p>
      <w:pPr>
        <w:ind w:left="452" w:right="460" w:hanging="452"/>
        <w:spacing w:after="0" w:line="261"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shares of common stock issuable upon exercise of vested stock options and shares issued pursuant to restricted stock awards that remain subject to vesting.</w:t>
      </w:r>
    </w:p>
    <w:p>
      <w:pPr>
        <w:spacing w:after="0" w:line="1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72"/>
          </w:cols>
          <w:pgMar w:left="248" w:top="270" w:right="279" w:bottom="1440" w:gutter="0" w:footer="0" w:header="0"/>
        </w:sectPr>
      </w:pPr>
    </w:p>
    <w:bookmarkStart w:id="46" w:name="page47"/>
    <w:bookmarkEnd w:id="46"/>
    <w:p>
      <w:pPr>
        <w:ind w:left="3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Set forth below is a summary of certain transactions since January 1, 2013,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Mind Streams and Lifetime Learning</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2011, we entered into an agreement with Mind Streams, L.L.C. (Mind Streams), which is owned and operated, in part, by Gail Richardson, the father of Brent D. Richardson, our Executive Chairman (having previously been a party to a different agreement with Mind Streams that ended in 2010). Pursuant to this agreement and in accordance with the applicable rules and regulations of the Department of Education, we pay to Mind Streams a percentage of the net revenue that we receive from applicants to Grand Canyon University who were recruited by Mind Streams and who matriculate at the University. Mind Streams bears all costs associated with the recruitment of these applicants. For the year ended December 31, 2013, we expensed approximately $3.4 million pursuant to this agreement and, as of December 31, 2013, approximately $0.4 million was due to Mind Streams.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Section 16(a) of the Exchange Act requires that our Company’s directors and executive officers and beneficial owners of more than 10% of the Company’s common stock file initial reports of ownership and reports of changes in ownership with the SEC. Directors and executive officers are required to furnish our Company with copies of all Section 16(a) forms they file. Based solely on a review of the copies of such forms furnished to our Company and written representations from our Company’s directors and executive officers, all reports required by Section 16(a) were filed on a timely basis for the fiscal year ended December 31, 2013.</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HOUSEHOLDING OF PROXY MATERIALS</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3300 W. Camelback Road, Phoenix, Arizona, 85017, Attn: Investor Relations, or by calling (602) 639-7500.</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 xml:space="preserve">Our 2013 annual report and our Annual Report on Form 10-K for fiscal year 2013, including financial statements, are available electronically along with our proxy statement to all stockholders of record as of March 21, 2014,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w:t>
      </w:r>
    </w:p>
    <w:p>
      <w:pPr>
        <w:ind w:right="560"/>
        <w:spacing w:after="0" w:line="261" w:lineRule="auto"/>
        <w:rPr>
          <w:sz w:val="20"/>
          <w:szCs w:val="20"/>
          <w:color w:val="auto"/>
        </w:rPr>
      </w:pPr>
      <w:r>
        <w:rPr>
          <w:rFonts w:ascii="Arial" w:cs="Arial" w:eastAsia="Arial" w:hAnsi="Arial"/>
          <w:sz w:val="18"/>
          <w:szCs w:val="18"/>
          <w:b w:val="1"/>
          <w:bCs w:val="1"/>
          <w:color w:val="auto"/>
        </w:rPr>
        <w:t>Report on Form 10-K, for the fiscal year ended December 31, 2013, and our proxy statement may do so without charge by writing to Investor Relations, Grand Canyon Education, Inc., 3300 W. Camelback Road, Phoenix, Arizona 85017.</w:t>
      </w:r>
    </w:p>
    <w:p>
      <w:pPr>
        <w:spacing w:after="0" w:line="18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0" w:right="259" w:bottom="1440"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576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6757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lvl w:ilvl="1">
      <w:lvlJc w:val="left"/>
      <w:lvlText w:val="(%2)"/>
      <w:numFmt w:val="decimal"/>
      <w:start w:val="1"/>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1"/>
    </w:lvl>
    <w:lvl w:ilvl="1">
      <w:lvlJc w:val="left"/>
      <w:lvlText w:val="%2."/>
      <w:numFmt w:val="lowerLetter"/>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lowerLetter"/>
      <w:start w:val="2"/>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2"/>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2019-12-07T18:12:23Z</dcterms:created>
  <dcterms:modified xsi:type="dcterms:W3CDTF">2019-12-07T18:12:23Z</dcterms:modified>
</cp:coreProperties>
</file>