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February 22,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3"/>
              </w:rPr>
              <w:t>Delaware</w:t>
            </w:r>
          </w:p>
        </w:tc>
        <w:tc>
          <w:tcPr>
            <w:tcW w:w="258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1"/>
              </w:rPr>
              <w:t>3300 W. Camelback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Phoenix, Arizona</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85017</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1663700</wp:posOffset>
            </wp:positionH>
            <wp:positionV relativeFrom="paragraph">
              <wp:posOffset>-130175</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97"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2011, Grand Canyon Education, Inc. (the “University”) reported its fourth quarter and annual 2010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dated February 22, 2011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22, 2011</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520" w:type="dxa"/>
            <w:vAlign w:val="bottom"/>
            <w:gridSpan w:val="2"/>
          </w:tcPr>
          <w:p>
            <w:pPr>
              <w:ind w:left="1200"/>
              <w:spacing w:after="0"/>
              <w:rPr>
                <w:sz w:val="20"/>
                <w:szCs w:val="20"/>
                <w:color w:val="auto"/>
              </w:rPr>
            </w:pPr>
            <w:r>
              <w:rPr>
                <w:rFonts w:ascii="Arial" w:cs="Arial" w:eastAsia="Arial" w:hAnsi="Arial"/>
                <w:sz w:val="18"/>
                <w:szCs w:val="18"/>
                <w:color w:val="auto"/>
              </w:rPr>
              <w:t>GRAND CANYON EDUCATION, INC.</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February 22, 2011</w:t>
            </w:r>
          </w:p>
        </w:tc>
        <w:tc>
          <w:tcPr>
            <w:tcW w:w="5520" w:type="dxa"/>
            <w:vAlign w:val="bottom"/>
            <w:gridSpan w:val="2"/>
          </w:tcPr>
          <w:p>
            <w:pPr>
              <w:ind w:left="1200"/>
              <w:spacing w:after="0"/>
              <w:rPr>
                <w:sz w:val="20"/>
                <w:szCs w:val="20"/>
                <w:color w:val="auto"/>
              </w:rPr>
            </w:pPr>
            <w:r>
              <w:rPr>
                <w:rFonts w:ascii="Arial" w:cs="Arial" w:eastAsia="Arial" w:hAnsi="Arial"/>
                <w:sz w:val="18"/>
                <w:szCs w:val="18"/>
                <w:color w:val="auto"/>
              </w:rPr>
              <w:t>By: /s/ Daniel E. Bachus</w:t>
            </w:r>
          </w:p>
        </w:tc>
      </w:tr>
      <w:tr>
        <w:trPr>
          <w:trHeight w:val="195"/>
        </w:trPr>
        <w:tc>
          <w:tcPr>
            <w:tcW w:w="2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5715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4" w:lineRule="exact"/>
        <w:rPr>
          <w:sz w:val="20"/>
          <w:szCs w:val="20"/>
          <w:color w:val="auto"/>
        </w:rPr>
      </w:pPr>
    </w:p>
    <w:p>
      <w:pPr>
        <w:ind w:left="14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22, 2011</w:t>
      </w: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639"/>
          </w:cols>
          <w:pgMar w:left="82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FOURTH QUARTER AND FULL YEAR 2010 RESULTS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Education’s Annual Net Revenue up 47.3 Percent;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Operating Income up 57.9 Percent</w:t>
      </w:r>
    </w:p>
    <w:p>
      <w:pPr>
        <w:spacing w:after="0" w:line="166" w:lineRule="exact"/>
        <w:rPr>
          <w:sz w:val="20"/>
          <w:szCs w:val="20"/>
          <w:color w:val="auto"/>
        </w:rPr>
      </w:pPr>
    </w:p>
    <w:p>
      <w:pPr>
        <w:jc w:val="both"/>
        <w:ind w:right="159"/>
        <w:spacing w:after="0" w:line="266" w:lineRule="auto"/>
        <w:rPr>
          <w:sz w:val="20"/>
          <w:szCs w:val="20"/>
          <w:color w:val="auto"/>
        </w:rPr>
      </w:pPr>
      <w:r>
        <w:rPr>
          <w:rFonts w:ascii="Arial" w:cs="Arial" w:eastAsia="Arial" w:hAnsi="Arial"/>
          <w:sz w:val="18"/>
          <w:szCs w:val="18"/>
          <w:b w:val="1"/>
          <w:bCs w:val="1"/>
          <w:color w:val="auto"/>
        </w:rPr>
        <w:t>ARIZONA, February 22, 2011</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a regionally accredited provider of online</w:t>
      </w:r>
      <w:r>
        <w:rPr>
          <w:rFonts w:ascii="Arial" w:cs="Arial" w:eastAsia="Arial" w:hAnsi="Arial"/>
          <w:sz w:val="18"/>
          <w:szCs w:val="18"/>
          <w:b w:val="1"/>
          <w:bCs w:val="1"/>
          <w:color w:val="auto"/>
        </w:rPr>
        <w:t xml:space="preserve"> </w:t>
      </w:r>
      <w:r>
        <w:rPr>
          <w:rFonts w:ascii="Arial" w:cs="Arial" w:eastAsia="Arial" w:hAnsi="Arial"/>
          <w:sz w:val="18"/>
          <w:szCs w:val="18"/>
          <w:color w:val="auto"/>
        </w:rPr>
        <w:t>and campus-based post-secondary education services, today announced financial results for the three months and year ended December 31, 2010.</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December 31, 2010:</w:t>
      </w:r>
    </w:p>
    <w:p>
      <w:pPr>
        <w:spacing w:after="0" w:line="185" w:lineRule="exact"/>
        <w:rPr>
          <w:sz w:val="20"/>
          <w:szCs w:val="20"/>
          <w:color w:val="auto"/>
        </w:rPr>
      </w:pPr>
    </w:p>
    <w:p>
      <w:pPr>
        <w:ind w:left="388" w:right="179" w:hanging="388"/>
        <w:spacing w:after="0" w:line="277" w:lineRule="auto"/>
        <w:tabs>
          <w:tab w:leader="none" w:pos="3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29.1% to $100.0 million for the fourth quarter of 2010, compared to $77.5 million for the fourth quarter of 2009.</w:t>
      </w:r>
    </w:p>
    <w:p>
      <w:pPr>
        <w:spacing w:after="0" w:line="129" w:lineRule="exact"/>
        <w:rPr>
          <w:rFonts w:ascii="Arial" w:cs="Arial" w:eastAsia="Arial" w:hAnsi="Arial"/>
          <w:sz w:val="18"/>
          <w:szCs w:val="18"/>
          <w:b w:val="1"/>
          <w:bCs w:val="1"/>
          <w:color w:val="auto"/>
        </w:rPr>
      </w:pPr>
    </w:p>
    <w:p>
      <w:pPr>
        <w:jc w:val="both"/>
        <w:ind w:left="388" w:right="159" w:hanging="388"/>
        <w:spacing w:after="0" w:line="257" w:lineRule="auto"/>
        <w:tabs>
          <w:tab w:leader="none" w:pos="3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December 31, 2010 our enrollment was 41,482, compared to 37,709 at December 31, 2009. 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 We estimated that enrollment at December 31, 2009 under the revised methodology would have been between 34,000 and 35,000.</w:t>
      </w:r>
    </w:p>
    <w:p>
      <w:pPr>
        <w:spacing w:after="0" w:line="161" w:lineRule="exact"/>
        <w:rPr>
          <w:rFonts w:ascii="Arial" w:cs="Arial" w:eastAsia="Arial" w:hAnsi="Arial"/>
          <w:sz w:val="18"/>
          <w:szCs w:val="18"/>
          <w:b w:val="1"/>
          <w:bCs w:val="1"/>
          <w:color w:val="auto"/>
        </w:rPr>
      </w:pPr>
    </w:p>
    <w:p>
      <w:pPr>
        <w:jc w:val="both"/>
        <w:ind w:left="388" w:right="159" w:hanging="388"/>
        <w:spacing w:after="0" w:line="255" w:lineRule="auto"/>
        <w:tabs>
          <w:tab w:leader="none" w:pos="3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the fourth quarter of 2010 was $11.3 million, compared to $17.9 million for the same period in 2009. The operating margin for the fourth quarter of 2010 was 11.3%, compared to 23.1% for the same period in 2009. Excluding the contract termination fees related to the termination of a contract with a related party and the charitable contributions we made in lieu of state income taxes, operating income and operating margin for the fourth quarter were $21.5 million and 21.5%, respectively. Excluding the estimated exit costs associated with our closing of the Utah call center and the charitable contributions we made in lieu of state income taxes, operating income and operating margin for the fourth quarter of 2009 were $19.8 million and 25.6%, respectively.</w:t>
      </w:r>
    </w:p>
    <w:p>
      <w:pPr>
        <w:spacing w:after="0" w:line="148"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15.1% to $26.5 million for the fourth quarter of 2010, compared to $23.0 million for the same period in 2009.</w:t>
      </w:r>
    </w:p>
    <w:p>
      <w:pPr>
        <w:spacing w:after="0" w:line="129" w:lineRule="exact"/>
        <w:rPr>
          <w:rFonts w:ascii="Arial" w:cs="Arial" w:eastAsia="Arial" w:hAnsi="Arial"/>
          <w:sz w:val="18"/>
          <w:szCs w:val="18"/>
          <w:b w:val="1"/>
          <w:bCs w:val="1"/>
          <w:color w:val="auto"/>
        </w:rPr>
      </w:pPr>
    </w:p>
    <w:p>
      <w:pPr>
        <w:jc w:val="both"/>
        <w:ind w:left="388" w:right="159" w:hanging="388"/>
        <w:spacing w:after="0" w:line="286" w:lineRule="auto"/>
        <w:tabs>
          <w:tab w:leader="none" w:pos="388"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The tax rate in the fourth quarter of 2010 was 31.9% compared to 37.2% in the fourth quarter of 2009. Excluding the $1.0 million and $0.8 million of contributions made in lieu of state income taxes in the fourth quarter of 2010 and 2009, respectively, our effective tax rate would have been 37.5% and 39.8% in the fourth quarter of 2010 and 2009, respectively.</w:t>
      </w:r>
    </w:p>
    <w:p>
      <w:pPr>
        <w:spacing w:after="0" w:line="138" w:lineRule="exact"/>
        <w:rPr>
          <w:rFonts w:ascii="Arial" w:cs="Arial" w:eastAsia="Arial" w:hAnsi="Arial"/>
          <w:sz w:val="17"/>
          <w:szCs w:val="17"/>
          <w:b w:val="1"/>
          <w:bCs w:val="1"/>
          <w:color w:val="auto"/>
        </w:rPr>
      </w:pPr>
    </w:p>
    <w:p>
      <w:pPr>
        <w:ind w:left="388" w:right="179" w:hanging="388"/>
        <w:spacing w:after="0" w:line="277" w:lineRule="auto"/>
        <w:tabs>
          <w:tab w:leader="none" w:pos="3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decreased 31.8% to $7.6 million for the fourth quarter of 2010, compared to $11.1 million for the same period in 2009.</w:t>
      </w:r>
    </w:p>
    <w:p>
      <w:pPr>
        <w:spacing w:after="0" w:line="129" w:lineRule="exact"/>
        <w:rPr>
          <w:rFonts w:ascii="Arial" w:cs="Arial" w:eastAsia="Arial" w:hAnsi="Arial"/>
          <w:sz w:val="18"/>
          <w:szCs w:val="18"/>
          <w:b w:val="1"/>
          <w:bCs w:val="1"/>
          <w:color w:val="auto"/>
        </w:rPr>
      </w:pPr>
    </w:p>
    <w:p>
      <w:pPr>
        <w:jc w:val="both"/>
        <w:ind w:left="388" w:right="179" w:hanging="388"/>
        <w:spacing w:after="0" w:line="259" w:lineRule="auto"/>
        <w:tabs>
          <w:tab w:leader="none" w:pos="3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$0.16 for the fourth quarter of 2010, compared to $0.24 for the same period in 2009. Excluding the contract termination fees related to the termination of a contract with a related party net of taxes of $5.5 million, diluted net income per share was $0.29 for the fourth quarter of 2010. Excluding the estimated exit costs net of taxes of $0.7 million, diluted net income per share was $0.26 for the fourth quarter of 2009.</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fiscal year ended December 31, 2010:</w:t>
      </w:r>
    </w:p>
    <w:p>
      <w:pPr>
        <w:spacing w:after="0" w:line="198" w:lineRule="exact"/>
        <w:rPr>
          <w:sz w:val="20"/>
          <w:szCs w:val="20"/>
          <w:color w:val="auto"/>
        </w:rPr>
      </w:pPr>
    </w:p>
    <w:p>
      <w:pPr>
        <w:ind w:left="388" w:hanging="388"/>
        <w:spacing w:after="0"/>
        <w:tabs>
          <w:tab w:leader="none" w:pos="3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revenues increased 47.3% to $385.8 million for fiscal 2010, compared to $261.9 million for fiscal 2009.</w:t>
      </w:r>
    </w:p>
    <w:p>
      <w:pPr>
        <w:spacing w:after="0" w:line="184" w:lineRule="exact"/>
        <w:rPr>
          <w:rFonts w:ascii="Arial" w:cs="Arial" w:eastAsia="Arial" w:hAnsi="Arial"/>
          <w:sz w:val="18"/>
          <w:szCs w:val="18"/>
          <w:b w:val="1"/>
          <w:bCs w:val="1"/>
          <w:color w:val="auto"/>
        </w:rPr>
      </w:pPr>
    </w:p>
    <w:p>
      <w:pPr>
        <w:jc w:val="both"/>
        <w:ind w:left="388" w:right="159" w:hanging="388"/>
        <w:spacing w:after="0" w:line="255" w:lineRule="auto"/>
        <w:tabs>
          <w:tab w:leader="none" w:pos="3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income for fiscal 2010 was $73.5 million, compared to $46.6 million for fiscal 2009. The operating margin for fiscal 2010 was 19.1%, compared to 17.8% for fiscal 2009. Excluding the contract termination fees related to the termination of a contract with a related party and contributions made in lieu of state taxes, operating income was $83.8 million and operating margin was 21.7% for the year ended December 31, 2010. Excluding the estimated litigation loss, estimated exit costs and contributions made in lieu of state taxes, operating income was $53.7 million and operating margin was 20.5% for the year ended December 31, 2009.</w:t>
      </w:r>
    </w:p>
    <w:p>
      <w:pPr>
        <w:spacing w:after="0" w:line="152" w:lineRule="exact"/>
        <w:rPr>
          <w:rFonts w:ascii="Arial" w:cs="Arial" w:eastAsia="Arial" w:hAnsi="Arial"/>
          <w:sz w:val="18"/>
          <w:szCs w:val="18"/>
          <w:b w:val="1"/>
          <w:bCs w:val="1"/>
          <w:color w:val="auto"/>
        </w:rPr>
      </w:pPr>
    </w:p>
    <w:p>
      <w:pPr>
        <w:ind w:left="388" w:hanging="388"/>
        <w:spacing w:after="0"/>
        <w:tabs>
          <w:tab w:leader="none" w:pos="3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EBITDA increased 55.4% to $101.2 million for fiscal 2010, compared to $65.1 million for fiscal 2009.</w:t>
      </w:r>
    </w:p>
    <w:p>
      <w:pPr>
        <w:spacing w:after="0" w:line="198" w:lineRule="exact"/>
        <w:rPr>
          <w:rFonts w:ascii="Arial" w:cs="Arial" w:eastAsia="Arial" w:hAnsi="Arial"/>
          <w:sz w:val="18"/>
          <w:szCs w:val="18"/>
          <w:b w:val="1"/>
          <w:bCs w:val="1"/>
          <w:color w:val="auto"/>
        </w:rPr>
      </w:pPr>
    </w:p>
    <w:p>
      <w:pPr>
        <w:ind w:left="388" w:hanging="388"/>
        <w:spacing w:after="0"/>
        <w:tabs>
          <w:tab w:leader="none" w:pos="3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tax rate for fiscal 2010 was 39.1% compared to 39.7% for fiscal 2009.</w:t>
      </w:r>
    </w:p>
    <w:p>
      <w:pPr>
        <w:spacing w:after="0" w:line="184" w:lineRule="exact"/>
        <w:rPr>
          <w:rFonts w:ascii="Arial" w:cs="Arial" w:eastAsia="Arial" w:hAnsi="Arial"/>
          <w:sz w:val="18"/>
          <w:szCs w:val="18"/>
          <w:b w:val="1"/>
          <w:bCs w:val="1"/>
          <w:color w:val="auto"/>
        </w:rPr>
      </w:pPr>
    </w:p>
    <w:p>
      <w:pPr>
        <w:ind w:left="388" w:hanging="388"/>
        <w:spacing w:after="0"/>
        <w:tabs>
          <w:tab w:leader="none" w:pos="3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increased 62.5% to $44.4 million for fiscal 2010, compared to $27.3 million for fiscal 2009.</w:t>
      </w:r>
    </w:p>
    <w:p>
      <w:pPr>
        <w:spacing w:after="0" w:line="184" w:lineRule="exact"/>
        <w:rPr>
          <w:rFonts w:ascii="Arial" w:cs="Arial" w:eastAsia="Arial" w:hAnsi="Arial"/>
          <w:sz w:val="18"/>
          <w:szCs w:val="18"/>
          <w:b w:val="1"/>
          <w:bCs w:val="1"/>
          <w:color w:val="auto"/>
        </w:rPr>
      </w:pPr>
    </w:p>
    <w:p>
      <w:pPr>
        <w:jc w:val="both"/>
        <w:ind w:left="388" w:right="159" w:hanging="388"/>
        <w:spacing w:after="0" w:line="259" w:lineRule="auto"/>
        <w:tabs>
          <w:tab w:leader="none" w:pos="3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$0.96 for fiscal 2010, compared to $0.60 for fiscal 2009. Excluding the contract termination fees related to the termination of a contract with a related party, net of taxes, diluted net income per share was $1.08 for the year ended December 31, 2010. Excluding the estimated litigation loss and estimated exit costs, net of taxes, diluted net income per share was $0.69 for the year ended December 31, 2009.</w:t>
      </w:r>
    </w:p>
    <w:p>
      <w:pPr>
        <w:spacing w:after="0" w:line="200" w:lineRule="exact"/>
        <w:rPr>
          <w:sz w:val="20"/>
          <w:szCs w:val="20"/>
          <w:color w:val="auto"/>
        </w:rPr>
      </w:pPr>
    </w:p>
    <w:p>
      <w:pPr>
        <w:spacing w:after="0" w:line="35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w:t>
      </w:r>
    </w:p>
    <w:p>
      <w:pPr>
        <w:spacing w:after="0" w:line="189"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As of December 31, 2010, the University had unrestricted cash, cash equivalents and marketable securities of $33.6 million compared to $63.1 million in cash and cash equivalents at the end of 2009 and restricted cash, cash equivalents and investments at December 31, 2010 and 2009 of $52.9 million and $3.2 million, respectively. As a result of our move to BBAY, the University receives a greater proportion of student financial aid prior to the time courses have begun, which has resulted in the shift of unrestricted cash to restricted cash and caused a significant increase in our restricted cash amount between December 31, 2009 and 2010.</w:t>
      </w:r>
    </w:p>
    <w:p>
      <w:pPr>
        <w:spacing w:after="0" w:line="118" w:lineRule="exact"/>
        <w:rPr>
          <w:sz w:val="20"/>
          <w:szCs w:val="20"/>
          <w:color w:val="auto"/>
        </w:rPr>
      </w:pPr>
    </w:p>
    <w:p>
      <w:pPr>
        <w:jc w:val="both"/>
        <w:ind w:right="159"/>
        <w:spacing w:after="0" w:line="267" w:lineRule="auto"/>
        <w:rPr>
          <w:sz w:val="20"/>
          <w:szCs w:val="20"/>
          <w:color w:val="auto"/>
        </w:rPr>
      </w:pPr>
      <w:r>
        <w:rPr>
          <w:rFonts w:ascii="Arial" w:cs="Arial" w:eastAsia="Arial" w:hAnsi="Arial"/>
          <w:sz w:val="17"/>
          <w:szCs w:val="17"/>
          <w:color w:val="auto"/>
        </w:rPr>
        <w:t>The University generated $84.1 million in cash from operating activities in fiscal year 2010 compared to $61.2 million in 2009. Cash provided by operations in 2010 and 2009 resulted from net income plus non cash charges for provision for bad debts, depreciation and amortization, settlement losses, exit costs, share-based compensation and improvement in working capital management. Capital expenditures in 2010 of $62.6 million were primarily related to the expansion of our physical campus and significant investments in technology innovation to support our students and staff. In 2010, the University completed construction on a 55,000 square foot recreation center for both student-athletes and on-campus students, a new dormitory that can hold up to 600 students, and a new College of Education classroom building. The University started development on a 140,000 square foot arena that will open in September 2011, and a new 500 bed dormitory and a food court each of which that will be completed in August 2011. During 2009, cash used in investing activities was primarily related to the acquisition of our campus land and buildings in the amount of $35.5 million. Other capital expenditures in 2009 were $24.8 million and primarily consisted of purchases of computer equipment, leasehold improvements, infrastructure licenses to facilitate our transition from Datatel to CampusVue and Great Plains, and office furniture and fixtures to support our increasing employee headcounts, and a significant increase in internal use software development. Cash used in financing activities in 2010 of $1.2 million primarily represented principal payments on notes payable and capital leases partially offset by proceeds from option exercises. Cash provided by financing activities for the year ended December 31, 2009 was $24.7 million which was primarily driven from proceeds from our secondary offering of $14.9 million net of issuance costs and proceeds from debt financing associated with the acquisition of our campus land and buildings of $25.5 million, partially offset by the repurchase of shares of our common stock of $14.5 million.</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Annual Outlook</w:t>
      </w:r>
    </w:p>
    <w:p>
      <w:pPr>
        <w:spacing w:after="0" w:line="189" w:lineRule="exact"/>
        <w:rPr>
          <w:sz w:val="20"/>
          <w:szCs w:val="20"/>
          <w:color w:val="auto"/>
        </w:rPr>
      </w:pPr>
    </w:p>
    <w:p>
      <w:pPr>
        <w:ind w:right="159"/>
        <w:spacing w:after="0" w:line="308" w:lineRule="auto"/>
        <w:rPr>
          <w:sz w:val="20"/>
          <w:szCs w:val="20"/>
          <w:color w:val="auto"/>
        </w:rPr>
      </w:pPr>
      <w:r>
        <w:rPr>
          <w:rFonts w:ascii="Arial" w:cs="Arial" w:eastAsia="Arial" w:hAnsi="Arial"/>
          <w:sz w:val="17"/>
          <w:szCs w:val="17"/>
          <w:color w:val="auto"/>
        </w:rPr>
        <w:t>On a year over year basis revenue is expected to grow between 10% and 15% in the first half of 2011 and between 13% and 18% in the 2</w:t>
      </w:r>
      <w:r>
        <w:rPr>
          <w:rFonts w:ascii="Arial" w:cs="Arial" w:eastAsia="Arial" w:hAnsi="Arial"/>
          <w:sz w:val="14"/>
          <w:szCs w:val="14"/>
          <w:color w:val="auto"/>
        </w:rPr>
        <w:t>nd</w:t>
      </w:r>
      <w:r>
        <w:rPr>
          <w:rFonts w:ascii="Arial" w:cs="Arial" w:eastAsia="Arial" w:hAnsi="Arial"/>
          <w:sz w:val="17"/>
          <w:szCs w:val="17"/>
          <w:color w:val="auto"/>
        </w:rPr>
        <w:t xml:space="preserve"> half of 2011. Our target operating margins are 18% in the first half of 2011 and 22% in the second half of 2011.</w:t>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ind w:right="159"/>
        <w:spacing w:after="0" w:line="253" w:lineRule="auto"/>
        <w:rPr>
          <w:sz w:val="20"/>
          <w:szCs w:val="20"/>
          <w:color w:val="auto"/>
        </w:rPr>
      </w:pPr>
      <w:r>
        <w:rPr>
          <w:rFonts w:ascii="Arial" w:cs="Arial" w:eastAsia="Arial" w:hAnsi="Arial"/>
          <w:sz w:val="18"/>
          <w:szCs w:val="18"/>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7" w:lineRule="exact"/>
        <w:rPr>
          <w:sz w:val="20"/>
          <w:szCs w:val="20"/>
          <w:color w:val="auto"/>
        </w:rPr>
      </w:pPr>
    </w:p>
    <w:p>
      <w:pPr>
        <w:jc w:val="both"/>
        <w:ind w:right="159"/>
        <w:spacing w:after="0" w:line="284"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program review being conducted by the Department of Education of our compliance with Title IV program requirements, and possible fines or other administrative sanctions resulting therefrom; the ability of our students to obtain federal Title IV funds, state financial aid, and private financing; risks associated with changes in applicable federal and state laws and regulations and accrediting commission standards, including pending rulemaking by the Department of Education; potential damage to our reputation or other adverse effects as a result of negative publicity in the media, in the industry or in connection with governmental reports or investigations or otherwise, affecting us or other companies in the for-profit postsecondary education sector;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the extent to which obligations under our loan agreement, including the need to comply with restrictive and financial covenants and to pay principal and interest payments, limits our ability to conduct our operations or seek new business opportunities; potential decreases in enrollment, the payment of refunds or other negative impacts on our operating results as a result of our change from a “term-based” financial aid system to a “borrower-based, non-term” or “BBAY” financial aid system;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354"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 w:name="page10"/>
    <w:bookmarkEnd w:id="9"/>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 xml:space="preserve">Grand Canyon Education, Inc. will discuss its fourth quarter and full year 2010 results and 2011 outlook during a conference call scheduled for today, February 22, 2011 at 2:30 p.m. Eastern time (ET). To participate in the live call, investors should dial 877-815-5362 (domestic and Canada) or 706-679-7806 (international), passcode 41099377 at 2:20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February 23, 2012, at 800-642-1687 (domestic) or 706-645-9291 (international), passcode 41099377.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postsecondary education services focused on offering graduate and undergraduate degree programs in its core disciplines of education, business, healthcare, and liberal arts. In addition to its online programs, it offers ground programs at its traditional campus in Phoenix, Arizona and onsite at the facilities of employers. Approximately 41,500 students were enrolled as of December 31, 2010.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115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30" w:lineRule="exact"/>
        <w:rPr>
          <w:sz w:val="20"/>
          <w:szCs w:val="20"/>
          <w:color w:val="auto"/>
        </w:rPr>
      </w:pPr>
    </w:p>
    <w:p>
      <w:pPr>
        <w:jc w:val="both"/>
        <w:ind w:left="388" w:right="159" w:hanging="388"/>
        <w:spacing w:after="0" w:line="264" w:lineRule="auto"/>
        <w:tabs>
          <w:tab w:leader="none" w:pos="38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5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320" w:type="dxa"/>
            <w:vAlign w:val="bottom"/>
            <w:gridSpan w:val="9"/>
          </w:tcPr>
          <w:p>
            <w:pPr>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320" w:type="dxa"/>
            <w:vAlign w:val="bottom"/>
            <w:gridSpan w:val="9"/>
          </w:tcPr>
          <w:p>
            <w:pPr>
              <w:jc w:val="center"/>
              <w:ind w:left="229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Income Statement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(In</w:t>
            </w: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vMerge w:val="continue"/>
          </w:tcPr>
          <w:p>
            <w:pPr>
              <w:spacing w:after="0"/>
              <w:rPr>
                <w:sz w:val="18"/>
                <w:szCs w:val="18"/>
                <w:color w:val="auto"/>
              </w:rPr>
            </w:pPr>
          </w:p>
        </w:tc>
        <w:tc>
          <w:tcPr>
            <w:tcW w:w="29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thousands, except per share amounts)</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Unaudited</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100,031</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385,825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36,133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140,037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740" w:type="dxa"/>
            <w:vAlign w:val="bottom"/>
            <w:gridSpan w:val="3"/>
          </w:tcPr>
          <w:p>
            <w:pPr>
              <w:spacing w:after="0" w:line="201" w:lineRule="exact"/>
              <w:rPr>
                <w:sz w:val="20"/>
                <w:szCs w:val="20"/>
                <w:color w:val="auto"/>
              </w:rPr>
            </w:pPr>
            <w:r>
              <w:rPr>
                <w:rFonts w:ascii="Arial" w:cs="Arial" w:eastAsia="Arial" w:hAnsi="Arial"/>
                <w:sz w:val="18"/>
                <w:szCs w:val="18"/>
                <w:color w:val="auto"/>
              </w:rPr>
              <w:t>Selling and promotional, including $8,777 in 2010; $6,736</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89"/>
              </w:rPr>
              <w:t>in 2009; $1,083 and $1,417 for the three months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91"/>
              </w:rPr>
              <w:t>December 31, 2010 and 2009, respectively, to related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parties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28,538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23,009</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112,493</w:t>
            </w:r>
          </w:p>
        </w:tc>
        <w:tc>
          <w:tcPr>
            <w:tcW w:w="2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85,405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14,746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49,980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Contract termination fees to related party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9,233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9,233</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Litigation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Exit costs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1,218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Royalty to former owner</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59,590</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312,297</w:t>
            </w:r>
          </w:p>
        </w:tc>
        <w:tc>
          <w:tcPr>
            <w:tcW w:w="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215,330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11,281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73,528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17,666</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72,807</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28,442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44,365</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0.17</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outstanding:</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45,722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46,396</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45,503</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510"/>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right="159"/>
        <w:spacing w:after="0" w:line="268"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contributions to Arizona school tuition organizations in lieu of state income taxes, which we typically make in the fourth quarter of a fiscal year; (iii) litigation losses, if any; (iv) exit costs, if any; (v) contract termination fees, if any and (vi) share-based compensation. 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share-based compensation, and contract termination fees are not considered reflective of our core performance.</w:t>
      </w:r>
    </w:p>
    <w:p>
      <w:pPr>
        <w:spacing w:after="0" w:line="158" w:lineRule="exact"/>
        <w:rPr>
          <w:sz w:val="20"/>
          <w:szCs w:val="20"/>
          <w:color w:val="auto"/>
        </w:rPr>
      </w:pPr>
    </w:p>
    <w:p>
      <w:pPr>
        <w:jc w:val="both"/>
        <w:ind w:right="159" w:firstLine="389"/>
        <w:spacing w:after="0" w:line="291" w:lineRule="auto"/>
        <w:rPr>
          <w:sz w:val="20"/>
          <w:szCs w:val="20"/>
          <w:color w:val="auto"/>
        </w:rPr>
      </w:pPr>
      <w:r>
        <w:rPr>
          <w:rFonts w:ascii="Arial" w:cs="Arial" w:eastAsia="Arial" w:hAnsi="Arial"/>
          <w:sz w:val="16"/>
          <w:szCs w:val="16"/>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27"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153" w:lineRule="exact"/>
        <w:rPr>
          <w:sz w:val="20"/>
          <w:szCs w:val="20"/>
          <w:color w:val="auto"/>
        </w:rPr>
      </w:pPr>
    </w:p>
    <w:p>
      <w:pPr>
        <w:ind w:left="740" w:hanging="370"/>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98" w:lineRule="exact"/>
        <w:rPr>
          <w:rFonts w:ascii="Arial" w:cs="Arial" w:eastAsia="Arial" w:hAnsi="Arial"/>
          <w:sz w:val="18"/>
          <w:szCs w:val="18"/>
          <w:b w:val="1"/>
          <w:bCs w:val="1"/>
          <w:color w:val="auto"/>
        </w:rPr>
      </w:pPr>
    </w:p>
    <w:p>
      <w:pPr>
        <w:ind w:left="740" w:hanging="370"/>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 for, our working capital requirements;</w:t>
      </w:r>
    </w:p>
    <w:p>
      <w:pPr>
        <w:spacing w:after="0" w:line="184" w:lineRule="exact"/>
        <w:rPr>
          <w:rFonts w:ascii="Arial" w:cs="Arial" w:eastAsia="Arial" w:hAnsi="Arial"/>
          <w:sz w:val="18"/>
          <w:szCs w:val="18"/>
          <w:b w:val="1"/>
          <w:bCs w:val="1"/>
          <w:color w:val="auto"/>
        </w:rPr>
      </w:pPr>
    </w:p>
    <w:p>
      <w:pPr>
        <w:ind w:left="740" w:hanging="370"/>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interest expense, or the cash required to replace assets that are being depreciated or amortized; and</w:t>
      </w:r>
    </w:p>
    <w:p>
      <w:pPr>
        <w:spacing w:after="0" w:line="184" w:lineRule="exact"/>
        <w:rPr>
          <w:rFonts w:ascii="Arial" w:cs="Arial" w:eastAsia="Arial" w:hAnsi="Arial"/>
          <w:sz w:val="18"/>
          <w:szCs w:val="18"/>
          <w:b w:val="1"/>
          <w:bCs w:val="1"/>
          <w:color w:val="auto"/>
        </w:rPr>
      </w:pPr>
    </w:p>
    <w:p>
      <w:pPr>
        <w:ind w:left="740" w:right="179" w:hanging="370"/>
        <w:spacing w:after="0" w:line="277"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43" w:lineRule="exact"/>
        <w:rPr>
          <w:sz w:val="20"/>
          <w:szCs w:val="20"/>
          <w:color w:val="auto"/>
        </w:rPr>
      </w:pPr>
    </w:p>
    <w:p>
      <w:pPr>
        <w:jc w:val="both"/>
        <w:ind w:right="179"/>
        <w:spacing w:after="0" w:line="276" w:lineRule="auto"/>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2" w:name="page13"/>
    <w:bookmarkEnd w:id="12"/>
    <w:p>
      <w:pPr>
        <w:ind w:left="340" w:right="13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5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8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11,095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721</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6,571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28,442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2,104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11,812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19,968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85,340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Plus: contributions to Arizona school tuition organizations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lieu of state income taxes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Plus: litigation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Plus: exit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1,218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Plus: contract termination fees to related party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9,233</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101,176</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w w:val="85"/>
              </w:rPr>
              <w:t>Balance Sheets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 except par value)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As of December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shd w:val="clear" w:color="auto" w:fill="CCEEFF"/>
          </w:tcPr>
          <w:p>
            <w:pPr>
              <w:ind w:left="31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tcPr>
          <w:p>
            <w:pPr>
              <w:ind w:left="200"/>
              <w:spacing w:after="0" w:line="201" w:lineRule="exact"/>
              <w:rPr>
                <w:sz w:val="20"/>
                <w:szCs w:val="20"/>
                <w:color w:val="auto"/>
              </w:rPr>
            </w:pPr>
            <w:r>
              <w:rPr>
                <w:rFonts w:ascii="Arial" w:cs="Arial" w:eastAsia="Arial" w:hAnsi="Arial"/>
                <w:sz w:val="18"/>
                <w:szCs w:val="18"/>
                <w:color w:val="auto"/>
              </w:rPr>
              <w:t>Restricted cash, cash equivalents and investments (of which $170 is unrestricted at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December 31, 2009)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52,178</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3,403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Accounts receivable, net of allowance for doubtful accounts of $14,961 and $7,553 at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2010 and 2009</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8,415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142,284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123,999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67,370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2,941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4,892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284,255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tcPr>
          <w:p>
            <w:pPr>
              <w:ind w:left="15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15,693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9,477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litigation loss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Accrued exit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Student deposits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48,873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10,346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Current portion of notes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Notes payable, less current portion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21,881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23,983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147,595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2"/>
              </w:rPr>
              <w:t>Preferred stock, $0.01 par value, 10,000 shares authorized; 0 shares issued and outstanding at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December 31, 2009 and 2008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Common stock, $0.01 par value, 100,000 shares authorized; 45,811 and 45,658 shares issued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45,761 and 45,658 shares outstanding at December 31, 2010 and 2009, respectively</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5"/>
              </w:rPr>
              <w:t>Treasury stock, at cost, 50 and 0 shares of common stock at December 31, 2010 and 2009,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59,980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136,660</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284,255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jc w:val="center"/>
              <w:ind w:left="2610"/>
              <w:spacing w:after="0"/>
              <w:rPr>
                <w:sz w:val="20"/>
                <w:szCs w:val="20"/>
                <w:color w:val="auto"/>
              </w:rPr>
            </w:pPr>
            <w:r>
              <w:rPr>
                <w:rFonts w:ascii="Arial" w:cs="Arial" w:eastAsia="Arial" w:hAnsi="Arial"/>
                <w:sz w:val="18"/>
                <w:szCs w:val="18"/>
                <w:color w:val="auto"/>
                <w:w w:val="89"/>
              </w:rPr>
              <w:t>10</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w w:val="88"/>
              </w:rPr>
              <w:t>Statements of Cash Flows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Year Ended December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44,365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5,049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12,108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Litigation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(18,376)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2,510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Income taxes receivable/payable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(9,293)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Student deposits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43,724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84,104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(49,666)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(111,806)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(58,421)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outstanding shares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(28,934)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27,419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62,571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 income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9"/>
              </w:rPr>
              <w:t>Purchases of property and equipment included in accounts payable and deferred rent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4,421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Removal of Utah leasehold improvements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340" w:type="dxa"/>
            <w:vAlign w:val="bottom"/>
          </w:tcPr>
          <w:p>
            <w:pPr>
              <w:spacing w:after="0"/>
              <w:rPr>
                <w:sz w:val="24"/>
                <w:szCs w:val="24"/>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color w:val="auto"/>
                <w:w w:val="89"/>
              </w:rPr>
              <w:t>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2010 Results</w:t>
      </w:r>
    </w:p>
    <w:p>
      <w:pPr>
        <w:spacing w:after="0" w:line="202" w:lineRule="exact"/>
        <w:rPr>
          <w:sz w:val="20"/>
          <w:szCs w:val="20"/>
          <w:color w:val="auto"/>
        </w:rPr>
      </w:pPr>
    </w:p>
    <w:p>
      <w:pPr>
        <w:ind w:left="8" w:right="179" w:firstLine="389"/>
        <w:spacing w:after="0" w:line="277" w:lineRule="auto"/>
        <w:rPr>
          <w:sz w:val="20"/>
          <w:szCs w:val="20"/>
          <w:color w:val="auto"/>
        </w:rPr>
      </w:pPr>
      <w:r>
        <w:rPr>
          <w:rFonts w:ascii="Arial" w:cs="Arial" w:eastAsia="Arial" w:hAnsi="Arial"/>
          <w:sz w:val="18"/>
          <w:szCs w:val="18"/>
          <w:color w:val="auto"/>
        </w:rPr>
        <w:t>The following is a summary of our student enrollment at December 31, 2010 and December 31, 2009 (which included less than 275 students pursuing non-degree certificates) by degree type and by instructional delivery method: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2010</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25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 2009</w:t>
            </w:r>
          </w:p>
        </w:tc>
      </w:tr>
      <w:tr>
        <w:trPr>
          <w:trHeight w:val="210"/>
        </w:trPr>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17,732</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16,097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23,750</w:t>
            </w: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21,612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r>
      <w:tr>
        <w:trPr>
          <w:trHeight w:val="27"/>
        </w:trPr>
        <w:tc>
          <w:tcPr>
            <w:tcW w:w="1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37,709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1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2010</w:t>
            </w:r>
            <w:r>
              <w:rPr>
                <w:rFonts w:ascii="Arial" w:cs="Arial" w:eastAsia="Arial" w:hAnsi="Arial"/>
                <w:sz w:val="15"/>
                <w:szCs w:val="15"/>
                <w:color w:val="auto"/>
              </w:rPr>
              <w:t>(1)</w:t>
            </w:r>
          </w:p>
        </w:tc>
        <w:tc>
          <w:tcPr>
            <w:tcW w:w="160" w:type="dxa"/>
            <w:vAlign w:val="bottom"/>
          </w:tcPr>
          <w:p>
            <w:pPr>
              <w:spacing w:after="0"/>
              <w:rPr>
                <w:sz w:val="24"/>
                <w:szCs w:val="24"/>
                <w:color w:val="auto"/>
              </w:rPr>
            </w:pPr>
          </w:p>
        </w:tc>
        <w:tc>
          <w:tcPr>
            <w:tcW w:w="25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 2009</w:t>
            </w:r>
          </w:p>
        </w:tc>
      </w:tr>
      <w:tr>
        <w:trPr>
          <w:trHeight w:val="210"/>
        </w:trPr>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37,734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34,596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3,748</w:t>
            </w: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3,113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7"/>
        </w:trPr>
        <w:tc>
          <w:tcPr>
            <w:tcW w:w="1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37,709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175" w:lineRule="exact"/>
        <w:rPr>
          <w:sz w:val="20"/>
          <w:szCs w:val="20"/>
          <w:color w:val="auto"/>
        </w:rPr>
      </w:pPr>
    </w:p>
    <w:p>
      <w:pPr>
        <w:jc w:val="both"/>
        <w:ind w:left="388" w:right="179" w:hanging="388"/>
        <w:spacing w:after="0" w:line="264" w:lineRule="auto"/>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2" w:lineRule="exact"/>
        <w:rPr>
          <w:rFonts w:ascii="Arial" w:cs="Arial" w:eastAsia="Arial" w:hAnsi="Arial"/>
          <w:sz w:val="18"/>
          <w:szCs w:val="18"/>
          <w:color w:val="auto"/>
        </w:rPr>
      </w:pPr>
    </w:p>
    <w:p>
      <w:pPr>
        <w:ind w:left="388" w:hanging="388"/>
        <w:spacing w:after="0"/>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1,186 and 315 students pursuing doctoral degrees at December 31, 2010 and 2009, respectively.</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2010 and 2009 45.5% and 44.5% of our Online students are pursuing graduate degrees.</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both our traditional on-campus students, as well as our professional studies students.</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12</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2019-12-11T06:49:23Z</dcterms:created>
  <dcterms:modified xsi:type="dcterms:W3CDTF">2019-12-11T06:49:23Z</dcterms:modified>
</cp:coreProperties>
</file>