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81"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24" w:lineRule="exact"/>
        <w:rPr>
          <w:sz w:val="24"/>
          <w:szCs w:val="24"/>
          <w:color w:val="auto"/>
        </w:rPr>
      </w:pPr>
    </w:p>
    <w:p>
      <w:pPr>
        <w:ind w:left="2"/>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02" w:right="380" w:hanging="399"/>
        <w:spacing w:after="0" w:line="352" w:lineRule="auto"/>
        <w:tabs>
          <w:tab w:leader="none" w:pos="40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June 30, 2019</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02" w:hanging="402"/>
        <w:spacing w:after="0"/>
        <w:tabs>
          <w:tab w:leader="none" w:pos="40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02"/>
        <w:spacing w:after="0"/>
        <w:tabs>
          <w:tab w:leader="none" w:pos="406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1"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99" w:lineRule="exact"/>
        <w:rPr>
          <w:sz w:val="24"/>
          <w:szCs w:val="24"/>
          <w:color w:val="auto"/>
        </w:rPr>
      </w:pPr>
    </w:p>
    <w:tbl>
      <w:tblPr>
        <w:tblLayout w:type="fixed"/>
        <w:tblInd w:w="1402" w:type="dxa"/>
        <w:tblCellMar>
          <w:top w:w="0" w:type="dxa"/>
          <w:left w:w="0" w:type="dxa"/>
          <w:bottom w:w="0" w:type="dxa"/>
          <w:right w:w="0" w:type="dxa"/>
        </w:tblCellMar>
      </w:tblPr>
      <w:tr>
        <w:trPr>
          <w:trHeight w:val="22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4020" w:type="dxa"/>
            <w:vAlign w:val="bottom"/>
          </w:tcPr>
          <w:p>
            <w:pPr>
              <w:jc w:val="center"/>
              <w:ind w:right="165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4020" w:type="dxa"/>
            <w:vAlign w:val="bottom"/>
          </w:tcPr>
          <w:p>
            <w:pPr>
              <w:jc w:val="center"/>
              <w:ind w:right="16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12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1"/>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162"/>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122"/>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2" w:type="dxa"/>
        <w:tblCellMar>
          <w:top w:w="0" w:type="dxa"/>
          <w:left w:w="0" w:type="dxa"/>
          <w:bottom w:w="0" w:type="dxa"/>
          <w:right w:w="0" w:type="dxa"/>
        </w:tblCellMar>
      </w:tblPr>
      <w:tr>
        <w:trPr>
          <w:trHeight w:val="162"/>
        </w:trPr>
        <w:tc>
          <w:tcPr>
            <w:tcW w:w="382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Title of each class</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820" w:type="dxa"/>
            <w:vAlign w:val="bottom"/>
            <w:tcBorders>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Common Stock</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2" w:right="42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75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2"/>
        <w:spacing w:after="0" w:line="188" w:lineRule="exact"/>
        <w:tabs>
          <w:tab w:leader="none" w:pos="5802"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2"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2" w:right="660" w:firstLine="648"/>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0382"/>
          </w:cols>
          <w:pgMar w:left="758" w:top="665" w:right="759" w:bottom="1440" w:gutter="0" w:footer="0" w:header="0"/>
        </w:sectPr>
      </w:pPr>
    </w:p>
    <w:p>
      <w:pPr>
        <w:spacing w:after="0" w:line="57" w:lineRule="exact"/>
        <w:rPr>
          <w:sz w:val="24"/>
          <w:szCs w:val="24"/>
          <w:color w:val="auto"/>
        </w:rPr>
      </w:pPr>
    </w:p>
    <w:p>
      <w:pPr>
        <w:ind w:left="2"/>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02" w:space="180"/>
            <w:col w:w="5320" w:space="720"/>
            <w:col w:w="2080" w:space="220"/>
            <w:col w:w="160"/>
          </w:cols>
          <w:pgMar w:left="758" w:top="665" w:right="759" w:bottom="1440" w:gutter="0" w:footer="0" w:header="0"/>
          <w:type w:val="continuous"/>
        </w:sectPr>
      </w:pPr>
    </w:p>
    <w:p>
      <w:pPr>
        <w:ind w:left="2" w:right="50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42" w:right="26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August 2, 2019, was 48,340,573.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523875</wp:posOffset>
            </wp:positionV>
            <wp:extent cx="6595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6595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103505</wp:posOffset>
            </wp:positionV>
            <wp:extent cx="659511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640" w:type="dxa"/>
            <w:vAlign w:val="bottom"/>
            <w:gridSpan w:val="16"/>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480" w:type="dxa"/>
            <w:vAlign w:val="bottom"/>
            <w:gridSpan w:val="4"/>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6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37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4 Controls and Procedures</w:t>
              </w:r>
            </w:hyperlink>
          </w:p>
        </w:tc>
        <w:tc>
          <w:tcPr>
            <w:tcW w:w="634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864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5"/>
          </w:tcPr>
          <w:p>
            <w:pPr>
              <w:spacing w:after="0"/>
              <w:rPr>
                <w:sz w:val="24"/>
                <w:szCs w:val="24"/>
                <w:color w:val="auto"/>
              </w:rPr>
            </w:pPr>
          </w:p>
        </w:tc>
        <w:tc>
          <w:tcPr>
            <w:tcW w:w="5780" w:type="dxa"/>
            <w:vAlign w:val="bottom"/>
            <w:gridSpan w:val="5"/>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1A Risk Factors</w:t>
              </w:r>
            </w:hyperlink>
          </w:p>
        </w:tc>
        <w:tc>
          <w:tcPr>
            <w:tcW w:w="7080" w:type="dxa"/>
            <w:vAlign w:val="bottom"/>
            <w:gridSpan w:val="1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64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2 Unregistered Sales of Equity Securities and Use of Proceeds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378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 Mine Safety Disclosures</w:t>
              </w:r>
            </w:hyperlink>
          </w:p>
        </w:tc>
        <w:tc>
          <w:tcPr>
            <w:tcW w:w="5800" w:type="dxa"/>
            <w:vAlign w:val="bottom"/>
            <w:gridSpan w:val="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Item 5 Other Information</w:t>
              </w:r>
            </w:hyperlink>
          </w:p>
        </w:tc>
        <w:tc>
          <w:tcPr>
            <w:tcW w:w="440" w:type="dxa"/>
            <w:vAlign w:val="bottom"/>
            <w:tcBorders>
              <w:top w:val="single" w:sz="8" w:color="0000EE"/>
            </w:tcBorders>
            <w:gridSpan w:val="3"/>
          </w:tcPr>
          <w:p>
            <w:pPr>
              <w:spacing w:after="0"/>
              <w:rPr>
                <w:sz w:val="17"/>
                <w:szCs w:val="17"/>
                <w:color w:val="auto"/>
              </w:rPr>
            </w:pPr>
          </w:p>
        </w:tc>
        <w:tc>
          <w:tcPr>
            <w:tcW w:w="636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Item 6 Exhibits</w:t>
              </w:r>
            </w:hyperlink>
          </w:p>
        </w:tc>
        <w:tc>
          <w:tcPr>
            <w:tcW w:w="752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64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7860" w:type="dxa"/>
            <w:vAlign w:val="bottom"/>
            <w:gridSpan w:val="15"/>
          </w:tcPr>
          <w:p>
            <w:pPr>
              <w:ind w:left="100"/>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786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Schema</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786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7860" w:type="dxa"/>
            <w:vAlign w:val="bottom"/>
            <w:gridSpan w:val="15"/>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7860" w:type="dxa"/>
            <w:vAlign w:val="bottom"/>
            <w:gridSpan w:val="15"/>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7860" w:type="dxa"/>
            <w:vAlign w:val="bottom"/>
            <w:gridSpan w:val="15"/>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Service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174,820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372,107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University related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236,818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512,499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174,820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236,818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372,107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512,499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107,392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University related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Transaction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123,826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178,330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248,682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363,919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123,425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149,936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124,355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0.95</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47,788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48,313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48,307</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$ 51,112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$ 46,038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$ 124,355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Unrealized gains on available-for-sale securities, net of taxes of $30 for</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the three months ended June 30, 2018, and $38 for the six months ended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2018</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ind w:left="100"/>
              <w:spacing w:after="0" w:line="201" w:lineRule="exact"/>
              <w:rPr>
                <w:sz w:val="20"/>
                <w:szCs w:val="20"/>
                <w:color w:val="auto"/>
              </w:rPr>
            </w:pPr>
            <w:r>
              <w:rPr>
                <w:rFonts w:ascii="Arial" w:cs="Arial" w:eastAsia="Arial" w:hAnsi="Arial"/>
                <w:sz w:val="18"/>
                <w:szCs w:val="18"/>
                <w:color w:val="auto"/>
                <w:w w:val="90"/>
              </w:rPr>
              <w:t>Unrealized gains (losses) on hedging derivatives, net of taxes of $35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3"/>
              </w:rPr>
              <w:t>$26 for the three months ended June 30, 2019 and 2018, respectively,</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w w:val="97"/>
              </w:rPr>
              <w:t>and $70 and $83 for the six months ended June 30, 2019 and 2018,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$ 50,948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$ 46,205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$ 124,084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108,717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1,069,912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206,415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1,677,522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349,715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June 30, 2019 and December 31, 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$0.01 par value, 100,000 shares authorized; 53,033 and 52,690 shares issued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and 48,351 and 48,201 shares outstanding at June 30, 2019 and December 31, 2018,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97"/>
              </w:rPr>
              <w:t>Treasury stock, at cost, 4,682 and 4,489 shares of common stock at June 30, 2019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December 31, 2018, respectively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(143,919)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1,206,524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1,327,807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1,213,597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1,677,522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Six Months Ended June 30, 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52,690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4,489</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(125,452)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2"/>
              </w:rPr>
              <w:t>$ 256,806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1"/>
              </w:rPr>
              <w:t>$ 1,082,169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1,213,597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spacing w:after="0"/>
              <w:rPr>
                <w:sz w:val="20"/>
                <w:szCs w:val="20"/>
                <w:color w:val="auto"/>
              </w:rPr>
            </w:pPr>
            <w:r>
              <w:rPr>
                <w:rFonts w:ascii="Arial" w:cs="Arial" w:eastAsia="Arial" w:hAnsi="Arial"/>
                <w:sz w:val="17"/>
                <w:szCs w:val="17"/>
                <w:color w:val="auto"/>
              </w:rPr>
              <w:t>Comprehensive income</w:t>
            </w: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(271)</w:t>
            </w:r>
          </w:p>
        </w:tc>
        <w:tc>
          <w:tcPr>
            <w:tcW w:w="80" w:type="dxa"/>
            <w:vAlign w:val="bottom"/>
            <w:vMerge w:val="continue"/>
          </w:tcPr>
          <w:p>
            <w:pPr>
              <w:spacing w:after="0"/>
              <w:rPr>
                <w:sz w:val="15"/>
                <w:szCs w:val="15"/>
                <w:color w:val="auto"/>
              </w:rPr>
            </w:pPr>
          </w:p>
        </w:tc>
        <w:tc>
          <w:tcPr>
            <w:tcW w:w="9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124,355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124,084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Common stock purchased for</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treasury</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(10,340)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(8,127)</w:t>
            </w: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580" w:type="dxa"/>
            <w:vAlign w:val="bottom"/>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3,406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June 30,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53,033</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4,682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(143,919)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265,396</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1,206,524</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1,327,807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Six Months Ended June 30, 2018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4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Par Value</w:t>
            </w: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52,277</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4,152</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(100,694)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232,670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854,176</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985,951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vMerge w:val="restart"/>
          </w:tcPr>
          <w:p>
            <w:pPr>
              <w:spacing w:after="0" w:line="178" w:lineRule="exact"/>
              <w:rPr>
                <w:sz w:val="20"/>
                <w:szCs w:val="20"/>
                <w:color w:val="auto"/>
              </w:rPr>
            </w:pPr>
            <w:r>
              <w:rPr>
                <w:rFonts w:ascii="Arial" w:cs="Arial" w:eastAsia="Arial" w:hAnsi="Arial"/>
                <w:sz w:val="17"/>
                <w:szCs w:val="17"/>
                <w:color w:val="auto"/>
              </w:rPr>
              <w:t>Cumulative effect from the</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7"/>
                <w:szCs w:val="17"/>
                <w:color w:val="auto"/>
              </w:rPr>
              <w:t>adoption of accounting</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7"/>
                <w:szCs w:val="17"/>
                <w:color w:val="auto"/>
              </w:rPr>
              <w:t>pronouncements, net of taxes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(1,174)</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119,719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120,084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Adoption impact – ASU 2018-02</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Common stock purchased for</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treasury</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(11,524)</w:t>
            </w: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6,732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580" w:type="dxa"/>
            <w:vAlign w:val="bottom"/>
          </w:tcPr>
          <w:p>
            <w:pPr>
              <w:jc w:val="right"/>
              <w:spacing w:after="0"/>
              <w:rPr>
                <w:sz w:val="20"/>
                <w:szCs w:val="20"/>
                <w:color w:val="auto"/>
              </w:rPr>
            </w:pPr>
            <w:r>
              <w:rPr>
                <w:rFonts w:ascii="Arial" w:cs="Arial" w:eastAsia="Arial" w:hAnsi="Arial"/>
                <w:sz w:val="17"/>
                <w:szCs w:val="17"/>
                <w:color w:val="auto"/>
              </w:rPr>
              <w:t>112</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1,767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June 30,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52,552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4,295</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(113,757)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241,169</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972,877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1,100,300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124,355</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bad debts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9,065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Loss on transaction, net of costs and asset impairment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41,056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Right-of-use assets and lease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Student deposits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189,335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 for capital expenditures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(169,819)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56,897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(485,762)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(67,435)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(used in) financing activities: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(72,041)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243,750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26,250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(18,467)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3,408</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180,515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Reclassification of restricted cash to assets held for sale</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(87,875)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line="142" w:lineRule="exact"/>
              <w:rPr>
                <w:sz w:val="20"/>
                <w:szCs w:val="20"/>
                <w:color w:val="auto"/>
              </w:rPr>
            </w:pPr>
            <w:r>
              <w:rPr>
                <w:rFonts w:ascii="Arial" w:cs="Arial" w:eastAsia="Arial" w:hAnsi="Arial"/>
                <w:sz w:val="14"/>
                <w:szCs w:val="14"/>
                <w:b w:val="1"/>
                <w:bCs w:val="1"/>
                <w:color w:val="auto"/>
              </w:rPr>
              <w:t>Net decrease in cash and cash equivalents and restricted cash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(115,912)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(26,376)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182,013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248,008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66,101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221,632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4,837</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35,114</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Reclassification of capitalized costs – adoption of ASC 606</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deferred revenue – adoption of ASC 606</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100"/>
              <w:spacing w:after="0" w:line="149" w:lineRule="exact"/>
              <w:rPr>
                <w:sz w:val="20"/>
                <w:szCs w:val="20"/>
                <w:color w:val="auto"/>
              </w:rPr>
            </w:pPr>
            <w:r>
              <w:rPr>
                <w:rFonts w:ascii="Arial" w:cs="Arial" w:eastAsia="Arial" w:hAnsi="Arial"/>
                <w:sz w:val="14"/>
                <w:szCs w:val="14"/>
                <w:color w:val="auto"/>
              </w:rPr>
              <w:t>Lease adoption - gross up of right of use assets and lease liabilities</w:t>
            </w:r>
          </w:p>
        </w:tc>
        <w:tc>
          <w:tcPr>
            <w:tcW w:w="36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Reclassification of tax effect within accumulated other comprehensive income</w:t>
            </w:r>
          </w:p>
        </w:tc>
        <w:tc>
          <w:tcPr>
            <w:tcW w:w="36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Grand Canyon Education, Inc. (together with its subsidiaries, the “Company” or “GCE”) is a publicly traded education services company. Prior to July 1, 2018, GCE owned and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Arizona non-profit corporation formerly known as Gazelle University (“GCU”). As a result of this transaction (the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our consolidated financial statements for a full description of the Transaction.</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December 17, 2018, the Company entered into a definitive Agreement and Plan of Merger to acquire Orbis Education Services, LLC (“Orbis Education”). Orbis Education is an education services company that supports healthcare education programs for 18 university partners across the United States. The closing of the merger occurred on January 22, 2019 and, as a result of the merger, GCE acquired all of the outstanding equity interests of Orbis Education for $361,184, net of cash acquired (the “Acquisition”). The Company financed a portion of the purchase price through a credit facility provided by a consortium of banks led by our existing bank group. See Note 3 to our consolidated financial statement for a full description of the Acquisition.</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 Transaction and Acquisition, the Company no longer owns and operates an institution of higher education, but instead provides a bundle of services in support of its 19 university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June 30, 2019, the Company had loaned an additional $199,815 to GCU for capital expenditures.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 office services to GCU in return for 60% of GCU’s tuition and fee revenue.</w:t>
      </w:r>
    </w:p>
    <w:p>
      <w:pPr>
        <w:spacing w:after="0" w:line="16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was a party to a credit agreement with Bank of America, N.A. as Administrative Agent, and other lenders, dated December 21, 2012 and amended as of January 15, 2016. Effective July 1, 2018, the Company and the lenders amended the credit agreement (the “Amendment”) to release the assets pledged as collateral in order to enable GCE to sell them to GCU and complete the Transaction. In connection with the Amendment, GCE provided restricted cash collateral in the amount of $61,667 as of December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870,097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Student deposits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 payable</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 received the Secured Note for the Transferred Assets. The Company also transferred cash equal to $34,107 as part of the closing. Except for identified liabilities assumed by GCU, GCE retained responsibility for all liabilities of the business arising from pre-closing operations. For the six months ended June 30, 2018 the Company had transaction expenses of $1,990, included in Loss on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January 22, 2019, GCE acquired Orbis Education for $361,184 (inclusive of closing date adjustments and net of cash acquired). Orbis Education is an education services company that supports healthcare education programs for 18 university partners across the United States. Concurrent with the closing of the Acquisition, GCE entered into an amended and restated credit agreement and used $191,000 from the amended and restated credit agreement and $171,034 of operating cash flows on hand to complete the purchase. See Note 11 of our consolidated financial statements for a description of the amended and restated credit agreement. The fair value of the assets acquired, less the liabilities assumed exceeded the purchase price by $157,930 which was recorded as goodwill. Transaction costs for the Acquisition for the year ended December 31, 2018 were $808 and for the six months ended June 30, 2019 were $3,966, which are included in the Loss on Transaction in our consolidated income statement.</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net asset or liability purchased and assumed</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amounts recorded related to the Acquisition is subject to adjustment as the Company has not yet completed the final allocation of the purchase price. The Company adjusted its allocation of the purchase price by $9,643 in the three months ended June 30, 2019, primarily as the result of the tax effect of a lower tax basis in the acquired assets. The Company has one year from the date of the Acquisition to complete the allocation of the purchase price.</w:t>
      </w:r>
    </w:p>
    <w:p>
      <w:pPr>
        <w:spacing w:after="0" w:line="15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Company has consolidated the results of operations for Orbis Education since its Acquisition on January 22, 2019. Consolidated net revenue and consolidated net income for the six months ended June 30, 2019 include $38,466 of service revenue and a loss, net of taxes, of $782 from Orbis Education, which includes $3,865 of amortization of intangible assets. The Company reclassified $414 of expense from technology and academic services and $92 of expense from general and administration to increase marketing and communication expenses by $506 for the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20" w:right="580"/>
        <w:spacing w:after="0" w:line="277" w:lineRule="auto"/>
        <w:rPr>
          <w:sz w:val="20"/>
          <w:szCs w:val="20"/>
          <w:color w:val="auto"/>
        </w:rPr>
      </w:pPr>
      <w:r>
        <w:rPr>
          <w:rFonts w:ascii="Arial" w:cs="Arial" w:eastAsia="Arial" w:hAnsi="Arial"/>
          <w:sz w:val="18"/>
          <w:szCs w:val="18"/>
          <w:color w:val="auto"/>
        </w:rPr>
        <w:t>three months ended March 31, 2019. The following table reports pro forma information as if the Acquisition of Orbis Education had been completed at the beginning of the earliest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9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June 30,</w:t>
            </w:r>
          </w:p>
        </w:tc>
        <w:tc>
          <w:tcPr>
            <w:tcW w:w="188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5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174,820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236,818</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372,107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512,499</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174,820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251,784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375,357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541,039</w:t>
            </w: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51,112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46,038</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124,355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119,719</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105,848</w:t>
            </w:r>
          </w:p>
        </w:tc>
      </w:tr>
    </w:tbl>
    <w:p>
      <w:pPr>
        <w:spacing w:after="0" w:line="202" w:lineRule="exact"/>
        <w:rPr>
          <w:sz w:val="20"/>
          <w:szCs w:val="20"/>
          <w:color w:val="auto"/>
        </w:rPr>
      </w:pPr>
    </w:p>
    <w:p>
      <w:pPr>
        <w:ind w:left="20" w:right="140" w:firstLine="441"/>
        <w:spacing w:after="0" w:line="297" w:lineRule="auto"/>
        <w:rPr>
          <w:sz w:val="20"/>
          <w:szCs w:val="20"/>
          <w:color w:val="auto"/>
        </w:rPr>
      </w:pPr>
      <w:r>
        <w:rPr>
          <w:rFonts w:ascii="Arial" w:cs="Arial" w:eastAsia="Arial" w:hAnsi="Arial"/>
          <w:sz w:val="16"/>
          <w:szCs w:val="16"/>
          <w:color w:val="auto"/>
        </w:rPr>
        <w:t>The pro forma information above for the three and six months ended June 30, 2019 and 2018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 and 2018.</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consolidated financial statements include the accounts of the Company and its wholly-owned subsidiaries.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20" w:right="20" w:firstLine="648"/>
        <w:spacing w:after="0" w:line="286"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2018.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2018 from which the December 31, 2018 balance sheet information was derived. For purposes hereof, the term “university related revenue” refer to the Company’s revenue from operations prior to the sale of the University to GCU, and the term “university related expenses” refers to the Company’s expenses related to the operation of the University prior to the sale of the University to GCU and that are now the responsibility of GCU.</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left="20" w:right="40" w:firstLine="648"/>
        <w:spacing w:after="0" w:line="302" w:lineRule="auto"/>
        <w:rPr>
          <w:sz w:val="20"/>
          <w:szCs w:val="20"/>
          <w:color w:val="auto"/>
        </w:rPr>
      </w:pPr>
      <w:r>
        <w:rPr>
          <w:rFonts w:ascii="Arial" w:cs="Arial" w:eastAsia="Arial" w:hAnsi="Arial"/>
          <w:sz w:val="16"/>
          <w:szCs w:val="16"/>
          <w:color w:val="auto"/>
        </w:rPr>
        <w:t>A significant portion of the Company’s university related revenue was received from students who participated in government financial aid and assistance programs. Prior to July 1, 2018, restricted cash and cash equivalents represented amounts received from the federal and state governments under various student aid grant and loan programs, such as Title IV. The Company received these funds subsequent to the completion of the authorization and disbursement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process and held them for the benefit of the student. The Department of Education requires Title IV funds collected in advance of student billings to be restricted until the course begins. Prior to the Transaction, the Company recorded all of these amounts as a current asset in restricted cash and cash equivalents. The majority of these funds remained as restricted for an average of 60 to 90 days from the date of receipt. Restricted cash and cash equivalents at December 31, 2018 represents the cash collateral on the credit agreement, which was released as part of the amended and restated credit agreement on January 22, 2019. Restricted cash and cash equivalents at June 30, 2019 represents cash pledged for leased office space.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considers its investments in municipal bonds, mutual funds, municipal securities, certificates of deposit and commercial paper as available-for-sale securities or trading securities based on the Company’s intent for the respective security.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As of December 31, 2018, the Company transferred its investments from available-for-sale to trading, due to the Company's decision to liquidate all investments to fund a portion of the purchase price paid in the Acquisition. Trading securities are carried at fair value and unrealized holding gains and losses are included in earnings. See Note 3 of our consolidated financial statements for further discussion on the Acquisition.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7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On February 27, 2013, the Company entered into an interest rate corridor to manage its 30 Day LIBOR interest exposure related to its variable rate debt. The fair value of the interest rate corridor instrument as of June 30, 2019 and December 31, 2018 was $187 and $600,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($341) and $335 for the six months ended June 30, 2019 and 2018, respectively, for the effective portion of the gains and losses on the derivatives is included as a component of other comprehensive income, net of taxes.</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$56,667 as of June 30, 2019. The corridor instrument’s terms permit the Company to hedge its interest rate risk at several thresholds; the Company pays variable interest monthly based on the 30 Day LIBOR rates until that index reaches 1.5%. If 30 Day LIBOR is equal to 1.5% through 3.0%, the Company pays 1.5%. If 30 Day LIBOR exceeds 3.0%, the Company pays actual 30 Day LIBOR less 1.5%.</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At June 30, 2019, the Company expects to reclassify gains or losses on derivative instruments from accumulated other comprehensive income (loss) into earnings during the next 6 months as the derivative instrument expires in December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receivable, non-current approximates fair value as the Secured Note resulted from the Transaction and was negotiated at fair market value. The carrying 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Company also charged online students an upfront learning management fee, which was deferred and recognized over the initial course. The Company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the Company’s revenue was reduced by approximately $101,176, as a result of scholarships that the Company offered to students. Sales tax collected from students is excluded from net revenues. Collected but unremitted sales tax is included as an accrued liability in our consolidated balance sheet.</w:t>
      </w:r>
    </w:p>
    <w:p>
      <w:pPr>
        <w:spacing w:after="0" w:line="17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our revenues disaggregated by the nature of transfer of services for the six months ended June 30, 2018:</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522,430</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613,675</w:t>
            </w: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Scholarships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(101,176)</w:t>
            </w: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512,499</w:t>
            </w:r>
          </w:p>
        </w:tc>
      </w:tr>
      <w:tr>
        <w:trPr>
          <w:trHeight w:val="20"/>
        </w:trPr>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Company’s receivables represented unconditional rights to consideration from its contracts with students; accordingly, students were not billed until they started attending a course and the revenue recognition process had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178"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the Department of Education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 Effective July 1, 2018, the Company adopted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applied to our Services Agreements, as an education service provider.</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considers forming an expectation of the variable consideration to be received over the service life of this one performance obligation. However, since the performance obligation represents a series of distinct services, the Company recognizes the variable</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9"/>
        <w:spacing w:after="0" w:line="254" w:lineRule="auto"/>
        <w:rPr>
          <w:sz w:val="20"/>
          <w:szCs w:val="20"/>
          <w:color w:val="auto"/>
        </w:rPr>
      </w:pPr>
      <w:r>
        <w:rPr>
          <w:rFonts w:ascii="Arial" w:cs="Arial" w:eastAsia="Arial" w:hAnsi="Arial"/>
          <w:sz w:val="18"/>
          <w:szCs w:val="18"/>
          <w:color w:val="auto"/>
        </w:rPr>
        <w:t>consideration that becomes known and billable because these fees related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92" w:lineRule="exact"/>
        <w:rPr>
          <w:sz w:val="20"/>
          <w:szCs w:val="20"/>
          <w:color w:val="auto"/>
        </w:rPr>
      </w:pPr>
    </w:p>
    <w:p>
      <w:pPr>
        <w:ind w:right="7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June 30, 2019 given historical collection experience. The Company will continue to review and revise its allowance methodology based on its collection experience with its partners.</w:t>
      </w:r>
    </w:p>
    <w:p>
      <w:pPr>
        <w:spacing w:after="0" w:line="193" w:lineRule="exact"/>
        <w:rPr>
          <w:sz w:val="20"/>
          <w:szCs w:val="20"/>
          <w:color w:val="auto"/>
        </w:rPr>
      </w:pPr>
    </w:p>
    <w:p>
      <w:pPr>
        <w:ind w:right="119" w:firstLine="648"/>
        <w:spacing w:after="0" w:line="254" w:lineRule="auto"/>
        <w:rPr>
          <w:sz w:val="20"/>
          <w:szCs w:val="20"/>
          <w:color w:val="auto"/>
        </w:rPr>
      </w:pPr>
      <w:r>
        <w:rPr>
          <w:rFonts w:ascii="Arial" w:cs="Arial" w:eastAsia="Arial" w:hAnsi="Arial"/>
          <w:sz w:val="18"/>
          <w:szCs w:val="18"/>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$1,554 as of June 30, 2019 represents contract assets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right="5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technology.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The Company capitalizes certain costs to fulfill a contract related to the development and digital creation of content on a course-by-course basis for each university partner, many times in conjunction with faculty and subject matter experts. It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78" w:lineRule="exact"/>
        <w:rPr>
          <w:sz w:val="20"/>
          <w:szCs w:val="20"/>
          <w:color w:val="auto"/>
        </w:rPr>
      </w:pPr>
    </w:p>
    <w:p>
      <w:pPr>
        <w:ind w:right="39" w:firstLine="648"/>
        <w:spacing w:after="0" w:line="279"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w:t>
      </w:r>
    </w:p>
    <w:p>
      <w:pPr>
        <w:sectPr>
          <w:pgSz w:w="11900" w:h="16838" w:orient="portrait"/>
          <w:cols w:equalWidth="0" w:num="1">
            <w:col w:w="9039"/>
          </w:cols>
          <w:pgMar w:left="1420" w:top="517" w:right="1440"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2019, $1,348 of deferred content assets are included in other assets, long-term in the Company’s consolidated balance sheets and amortization is included in technical and academic services where the costs originated.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 Assets</w:t>
      </w:r>
    </w:p>
    <w:p>
      <w:pPr>
        <w:spacing w:after="0" w:line="225"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The Company capitalizes purchased intangible assets, such as university partner relationships (customer relationships), and tradenames, and amortizes them on a straight-line basis over their estimated useful lives.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purchase price of an acquisition is allocated to the assets acquired, including intangible assets, and liabilities assumed, based on their respective fair values at the acquisition date. Acquisition-related costs are expensed as incurred. The excess of the cost of an acquired entity, net of the amounts assigned to the assets acquired and liabilities assumed, is recognized as goodwill. The net assets and result of operations of an acquired entity are included on the Company's consolidated financial statements from the acquisition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support for faculty including training and development,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location.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location.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University related expenses represent the costs that were transferred to GCU in the Transaction and that are no longer incurred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June 30, 2019 and December 31, 2018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w:t>
      </w:r>
    </w:p>
    <w:p>
      <w:pPr>
        <w:sectPr>
          <w:pgSz w:w="11900" w:h="16838" w:orient="portrait"/>
          <w:cols w:equalWidth="0" w:num="1">
            <w:col w:w="9040"/>
          </w:cols>
          <w:pgMar w:left="1420" w:top="517" w:right="14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experienced any losses on receivables since July 1, 2018, the date the Company transitioned to an educational service provider. To manage accounts receivable risk, the Company maintains an allowance for doubtful accounts, if needed. Our dependence on our largest university partner subjects us to the risk that declines in our customer’s operations would result in a sustained reduction in revenues for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operates as a single educational services company using a core infrastructure that serves the curriculum and educational delivery needs of its 19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2019</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February 2016, the FASB issued ASU No. 2016-02, Leases (Topic 842), which introduced a lessee model that requires the majority of leases to be recognized on the balance sheet. On January 1, 2019, the Company adopted the ASU using the modified retrospective transition approach and elected the transition option to recognize the adjustment in the period of adoption rather than in the earliest period presented. Adoption of the new guidance resulted in an immaterial amount of right-of-use (“ROU”) assets and lease liabilities of $498. Subsequent to adoption, the Company recognized ROU assets of $13,069 and lease liabilities of $13,069 acquired in the Acquisition. As part of the adoption process the Company made the following elections:</w:t>
      </w:r>
    </w:p>
    <w:p>
      <w:pPr>
        <w:spacing w:after="0" w:line="189" w:lineRule="exact"/>
        <w:rPr>
          <w:sz w:val="20"/>
          <w:szCs w:val="20"/>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hindsight practical expedient, for all leases.</w:t>
      </w:r>
    </w:p>
    <w:p>
      <w:pPr>
        <w:spacing w:after="0" w:line="23" w:lineRule="exact"/>
        <w:rPr>
          <w:rFonts w:ascii="Arial" w:cs="Arial" w:eastAsia="Arial" w:hAnsi="Arial"/>
          <w:sz w:val="18"/>
          <w:szCs w:val="18"/>
          <w:color w:val="auto"/>
        </w:rPr>
      </w:pPr>
    </w:p>
    <w:p>
      <w:pPr>
        <w:ind w:left="680" w:right="420" w:hanging="320"/>
        <w:spacing w:after="0" w:line="250"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 for all leases.</w:t>
      </w:r>
    </w:p>
    <w:p>
      <w:pPr>
        <w:ind w:left="680" w:right="420" w:hanging="320"/>
        <w:spacing w:after="0" w:line="26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elected to make the accounting policy election for short-term leases resulting in lease payments being recorded as an expense on a straight-line basis over the lease term.</w:t>
      </w:r>
    </w:p>
    <w:p>
      <w:pPr>
        <w:spacing w:after="0" w:line="18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ROU assets and lease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Refer to Note 10 to our consolidated financial statements for further disclosures regarding the impact of adopting this standard.</w:t>
      </w:r>
    </w:p>
    <w:p>
      <w:pPr>
        <w:spacing w:after="0" w:line="154"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In August 2017, the FASB issued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This standard targets improvements in the hedge relationship documentation, testing and disclosures for derivatives. This standard is effective for fiscal years and interim periods within those years, beginning after December 15, 2018. Accordingly, the standard was adopted by us as of January 1, 2019. The adoption of this guidance did not have a material impact on the Company’s financial condition, results of operations or statement of cash flows. The Company elected a qualitative approach starting in 2019 to assess its hedge effectiveness and included updated disclosures as required by the standard.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The Company expects that the adoption of this standard will impact its consolidated financial statements and related disclosures only to the extent that a future goodwill impairment test results in the recognition of an impairment charge.</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At December 31, 2018, the Company transferred its investments from available-for-sale classification to trading, due to the Company’s decision to liquidate all investments to complete the Acquisition in the first quarter of 2019. Prior to December 31, 2018, the Company considered all investments as available-for-sale. At June 30, 2019 and December 31, 2018, the Company had $14,205 and $69,002, respectively, of investments. These investments were held in municipal and corporate securities as of June 30, 2019 and December 31,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Common Share</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47,851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47,604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47,788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47,537</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stock options and restricted stock</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0"/>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48,313</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48,411</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48,307</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48,422</w:t>
            </w: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both the three and six month periods ended June 30, 2019 and 2018, none of the Company’s stock options and restricted stock awards outstanding were excluded from the calculation of diluted earnings per share as their inclusion would have been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4"/>
                <w:szCs w:val="14"/>
                <w:color w:val="auto"/>
              </w:rPr>
            </w:pPr>
          </w:p>
        </w:tc>
        <w:tc>
          <w:tcPr>
            <w:tcW w:w="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Deductions/</w:t>
            </w:r>
          </w:p>
        </w:tc>
        <w:tc>
          <w:tcPr>
            <w:tcW w:w="1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72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Expense</w:t>
            </w:r>
          </w:p>
        </w:tc>
        <w:tc>
          <w:tcPr>
            <w:tcW w:w="1000" w:type="dxa"/>
            <w:vAlign w:val="bottom"/>
            <w:gridSpan w:val="6"/>
          </w:tcPr>
          <w:p>
            <w:pPr>
              <w:jc w:val="right"/>
              <w:spacing w:after="0"/>
              <w:rPr>
                <w:sz w:val="20"/>
                <w:szCs w:val="20"/>
                <w:color w:val="auto"/>
              </w:rPr>
            </w:pPr>
            <w:r>
              <w:rPr>
                <w:rFonts w:ascii="Arial" w:cs="Arial" w:eastAsia="Arial" w:hAnsi="Arial"/>
                <w:sz w:val="14"/>
                <w:szCs w:val="14"/>
                <w:b w:val="1"/>
                <w:bCs w:val="1"/>
                <w:color w:val="auto"/>
              </w:rPr>
              <w:t>Transfers</w:t>
            </w:r>
            <w:r>
              <w:rPr>
                <w:rFonts w:ascii="Arial" w:cs="Arial" w:eastAsia="Arial" w:hAnsi="Arial"/>
                <w:sz w:val="10"/>
                <w:szCs w:val="10"/>
                <w:b w:val="1"/>
                <w:bCs w:val="1"/>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Six months ended June 30, 2019</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2018</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gridSpan w:val="2"/>
          </w:tcPr>
          <w:p>
            <w:pPr>
              <w:spacing w:after="0"/>
              <w:rPr>
                <w:sz w:val="9"/>
                <w:szCs w:val="9"/>
                <w:color w:val="auto"/>
              </w:rPr>
            </w:pPr>
          </w:p>
        </w:tc>
        <w:tc>
          <w:tcPr>
            <w:tcW w:w="316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440" w:type="dxa"/>
            <w:vAlign w:val="bottom"/>
            <w:gridSpan w:val="5"/>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8. Property and Equipment</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gridSpan w:val="4"/>
          </w:tcPr>
          <w:p>
            <w:pPr>
              <w:ind w:left="640"/>
              <w:spacing w:after="0"/>
              <w:rPr>
                <w:sz w:val="20"/>
                <w:szCs w:val="20"/>
                <w:color w:val="auto"/>
              </w:rPr>
            </w:pPr>
            <w:r>
              <w:rPr>
                <w:rFonts w:ascii="Arial" w:cs="Arial" w:eastAsia="Arial" w:hAnsi="Arial"/>
                <w:sz w:val="18"/>
                <w:szCs w:val="18"/>
                <w:color w:val="auto"/>
              </w:rPr>
              <w:t>Property and equipment consist of the following:</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Land improvements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51,399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Buildings and leasehold improvements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11,144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90,421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8,456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2,132</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205,208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13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(88,436)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116,772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0"/>
        </w:trPr>
        <w:tc>
          <w:tcPr>
            <w:tcW w:w="3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Intangible Assets</w:t>
            </w: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20" w:type="dxa"/>
            <w:vAlign w:val="bottom"/>
            <w:gridSpan w:val="4"/>
          </w:tcPr>
          <w:p>
            <w:pPr>
              <w:ind w:left="640"/>
              <w:spacing w:after="0"/>
              <w:rPr>
                <w:sz w:val="20"/>
                <w:szCs w:val="20"/>
                <w:color w:val="auto"/>
              </w:rPr>
            </w:pPr>
            <w:r>
              <w:rPr>
                <w:rFonts w:ascii="Arial" w:cs="Arial" w:eastAsia="Arial" w:hAnsi="Arial"/>
                <w:sz w:val="18"/>
                <w:szCs w:val="18"/>
                <w:color w:val="auto"/>
              </w:rPr>
              <w:t>Amortizable intangible assets consist of the following as of:</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tcPr>
          <w:p>
            <w:pPr>
              <w:jc w:val="right"/>
              <w:ind w:right="265"/>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Estimated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Average Useful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Carrying</w:t>
            </w:r>
          </w:p>
        </w:tc>
        <w:tc>
          <w:tcPr>
            <w:tcW w:w="140" w:type="dxa"/>
            <w:vAlign w:val="bottom"/>
          </w:tcPr>
          <w:p>
            <w:pPr>
              <w:spacing w:after="0"/>
              <w:rPr>
                <w:sz w:val="12"/>
                <w:szCs w:val="12"/>
                <w:color w:val="auto"/>
              </w:rPr>
            </w:pPr>
          </w:p>
        </w:tc>
        <w:tc>
          <w:tcPr>
            <w:tcW w:w="1300" w:type="dxa"/>
            <w:vAlign w:val="bottom"/>
            <w:gridSpan w:val="6"/>
          </w:tcPr>
          <w:p>
            <w:pPr>
              <w:jc w:val="right"/>
              <w:ind w:right="340"/>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13"/>
              <w:spacing w:after="0" w:line="149"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Life (in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300" w:type="dxa"/>
            <w:vAlign w:val="bottom"/>
            <w:gridSpan w:val="6"/>
          </w:tcPr>
          <w:p>
            <w:pPr>
              <w:jc w:val="right"/>
              <w:ind w:right="340"/>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33"/>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University partner relationships</w:t>
            </w:r>
          </w:p>
        </w:tc>
        <w:tc>
          <w:tcPr>
            <w:tcW w:w="138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(3,734)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206,266</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jc w:val="right"/>
              <w:ind w:right="56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amortizable intangible assets,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(3,865)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206,415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168,381</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206,415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5460" w:type="dxa"/>
            <w:vAlign w:val="bottom"/>
            <w:vMerge w:val="restart"/>
          </w:tcPr>
          <w:p>
            <w:pPr>
              <w:jc w:val="right"/>
              <w:ind w:right="335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6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range from 3 months to 10 years. At lease inception, we determined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$1,507 and $781 for the six month period ended June 30, 2019 and 2018, respectively. The consolidated financial statements for years before January 1, 2019 are not presented on the same accounting basis with respect to leases. There was an immaterial amount of future lease obligations as of June 30, 2018. The majority of leases that existed for the six months ended June 30, 2018 were assigned to GCU in the Transaction that occurred on July 1, 2018.</w:t>
      </w:r>
    </w:p>
    <w:p>
      <w:pPr>
        <w:spacing w:after="0" w:line="16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of June 30, 2019, the Company had $2,193 of non-cancelable operating lease commitments, primarily for a classroom site location, that has not yet commenced. This operating lease will commence in 2019 with a lease term of 10 years. The Company’s weighted-average remaining lease term relating to its operating leases is 6.00 years, with a weighted-average discount rate of 4.4%. As of June 30, 2019, the Company had no financing leases.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June 30, 2019, by year and in the aggregate,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8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2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72"/>
              <w:spacing w:after="0"/>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2,824</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2022</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15,224</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6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6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Notes Payable and Other Noncurrent Liabilities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that together provide a credit facility of $325,000 comprised of a term loan facility of $243,750 and a revolving credit facility of $81,250,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As of June 30, 2019, the Company is in compliance with its debt covenants. The Company concluded that the amended and restated credit agreement is considered a loan modification. Accordingly, the Company allocated the costs paid to the bank consortium based on the borrowing dollars and has recorded an asset of $596 and a contra liability of $1,639, which are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related to our revolver and term loan, respectively, that is being amortized to interest expense over the five year maturity date. Additionally, the Company expensed $150 of third party costs in the first quarter related to this loan modification.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As of June 30,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4"/>
              </w:rPr>
              <w:t>Note payable, quarterly payment of $12,188 starting June 30, 2019; interest at 30 day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LIBOR plus 2.00% (4.44% at June 30, 2019) through January 22, 2024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230,060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5"/>
              </w:rPr>
              <w:t>Revolving line of credit; interest at 30 day LIBOR plus 2.0% (4.44% at June 30, 2019)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256,310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207,888</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880" w:type="dxa"/>
            <w:vAlign w:val="bottom"/>
            <w:gridSpan w:val="3"/>
          </w:tcPr>
          <w:p>
            <w:pPr>
              <w:ind w:left="640"/>
              <w:spacing w:after="0"/>
              <w:rPr>
                <w:sz w:val="20"/>
                <w:szCs w:val="20"/>
                <w:color w:val="auto"/>
              </w:rPr>
            </w:pPr>
            <w:r>
              <w:rPr>
                <w:rFonts w:ascii="Arial" w:cs="Arial" w:eastAsia="Arial" w:hAnsi="Arial"/>
                <w:sz w:val="18"/>
                <w:szCs w:val="18"/>
                <w:color w:val="auto"/>
                <w:w w:val="90"/>
              </w:rPr>
              <w:t>Payments due under the notes payable obligations are as follows as of June 30, 2019:</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has recorded the impact of this discrete tax item in its first quarter 2019 financials.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1" w:lineRule="exact"/>
        <w:rPr>
          <w:sz w:val="20"/>
          <w:szCs w:val="20"/>
          <w:color w:val="auto"/>
        </w:rPr>
      </w:pPr>
    </w:p>
    <w:p>
      <w:pPr>
        <w:jc w:val="center"/>
        <w:ind w:right="6640"/>
        <w:spacing w:after="0"/>
        <w:rPr>
          <w:sz w:val="20"/>
          <w:szCs w:val="20"/>
          <w:color w:val="auto"/>
        </w:rPr>
      </w:pPr>
      <w:r>
        <w:rPr>
          <w:rFonts w:ascii="Arial" w:cs="Arial" w:eastAsia="Arial" w:hAnsi="Arial"/>
          <w:sz w:val="16"/>
          <w:szCs w:val="16"/>
          <w:b w:val="1"/>
          <w:bCs w:val="1"/>
          <w:color w:val="auto"/>
        </w:rPr>
        <w:t>13. Share-Based Compensation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Incentive Plan</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June 30, 2019, 1,763 shares were available for grants under the 2017 Plan. All grants of equity incentives made after June 2017 have been made from the 2017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six months ended June 30, 2019, the Company granted 149 shares of common stock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six months ended June 30, 2019, the Company withheld 68 shares of common stock in lieu of taxes at a cost of $8,127 on the restricted stock vesting dates. In June 2019, following the annual stockholders meeting, the Company granted 3 shares of common stock to the non-employee members of the Company’s Board of Directors. The restricted shares granted to these directors have voting rights and best on the earlier of (a) the one year anniversary of the date of grant or (b) immediately prior to the following year’s annual stockholders’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3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2019</w:t>
            </w: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0" w:type="dxa"/>
            <w:vAlign w:val="bottom"/>
            <w:vMerge w:val="restart"/>
          </w:tcPr>
          <w:p>
            <w:pPr>
              <w:jc w:val="right"/>
              <w:ind w:right="2150"/>
              <w:spacing w:after="0"/>
              <w:rPr>
                <w:sz w:val="20"/>
                <w:szCs w:val="20"/>
                <w:color w:val="auto"/>
              </w:rPr>
            </w:pPr>
            <w:r>
              <w:rPr>
                <w:rFonts w:ascii="Arial" w:cs="Arial" w:eastAsia="Arial" w:hAnsi="Arial"/>
                <w:sz w:val="18"/>
                <w:szCs w:val="18"/>
                <w:color w:val="auto"/>
              </w:rPr>
              <w:t>23</w:t>
            </w: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2019, no options were granted. A summary of the activity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related to stock options granted under the Company’s Incentive Plan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6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Price per</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0"/>
                <w:szCs w:val="10"/>
                <w:b w:val="1"/>
                <w:bCs w:val="1"/>
                <w:color w:val="auto"/>
                <w:w w:val="96"/>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Forfeited, canceled or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1.62</w:t>
            </w:r>
          </w:p>
        </w:tc>
        <w:tc>
          <w:tcPr>
            <w:tcW w:w="1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6"/>
              </w:rPr>
              <w:t>$ 25,542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Exercisable as of June 30, 2019</w:t>
            </w: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3"/>
            <w:vMerge w:val="continue"/>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253</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15.76</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4"/>
              <w:spacing w:after="0" w:line="196"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7"/>
                <w:szCs w:val="17"/>
                <w:color w:val="auto"/>
              </w:rPr>
            </w:pPr>
          </w:p>
        </w:tc>
        <w:tc>
          <w:tcPr>
            <w:tcW w:w="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$ 25,542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520" w:hanging="331"/>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June 28, 2019 ($117.02) in excess of the exercise price multiplied by the number of shares underlying options outstanding or exercisable,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2019 and 2018 related to restricted stock and stock options granted: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Counseling support and services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r>
        <w:trPr>
          <w:trHeight w:val="210"/>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10"/>
        </w:trPr>
        <w:tc>
          <w:tcPr>
            <w:tcW w:w="2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Board of Directors has authorized the Company to repurchase up to $175,000 in aggregate of common stock, from time to time, depending on market conditions and other considerations. The expiration date on the repurchase authorization is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six months ended June 30, 2019 the Company repurchased 111 shares of common stock at an aggregate cost of $10,340. At June 30, 2019, there remained $77,762 available under its current share repurchase authorization.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78" w:lineRule="exact"/>
        <w:rPr>
          <w:sz w:val="20"/>
          <w:szCs w:val="20"/>
          <w:color w:val="auto"/>
        </w:rPr>
      </w:pPr>
    </w:p>
    <w:p>
      <w:pPr>
        <w:ind w:left="680" w:right="220" w:hanging="320"/>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680" w:right="60" w:hanging="320"/>
        <w:spacing w:after="0" w:line="286"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65" w:lineRule="exact"/>
        <w:rPr>
          <w:rFonts w:ascii="Arial" w:cs="Arial" w:eastAsia="Arial" w:hAnsi="Arial"/>
          <w:sz w:val="17"/>
          <w:szCs w:val="17"/>
          <w:color w:val="auto"/>
        </w:rPr>
      </w:pPr>
    </w:p>
    <w:p>
      <w:pPr>
        <w:ind w:left="680" w:right="220" w:hanging="320"/>
        <w:spacing w:after="0" w:line="312"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 party service provider or indirectly through our university partners, including Title IV of the Higher Education Act and the regulations thereunder, state laws and regulatory requirements, and accrediting commission requirements;</w:t>
      </w:r>
    </w:p>
    <w:p>
      <w:pPr>
        <w:spacing w:after="0" w:line="146" w:lineRule="exact"/>
        <w:rPr>
          <w:rFonts w:ascii="Arial" w:cs="Arial" w:eastAsia="Arial" w:hAnsi="Arial"/>
          <w:sz w:val="16"/>
          <w:szCs w:val="16"/>
          <w:color w:val="auto"/>
        </w:rPr>
      </w:pPr>
    </w:p>
    <w:p>
      <w:pPr>
        <w:ind w:left="680" w:right="540" w:hanging="320"/>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680" w:right="100" w:hanging="320"/>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1" w:lineRule="exact"/>
        <w:rPr>
          <w:rFonts w:ascii="Arial" w:cs="Arial" w:eastAsia="Arial" w:hAnsi="Arial"/>
          <w:sz w:val="18"/>
          <w:szCs w:val="18"/>
          <w:color w:val="auto"/>
        </w:rPr>
      </w:pPr>
    </w:p>
    <w:p>
      <w:pPr>
        <w:ind w:left="680" w:right="380" w:hanging="320"/>
        <w:spacing w:after="0" w:line="264"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181" w:lineRule="exact"/>
        <w:rPr>
          <w:rFonts w:ascii="Arial" w:cs="Arial" w:eastAsia="Arial" w:hAnsi="Arial"/>
          <w:sz w:val="18"/>
          <w:szCs w:val="18"/>
          <w:color w:val="auto"/>
        </w:rPr>
      </w:pPr>
    </w:p>
    <w:p>
      <w:pPr>
        <w:ind w:left="680" w:right="680" w:hanging="320"/>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680" w:right="26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680" w:right="28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the programs of our university partners;</w:t>
      </w:r>
    </w:p>
    <w:p>
      <w:pPr>
        <w:spacing w:after="0" w:line="225" w:lineRule="exact"/>
        <w:rPr>
          <w:rFonts w:ascii="Arial" w:cs="Arial" w:eastAsia="Arial" w:hAnsi="Arial"/>
          <w:sz w:val="18"/>
          <w:szCs w:val="18"/>
          <w:color w:val="auto"/>
        </w:rPr>
      </w:pPr>
    </w:p>
    <w:p>
      <w:pPr>
        <w:ind w:left="680" w:right="36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680" w:right="140" w:hanging="320"/>
        <w:spacing w:after="0" w:line="264"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1" w:lineRule="exact"/>
        <w:rPr>
          <w:rFonts w:ascii="Arial" w:cs="Arial" w:eastAsia="Arial" w:hAnsi="Arial"/>
          <w:sz w:val="18"/>
          <w:szCs w:val="18"/>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225" w:lineRule="exact"/>
        <w:rPr>
          <w:rFonts w:ascii="Arial" w:cs="Arial" w:eastAsia="Arial" w:hAnsi="Arial"/>
          <w:sz w:val="18"/>
          <w:szCs w:val="18"/>
          <w:color w:val="auto"/>
        </w:rPr>
      </w:pPr>
    </w:p>
    <w:p>
      <w:pPr>
        <w:ind w:left="680" w:right="8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2018,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July 1, 2018, the Company,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(“GCU”), an independent Arizona non-profit corporation formerly known as Gazelle University, (the “Transaction”) pursuant to the terms of an Asset Purchase Agreement (the “Asset Purchase Agreement”) between the Company and GCU. As a result of this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 See Note 2 to consolidated financial statement for a full description of the Transaction.</w:t>
      </w:r>
    </w:p>
    <w:p>
      <w:pPr>
        <w:spacing w:after="0" w:line="17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During the second half of 2018, GCE provided services to GCU, its sole university partner during 2018, that included technology and academic services, counseling services and support, marketing and communication services, and back office services such as financial aid processing, accounting, reporting, tax, human resources, and procurement services.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Thus, prior to July 1, 2018, the Company owned and operated the University. Accordingly, the results of operations discussed herein for the three month and six month periods ended June 30, 2018 reflect the Company’s operations prior to July 1, 2018 which were made up exclusively of the operations of the University. Commencing July 1, 2018, the Company’s results of operations, including for the three month and six month periods ended June 30, 2019, do not include the operations of GCU but rather reflect the operations of the Company as a service/technology provider.</w:t>
      </w:r>
    </w:p>
    <w:p>
      <w:pPr>
        <w:spacing w:after="0" w:line="15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Additionally, on January 22, 2019, GCE completed the acquisition of Orbis Education, an educational services company that supports healthcare education programs for 18 universities across the United States for $361.2 million, net of cash acquired (the “Acquisition”). See Note 3 to consolidated financial statements for a full description of the Acquisition. Therefore, the results of operations for the three and six month periods ended June 30, 2019 include Orbis Education’s financial results for the period from January 22, 2019 to June 30, 2019.</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Overview of Results</w:t>
      </w:r>
      <w:r>
        <w:rPr>
          <w:rFonts w:ascii="Arial" w:cs="Arial" w:eastAsia="Arial" w:hAnsi="Arial"/>
          <w:sz w:val="16"/>
          <w:szCs w:val="16"/>
          <w:color w:val="auto"/>
        </w:rPr>
        <w:t>. End-of-period enrollment in the programs at our university partners for which we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increased 11.4% between June 30, 2019 and June 30, 2018 to 90,906 from 81,620. This increase is due to partner enrollments in programs serviced by Orbis Education at June 30, 2019 of 3,316 and due to an increase in enrollments at GCU to 87,590, an increase of 7.3%. Ground enrollment at GCU, at June 30, 2019 and 2018 only includes traditional-aged students that are taking Summer school classes, which is a small percentage of GCU’s traditional-aged student body and professional studies students. The Spring semester for GCU’s traditional-aged student body ends near the end of April each year. Partner enrollments in programs serviced by Orbis Education were 2,473 at June 30, 2018. The increase in Orbis Education partner enrollments between years is primarily due to the increase in university partners and site locations between years. We believe the increase in GCU enrollments between years is due to the continued increase in its brand recognition and the value proposition that it affords to traditional-aged students and their parents and to working adult students. The 21.0% increase year over year in comparable service fee revenue for the six months ended June 30, 2019 and 2018 was primarily due to our Orbis Education acquisition on January 22, 2019 and the increase in GCU enrollments between years.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2018. During the six months ended June 30, 2019, there have been no significant changes in our critical accounting policies other than the Acquisition as discussed in Note 3 to the consolidated financial statements in Part I, Item 1, and the adoption of the new lease standard as discussed in Notes 4 and 10 to the consolidated financial statements in Part I, Item 1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University related expenses, amortization of intangible assets and the loss on Transaction have been excluded from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6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As reflected in the table above, the income statement data as a percentage of revenue is not comparable between periods. This is a result of a reduction in revenues associated with the Company transitioning to an education service provider as of July 1, 2018. As a result, the Company has also provided two additional tables to enhance comparability between periods by showing, on a comparable basis, the types of levels of operating expenses the Company currently incurs as compared to prior to the Transaction. The Company has calculated 60% of university related revenue for periods prior to July 1, 2018, as adjusted “Non-GAAP” net revenue, which is the percentage of GCU’s tuition and fee revenue to which the Company is entitled under the long-term master services agreement with GCU (the “Services Agreement”). The percentages set forth below for periods prior to July 1, 2018 have been derived by dividing the indicated expense by adjusted “Non-GAAP” net revenue. University related expenses and the Loss on Transaction have been excluded from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6"/>
          </w:tcPr>
          <w:p>
            <w:pPr>
              <w:jc w:val="center"/>
              <w:ind w:left="283"/>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ind w:right="16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jc w:val="right"/>
              <w:ind w:right="16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As Adjusted “Non-GAAP” net revenue</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Service revenue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$ 174,820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2"/>
              </w:rPr>
              <w:t>$ 372,107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revenue</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236,818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512,499</w:t>
            </w: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revenue</w:t>
            </w:r>
          </w:p>
        </w:tc>
        <w:tc>
          <w:tcPr>
            <w:tcW w:w="3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174,820</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236,818</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372,107</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512,499</w:t>
            </w: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60% of university related revenue</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142,091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307,499</w:t>
            </w: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Adjusted “Non-GAAP” net revenue</w:t>
            </w:r>
          </w:p>
        </w:tc>
        <w:tc>
          <w:tcPr>
            <w:tcW w:w="38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$ 174,820</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142,091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$ 372,107</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307,499</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8"/>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gridSpan w:val="2"/>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top w:val="single" w:sz="8" w:color="auto"/>
              <w:bottom w:val="single" w:sz="8" w:color="auto"/>
            </w:tcBorders>
            <w:gridSpan w:val="2"/>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As % of As Adjusted "Non-GAAP" Revenue</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1720" w:type="dxa"/>
            <w:vAlign w:val="bottom"/>
            <w:gridSpan w:val="7"/>
          </w:tcPr>
          <w:p>
            <w:pPr>
              <w:jc w:val="right"/>
              <w:ind w:right="14"/>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18"/>
                <w:szCs w:val="18"/>
                <w:color w:val="auto"/>
              </w:rPr>
            </w:pPr>
          </w:p>
        </w:tc>
        <w:tc>
          <w:tcPr>
            <w:tcW w:w="1420" w:type="dxa"/>
            <w:vAlign w:val="bottom"/>
            <w:gridSpan w:val="8"/>
          </w:tcPr>
          <w:p>
            <w:pPr>
              <w:jc w:val="right"/>
              <w:ind w:right="40"/>
              <w:spacing w:after="0"/>
              <w:rPr>
                <w:sz w:val="20"/>
                <w:szCs w:val="20"/>
                <w:color w:val="auto"/>
              </w:rPr>
            </w:pPr>
            <w:r>
              <w:rPr>
                <w:rFonts w:ascii="Arial" w:cs="Arial" w:eastAsia="Arial" w:hAnsi="Arial"/>
                <w:sz w:val="18"/>
                <w:szCs w:val="18"/>
                <w:color w:val="auto"/>
              </w:rPr>
              <w:t>7.5 %   11.1 %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1480" w:type="dxa"/>
            <w:vAlign w:val="bottom"/>
            <w:gridSpan w:val="6"/>
            <w:shd w:val="clear" w:color="auto" w:fill="CCEEFF"/>
          </w:tcPr>
          <w:p>
            <w:pPr>
              <w:jc w:val="right"/>
              <w:ind w:right="5"/>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1480" w:type="dxa"/>
            <w:vAlign w:val="bottom"/>
            <w:gridSpan w:val="6"/>
          </w:tcPr>
          <w:p>
            <w:pPr>
              <w:jc w:val="right"/>
              <w:ind w:right="5"/>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w w:val="87"/>
              </w:rPr>
              <w:t>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225"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i w:val="1"/>
          <w:iCs w:val="1"/>
          <w:color w:val="auto"/>
        </w:rPr>
        <w:t>Service revenue and University related revenue</w:t>
      </w:r>
      <w:r>
        <w:rPr>
          <w:rFonts w:ascii="Arial" w:cs="Arial" w:eastAsia="Arial" w:hAnsi="Arial"/>
          <w:sz w:val="17"/>
          <w:szCs w:val="17"/>
          <w:color w:val="auto"/>
        </w:rPr>
        <w:t>. Our service revenue for the three months ended June 30, 2019 was</w:t>
      </w:r>
      <w:r>
        <w:rPr>
          <w:rFonts w:ascii="Arial" w:cs="Arial" w:eastAsia="Arial" w:hAnsi="Arial"/>
          <w:sz w:val="17"/>
          <w:szCs w:val="17"/>
          <w:i w:val="1"/>
          <w:iCs w:val="1"/>
          <w:color w:val="auto"/>
        </w:rPr>
        <w:t xml:space="preserve"> </w:t>
      </w:r>
      <w:r>
        <w:rPr>
          <w:rFonts w:ascii="Arial" w:cs="Arial" w:eastAsia="Arial" w:hAnsi="Arial"/>
          <w:sz w:val="17"/>
          <w:szCs w:val="17"/>
          <w:color w:val="auto"/>
        </w:rPr>
        <w:t>$174.8 million compared to University related revenue of $236.8 million for the three months ended June 30, 2018. Commencing July 1, 2018, the results of our operations no longer include the operations of the University but rather reflect the operations of the Company as a service/technology provider with 19 university partners. As a service provider to GCU our largest university partner, the Company receives, as service revenue, 60% of GCU’s tuition and fee revenue and no longer has university related revenue, thus resulting in the decrease from the prior period. 60% of university related revenue for the three months ended June 30, 2018 was $142.1 million. The 23.0% increase year over year in comparable service fee revenue was primarily due to our Orbis Education acquisition on January 22, 2019 and an increase in GCU enrollments between years of 7.3%. Ground enrollment at GCU, only includes traditional-aged students that are taking Summer school classes, which is a small percentage of GCU’s traditional -aged student body and professional studies students. The Spring semester for GCU’s traditional-aged student body ends near the end of April each year. Partner enrollments in programs serviced by Orbis Education at June 30, 2019 was 3,316.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were $22.5 million, an increase of $11.8 million, or 111.0%, as compared to technology and academic services expenses of $10.7 million for the three months ended June 30, 2018. This increase was primarily attributable to the university partner agreements acquired in the Acquisition which require certain technology and academic services</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including headcount, as well as classroom facilities and equipment to be provided to each university partner. These costs along with the increased cost to service our primary university partner, GCU resulted in increases in employee compensation and related expenses including share-based compensation, in occupancy and depreciation including lease expenses, in technology and academic supply costs, and in other partner costs of $9.4 million, $1.6 million, $0.5 million, and $0.3 million, respectively. The increase in employee compensation and related expenses are primarily due to the increase in the number of staff needed to support our 19 university partners, and their increased enrollment growth, tenure based salary adjustments and an increase in benefit costs between years. Our technology and academic services expenses as a percentage of as adjusted non-GAAP net revenue increased 5.4% to 12.9% for the three months ended June 30, 2019, from 7.5% for the three months ended June 30, 2018 primarily due to the university partner agreements acquired requiring a higher level of technology and academic services than our agreement with GCU.</w:t>
      </w:r>
    </w:p>
    <w:p>
      <w:pPr>
        <w:spacing w:after="0" w:line="16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$54.3 million, an increase of $3.5 million, or 6.8%, as compared to counseling services and support expenses of $50.8 million for the three months ended June 30, 2018. This increase was primarily attributable to the university partner agreements acquired in the Acquisition which require certain counseling services and support, principally headcount to be provided to each university partner. These costs along with the increased cost to service our primary university partner, GCU, resulted in increases in employee compensation and related expenses including share-based compensation, in other counseling services and support related expenses, and in depreciation, amortization and occupancy costs of $2.9 million, $0.5 million and $0.1 million, respectively.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19 university partners. Our counseling services and support expenses as a percentage of as adjusted non-GAAP net revenue decreased 4.7% to 31.1% for the three months ended June 30, 2019, from 35.8% for the three months ended June 30, 2018 primarily due to the counseling services and support costs to service the acquired partner agreements being less as a percentage of revenue than the costs to service the GCU agreement and due to our ability to leverage our counseling services and support costs to service GCU across an increasing revenue base.</w:t>
      </w:r>
    </w:p>
    <w:p>
      <w:pPr>
        <w:spacing w:after="0" w:line="16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$35.7 million, an increase of $5.6 million, or 18.7%, as compared to marketing and communication expenses of $30.1 million for the three months ended June 30, 2018. This increase was primarily attributable to the partner agreements acquired in the Acquisition which require marketing of the university partners’ programs. These costs along with the increased cost to market GCU’s programs resulted in increased advertising of $4.7 million, employee compensation expenses and related expenses including share-based compensation of $0.8 million, and other communication expenses of $0.1 million. Our marketing and communication expenses as a percentage of as adjusted non-GAAP net revenue decreased by</w:t>
      </w:r>
    </w:p>
    <w:p>
      <w:pPr>
        <w:spacing w:after="0" w:line="3"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0.8% to 20.4% for the three months ended June 30, 2019, from 21.2% for the three months ended June 30, 2018 primarily due to our ability to leverage our marketing and communication costs across an increasing revenue base.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were $9.2 million, an increase of $3.4 million, or 60.0%, as compared to general and administrative expenses of $5.8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2018. This increase was primarily due to increases in employee compensation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including share-based compensation, in other administrative expenses, in occupancy and depreciation,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costs and in professional fees including audit and legal expenses of $2.3 million, $0.7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$0.2 million, and $0.2 million, respectively. Our increases in employee compensation, occupancy and depreciation,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costs are primarily related to the Acquisition, including additional headcount, and office space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 Our general and administrative expenses as a percentage of as adjusted non-GAAP net revenue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by 1.2% to 5.3% for the three months ended June 30, 2019, from 4.1% for the three months ended June 30,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increase in employee compensation, and office space, partially offset by our ability to leverage our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across an increasing revenue base.</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was $2.2 million and is related to the Acquisition of Orbis Education, which resulted in the creation of certain identifiable intangible assets that will be amortized over their expected lives.</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$0.1 million of transaction expenses were reversed in the three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GCU Transaction, a decrease of $1.5 million, as compared to the loss of $1.4 million related to the GCU Transaction for the three months ended June 30, 2018.</w:t>
      </w:r>
    </w:p>
    <w:p>
      <w:pPr>
        <w:spacing w:after="0" w:line="181"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i w:val="1"/>
          <w:iCs w:val="1"/>
          <w:color w:val="auto"/>
        </w:rPr>
        <w:t>University related expenses</w:t>
      </w:r>
      <w:r>
        <w:rPr>
          <w:rFonts w:ascii="Arial" w:cs="Arial" w:eastAsia="Arial" w:hAnsi="Arial"/>
          <w:sz w:val="16"/>
          <w:szCs w:val="16"/>
          <w:color w:val="auto"/>
        </w:rPr>
        <w:t>. Our university related expenses for the three months ended June 30, 2018 were $79.5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The expenses included in the three months ended June 30, 2018 represent university related expenses for activities that have now transferred to GCU and are not related to our current business activities as a service provider.</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(as defined below)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was $14.5 million. As a result of the Transaction with GCU on July 1, 2018, the Company recognizes interest income on its Secured Note with GCU and any additional funding for capital expenditures, earning interest at 6%, with monthly interest payments.</w:t>
      </w:r>
    </w:p>
    <w:p>
      <w:pPr>
        <w:spacing w:after="0" w:line="18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$2.9 million for the three months ended June 30, 2019, an increase of $2.8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interest expense of $0.1 million for the three months ended June 30, 2018. The increase in interest expense is primarily due to the Acquisition of Orbis Education, which resulted in a $190.1 million increase in our outstanding credit facility, a slightly higher interest rate on the credit facility, additional fees on a new revolving credit facility, and lower capitalized interest as compared to the same period in the prior year.</w:t>
      </w:r>
    </w:p>
    <w:p>
      <w:pPr>
        <w:spacing w:after="0" w:line="17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three months ended June 30, 2019 was $2.7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$1.1 million, as compared to $1.6 million in the three months ended June 30, 2018.</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June 30, 2019 was $14.1 million,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 or 1.2%, as compared to income tax expense of $14.0 million for the three months ended June 30, 2018. This increase is the result of a decrease in our effective tax rate, offset by an increase in our taxable income between periods. Our effective tax rate was 21.7% during the second quarter of 2019 compared to 23.3% during the second quarter of 2018. The decrease in the effective tax rate resulted from a recent law change with respect to Arizona state taxes, and an increase in excess tax benefits to $2.2 million from $1.2 million in the three months ended June 30, 2019 and 2018,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three months ended June 30, 2019 was $51.1 million, an increase of $5.1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$46.0 million for the three months ended June 30, 2018, due to the factors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for the six months ended June 30,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$372.1 million compared to University related revenue of $512.5 million for the six months ended June 30, 2018. Commencing July 1, 2018, the results of our operations no longer include the operations of the University but rather reflect the operations of the Company as a service/technology provider with 19 university partners. As a service provider to GCU our largest university partner, the Company receives, as service revenue, 60% of GCU’s tuition and fee revenue and no longer has university related revenue, thus resulting in the decrease from the prior period. 60% of university related revenue for the six months ended June 30, 2018 was $307.5 million. The 21.0% increase year over year in comparable service fee revenue was primarily due to our Orbis Education acquisition on January 22, 2019 and an increase in GCU enrollments between years of 7.3%. Ground enrollment at GCU, only includes traditional-aged students that are taking Summer school classes, which is a small percentage of GCU’s traditional -aged student body and professional studies students. The Spring semester for GCU’s traditional-aged student body ends near the end of April each year. Partner enrollments in programs serviced by Orbis Education at June 30, 2019 was 3,316. The partnership agreements that were acquired as part of the Acquisition generally generate a higher revenue per student than our agreement with GCU as these agreements generally have a higher percentage of service revenue, the partners have</w:t>
      </w:r>
    </w:p>
    <w:p>
      <w:pPr>
        <w:sectPr>
          <w:pgSz w:w="11900" w:h="16838" w:orient="portrait"/>
          <w:cols w:equalWidth="0" w:num="1">
            <w:col w:w="9040"/>
          </w:cols>
          <w:pgMar w:left="1420" w:top="517" w:right="14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higher tuition rates than GCU and the majority of these students are studying in the Accelerated Bachelor of Science in Nursing program so these students take on average more credits per semester.</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i w:val="1"/>
          <w:iCs w:val="1"/>
          <w:color w:val="auto"/>
        </w:rPr>
        <w:t>Technology and academic services</w:t>
      </w:r>
      <w:r>
        <w:rPr>
          <w:rFonts w:ascii="Arial" w:cs="Arial" w:eastAsia="Arial" w:hAnsi="Arial"/>
          <w:sz w:val="17"/>
          <w:szCs w:val="17"/>
          <w:color w:val="auto"/>
        </w:rPr>
        <w:t>. Our technology and academic services expenses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2019 were $41.2 million, an increase of $19.8 million, or 92.5%, as compared to technology and academic services expenses of $21.4 million for the six months ended June 30, 2018. This increase was primarily attributable to the university partner agreements acquired in the Acquisition which require certain technology and academic services including headcount, as well as classroom facilities and equipment to be provided to each university partner. These costs along with the increased cost to service our primary university partner, GCU resulted in increases in employee compensation and related expenses including share-based compensation, in occupancy and depreciation including lease expenses, in technology and academic supply costs and in other partner costs of $15.7 million, $2.5 million, $1.2 million and $0.4 million, respectively. The increase in employee compensation and related expenses are primarily due to the increase in the number of staff needed to support our 19 university partners, and their increased enrollment growth, tenure based salary adjustments and an increase in benefit costs between years. Our technology and academic services expenses as a percentage of as adjusted non-GAAP net revenue increased 4.1% to 11.1% for the six months ended June 30, 2019, from 7.0% for the six months ended June 30, 2018 primarily due to the university partner agreements acquired requiring a higher level of technology and academic services than our agreement with GCU.</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were $107.4 million, an increase of $5.8 million, or 5.7%, as compared to counseling services and support expenses of $101.6 million for the six months ended June 30, 2018. This increase was primarily attributable to the university partner agreements acquired in the Acquisition which require certain counseling services and support, principally headcount to be provided to each university partner. These costs along with the increased cost to service our primary university partner, GCU resulted in increases in employee compensation and related expenses including share-based compensation, and other counseling services and support related expenses, of $4.8 million and $1.2 million, respectively, partially offset by a slight decrease in depreciation, amortization and occupancy costs of $0.2 million.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19 university partners. Our counseling services and support expenses as a percentage of as adjusted non-GAAP net revenue decreased 4.1% to 28.9% for the six months ended June 30, 2019, from 33.0% for the six months ended June 30, 2018 primarily due to the counseling services and support costs to service the acquired partner agreements being less as a percentage of revenue than the costs to service the GCU agreement and due to our ability to leverage our counseling services and support costs to service GCU across an increasing revenue base.</w:t>
      </w:r>
    </w:p>
    <w:p>
      <w:pPr>
        <w:spacing w:after="0" w:line="18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$71.7 million, an increase of $13.1 million, or 22.3%, as compared to marketing and communication expenses of $58.6 million for the six months ended June 30, 2018. This increase was primarily attributable to the partner agreements acquired in the Acquisition which require marketing of the university partners’ programs. These costs along with the increased cost to market GCU’s programs resulted in increased advertising, in employee compensation and related expenses including share-based compensation, and in other communication expenses of $11.6 million, $1.4 million, and $0.1 million, respectively. Our marketing and communication expenses as a percentage of as adjusted non-GAAP net revenue increased by 0.2% to 19.3% for the six months ended June 30, 2019, from 19.1% for the six months ended June 30, 2018 primarily due to the advertising costs associated with marketing new university partners’ programs.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six months ended June 30, 2019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$20.6 million, an increase of $7.4 million, or 56.4%, as compared to general and administrative expenses of $13.2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June 30, 2018. This increase was primarily due to increases in employee compensation including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in professional fees, in other general and administrative costs, and in occupancy and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million, $2.6 million, $1.2 million, and $0.5 million, respectively. Our increases in employee compensation, occupancy,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other general and administrative costs are primarily related the Acquisition, including additional headcount,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office space in Indianapolis, Indiana. Our increase in professional fees is primarily related to a payment made to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outside provider that assisted us in obtaining a state tax refund with a favorable tax impact of $5.9 million in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2019 and higher legal fees. Our general and administrative expenses as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 percentage of as adjusted non-GAAP net revenue increased by 1.2% to 5.5% for the six months ended June 30, 2019, from 4.3% for the six months ended June 30, 2018 due to the increase in professional fees, employee compensation, and office space, partially offset by our ability to leverage our general and administrative expenses across an increasing revenue base.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six months ended June 30,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$3.9 million and is related to the Acquisition of Orbis Education, which resulted in the creation of certain identifiable intangible assets that will be amortized over their expected lives.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six months ended June 30, 2019 was $4.0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costs related to the Acquisition of Orbis Education, an increase of $2.0 million, as compared to the loss of $2.0 million related to the GCU Transaction for the six months ended June 30, 2018.</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University related expenses</w:t>
      </w:r>
      <w:r>
        <w:rPr>
          <w:rFonts w:ascii="Arial" w:cs="Arial" w:eastAsia="Arial" w:hAnsi="Arial"/>
          <w:sz w:val="17"/>
          <w:szCs w:val="17"/>
          <w:color w:val="auto"/>
        </w:rPr>
        <w:t>. Our university related expenses for the six months ended June 30, 2018 were $167.2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The expenses included in the six months ended June 30, 2018 represent university related expenses for activities that have now transferred to GCU and are not related to our current business activities as a service provider.</w:t>
      </w:r>
    </w:p>
    <w:p>
      <w:pPr>
        <w:spacing w:after="0" w:line="16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(as defined below)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was $28.2 million. As a result of the Transaction with GCU on July 1, 2018, the Company recognizes interest income on its Secured Note with GCU including borrowings made for capital expenditures, earning interest at 6%, with monthly interest payments.</w:t>
      </w:r>
    </w:p>
    <w:p>
      <w:pPr>
        <w:spacing w:after="0" w:line="187"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$5.5 million for the six months ended June 30, 2019, and increase of $5.1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interest expense of $0.4 million for the six months ended June 30, 2018. The increase in interest expense is primarily due to the Acquisition of Orbis Education, which resulted in a $190.1 million increase in our outstanding credit facility, a slightly higher interest rate on the credit facility, additional fees on a new revolving credit facility, and lower capitalized interest as compared to the same period in the prior year.</w:t>
      </w:r>
    </w:p>
    <w:p>
      <w:pPr>
        <w:spacing w:after="0" w:line="173"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six months ended June 30, 2019 was $3.8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$1.3 million, as compared to $2.5 million in the six months ended June 30, 2018.</w:t>
      </w:r>
    </w:p>
    <w:p>
      <w:pPr>
        <w:spacing w:after="0" w:line="14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six months ended June 30, 2019 was $25.6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$5.4 million, or 17.5%, as compared to income tax expense of $31.0 million for the six months ended June 30, 2018. This decrease is the result of a decrease in our effective tax rate and a slight decrease in our taxable income between periods. Our effective tax rate was 17.1% during the six months ended June 30, 2019 compared to 20.6% during the six months ended June 30, 2018. The decrease in the effective tax rate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In addition, in the second quarter of 2019, the effective tax rate was favorably impacted by a recent law change with respect to Arizona state taxes, and an increase in excess tax benefits to $6.8 million from $6.5 million in the six months ended June 30, 2019 and 2018,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7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Our net income for the six months ended June 30, 2019 was $124.4 million, an increase of $4.7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$119.7 million for the six months ended June 30, 2018, due to the factors discussed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740" w:firstLine="648"/>
        <w:spacing w:after="0" w:line="312"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During 2019, we financed our Acquisition of Orbis Education for $361.2 million, net of cash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 increase in our credit facility of $190.1 million and the use of $171.1 million of operating cash on hand. Our unrestricted cash and cash equivalents and investments were $80.0 million at June 30, 2019. As of June 30, 2019, we had $300,000 of restricted cash and cash equivalents, for pledged collateral for a newly acquired site lease.</w:t>
      </w:r>
    </w:p>
    <w:p>
      <w:pPr>
        <w:spacing w:after="0" w:line="154"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Concurrent with the closing of the Acquisition, we entered into an amended and restated credit agreement dated January 22, 2019 and two related amendments dated January 31, 2019 and dated February 1, 2019, that together provided a credit facility of $325.0 million comprised of a term loan facility of $243.8 million and a revolving credit facility of $81.3 million,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$6.3 million drawn under the revolver and cash on hand, were used to pay the purchase price in the Acquisition. Concurrent with the entry into the amended and restated credit agreement and the completion of the Acquisition, we repaid our existing term loan of $59.9 million and our cash collateral of $61.7 million was released.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 2018, in consideration for the transfer of assets under the Asset Purchase Agreement, we received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secured note from GCU in the initial principal amount of $870.1 million (the “Secured Note”). The Secured Note contains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customary commercial credit terms, including affirmative and negative covenants applicable to GCU, and provides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Secured Note bears interest at an annual rate of 6.0%, has a maturity date of June 30, 2025, and is secured by all of the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GCU. The Secured Note provides for GCU to make interest only payments during the term, with all principal and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unpaid interest due at maturity and also provides that we will loan additional amounts to GCU to fund approved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expenditures during the first three years of the term. Funding for capital expenditures for GCU since July 1, 2018 totals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$199.8 million as of June 30, 2019, which includes an advance of $99.0 million for estimated capital expenditures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end of 2019. Some amounts may be repaid during the six months remaining in the year ended December 31, 2019.</w:t>
      </w:r>
    </w:p>
    <w:p>
      <w:pPr>
        <w:spacing w:after="0" w:line="222"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Board of Directors has authorized the Company to repurchase up to an aggregate of $175.0 million of our common stock, from time to time, depending on market conditions and other considerations. The current expiration date on the repurchase authorization by our Board of Directors is December 31, 2019. Repurchases occur at the Company’s discretion.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three months ended June 30, 2019, 3,000 shares of common stock were repurchased by the Company. At June 30, 2019, there remains $77.8 million available under our share repurchase authorization.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six months ended June 30, 2019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$189.3 million as compared to $143.7 million for the six months ended June 30, 2018. The increase in cash generated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between the six months ended June 30, 2018 and the six months ended June 30, 2019 is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other working capital such as receivables from our university partners and deferred revenue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from being the owner-operator of GCU to being a service provider to 19 university partners. As a service provider,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generally receive our service fees from our university partners in arrears. This quarter GCU paid its estimated service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June prior to the quarter end resulting in an increase in operating cash flows for the six months ended June 30, 2019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$41.1 million.</w:t>
      </w:r>
    </w:p>
    <w:p>
      <w:pPr>
        <w:spacing w:after="0" w:line="21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used in investing activities was $485.8 million and $67.4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2019 and 2018, respectively. Our cash used in investing activities was primarily related to the Acquisition, the funding of capital expenditures to GCU, and the liquidation of short-term investments and capital expenditures. We paid $361.2 million, net of cash acquired, to acquire Orbis Education on January 22, 2019. Funding to GCU for capital expenditures during the first six months of 2019 totaled $169.8 million. Proceeds from investments, net of purchases of short term investments, was $55.1 million and $11.7 million for the six months ended June 30, 2019 and 2018, respectively. Capital expenditures were $9.7 million and $79.2 million for the six months ended June 30, 2019 and 2018, respectively. During the six-month period for 2019, capital expenditures primarily consisted of leasehold improvements and equipment for new partner locations, internally developed software, as well as purchases of computer equipment, other internal use software projects and furniture and equipment to support our increasing employee headcount. During the six-month period for 2018, capital expenditures primarily consisted of the University’s ground campus construction projects as well as purchases of computer equipment, other internal use software projects and furniture and equipment to support our increasing employee headcount.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financing activities was $180.5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2019. Net cash used in financing activities was $14.7 million for the six months ended June 30, 2018. During the six-month period for 2019, $270.0 million of proceeds was drawn on the credit facility, and the term loan balance of the prior credit agreement of $59.9 million was repaid along with $12.1 million of principal payments on the new credit facility. In addition, $2.4 million of debt issuance costs were incurred on the new credit facility and $8.1 million was used to purchase common shares withheld in lieu of income taxes resulting from the vesting of restricted share awards and $10.3 million was used to purchase treasury stock in accordance with the Company’s share repurchase program. Proceeds from the exercise of stock options of $3.4 million were received in the six months ended June 30, 2019. During the six-month period for 2018, $11.5 million was used to purchase common shares withheld in lieu of income taxes resulting from restricted share awards and $1.6 million was used to purchase treasury stock in accordance with the Company’s share repurchase program. Principal payments on notes payable and capital leases totaled $3.4 million, partially offset by proceeds from the exercise of stock options of $1.8 million.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following table sets forth, as of June 30, 2019, the aggregate amounts of GCE’s significant contractual obligations and commitments with definitive payment terms due in each of the periods presented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1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Lease liabilities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(1)</w:t>
            </w:r>
          </w:p>
        </w:tc>
        <w:tc>
          <w:tcPr>
            <w:tcW w:w="2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20" w:hanging="331"/>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30, 2019 or 2018. There can be no assurance that future inflation will not have an adverse impact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and financial condition.</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On February 27, 2013, we entered into an interest rate corridor to manage our 30 Day LIBOR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from the variable rate debt, which debt matures in December 2019. The corridor instrument, which hedges variable interest rate risk starting March 1, 2013 through December 20, 2019 with a notional amount of $56.7 million as of June 30, 2019,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pacing w:after="0" w:line="18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such as municipal mutual funds tied to various market indices, commercial paper rated at A1 or higher, certificates of deposit, and municipal bonds with a BBB rating or higher bearing variable interest rates, or individual bond coupon rates. Our future interest income may fall short of expectations due to changes in interest rates or we may suffer losses in principal if we are forced to sell securities that have declined in market value due to changes in interest rates. At June 30, 2019, a 10% increase or decrease in interest rates would not have a material impact on our future earnings, fair values, or cash flows. For information regarding our variable rate debt, see “Market risk”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2019,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Board of Directors has authorized the Company to repurchase up to an aggregate of $175.0 million of common stock, from time to time, depending on market conditions and other considerations. The current expiration date on the repurchase authorization is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June 30, 2019, we repurchased 3,000 shares of common stock. At June 30, 2019, there remains $77.8 million available under our share repurchase authorization.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gridSpan w:val="8"/>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April 1, 2019 – April 30, 2019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78,100,000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May 1, 2019 – May 31, 2019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June 1, 2019 – June 30, 2019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77,800,000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b w:val="1"/>
                <w:bCs w:val="1"/>
                <w:color w:val="auto"/>
              </w:rPr>
              <w:t>Tax Withholdings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April 1, 2019 – April 30, 2019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May 1, 2019 – May 31, 2019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June 1, 2019 – June 30, 2019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7"/>
        </w:trPr>
        <w:tc>
          <w:tcPr>
            <w:tcW w:w="4400" w:type="dxa"/>
            <w:vAlign w:val="bottom"/>
            <w:gridSpan w:val="10"/>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0" w:type="dxa"/>
            <w:vAlign w:val="bottom"/>
            <w:gridSpan w:val="10"/>
          </w:tcPr>
          <w:p>
            <w:pPr>
              <w:spacing w:after="0"/>
              <w:rPr>
                <w:sz w:val="20"/>
                <w:szCs w:val="20"/>
                <w:color w:val="auto"/>
              </w:rPr>
            </w:pPr>
            <w:r>
              <w:rPr>
                <w:rFonts w:ascii="Arial" w:cs="Arial" w:eastAsia="Arial" w:hAnsi="Arial"/>
                <w:sz w:val="18"/>
                <w:szCs w:val="18"/>
                <w:b w:val="1"/>
                <w:bCs w:val="1"/>
                <w:color w:val="auto"/>
              </w:rPr>
              <w:t>Item 4.  Mine Safety Disclosures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3800" w:type="dxa"/>
            <w:vAlign w:val="bottom"/>
            <w:gridSpan w:val="8"/>
          </w:tcPr>
          <w:p>
            <w:pPr>
              <w:ind w:left="8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gridSpan w:val="8"/>
          </w:tcPr>
          <w:p>
            <w:pPr>
              <w:ind w:left="60"/>
              <w:spacing w:after="0"/>
              <w:rPr>
                <w:sz w:val="20"/>
                <w:szCs w:val="20"/>
                <w:color w:val="auto"/>
              </w:rPr>
            </w:pPr>
            <w:r>
              <w:rPr>
                <w:rFonts w:ascii="Arial" w:cs="Arial" w:eastAsia="Arial" w:hAnsi="Arial"/>
                <w:sz w:val="18"/>
                <w:szCs w:val="18"/>
                <w:color w:val="auto"/>
              </w:rPr>
              <w:t>None.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800" w:type="dxa"/>
            <w:vAlign w:val="bottom"/>
            <w:gridSpan w:val="8"/>
          </w:tcPr>
          <w:p>
            <w:pPr>
              <w:ind w:left="80"/>
              <w:spacing w:after="0"/>
              <w:rPr>
                <w:sz w:val="20"/>
                <w:szCs w:val="20"/>
                <w:color w:val="auto"/>
              </w:rPr>
            </w:pPr>
            <w:r>
              <w:rPr>
                <w:rFonts w:ascii="Arial" w:cs="Arial" w:eastAsia="Arial" w:hAnsi="Arial"/>
                <w:sz w:val="18"/>
                <w:szCs w:val="18"/>
                <w:b w:val="1"/>
                <w:bCs w:val="1"/>
                <w:color w:val="auto"/>
              </w:rPr>
              <w:t>Exhibits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gridSpan w:val="8"/>
          </w:tcPr>
          <w:p>
            <w:pPr>
              <w:ind w:left="60"/>
              <w:spacing w:after="0"/>
              <w:rPr>
                <w:sz w:val="20"/>
                <w:szCs w:val="20"/>
                <w:color w:val="auto"/>
              </w:rPr>
            </w:pPr>
            <w:r>
              <w:rPr>
                <w:rFonts w:ascii="Arial" w:cs="Arial" w:eastAsia="Arial" w:hAnsi="Arial"/>
                <w:sz w:val="18"/>
                <w:szCs w:val="18"/>
                <w:color w:val="auto"/>
              </w:rPr>
              <w:t>(a)  Exhibits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Method of Filing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Borders>
              <w:top w:val="single" w:sz="8" w:color="auto"/>
            </w:tcBorders>
          </w:tcPr>
          <w:p>
            <w:pPr>
              <w:jc w:val="right"/>
              <w:ind w:right="270"/>
              <w:spacing w:after="0" w:line="170" w:lineRule="exact"/>
              <w:rPr>
                <w:sz w:val="20"/>
                <w:szCs w:val="20"/>
                <w:color w:val="auto"/>
              </w:rPr>
            </w:pPr>
            <w:r>
              <w:rPr>
                <w:rFonts w:ascii="Arial" w:cs="Arial" w:eastAsia="Arial" w:hAnsi="Arial"/>
                <w:sz w:val="18"/>
                <w:szCs w:val="18"/>
                <w:color w:val="auto"/>
                <w:w w:val="79"/>
              </w:rPr>
              <w:t>3.1</w:t>
            </w:r>
          </w:p>
        </w:tc>
        <w:tc>
          <w:tcPr>
            <w:tcW w:w="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auto"/>
            </w:tcBorders>
            <w:gridSpan w:val="7"/>
          </w:tcPr>
          <w:p>
            <w:pPr>
              <w:spacing w:after="0" w:line="170"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Amended and Restated Certificate of Incorporation</w:t>
              </w:r>
            </w:hyperlink>
          </w:p>
        </w:tc>
        <w:tc>
          <w:tcPr>
            <w:tcW w:w="180" w:type="dxa"/>
            <w:vAlign w:val="bottom"/>
          </w:tcPr>
          <w:p>
            <w:pPr>
              <w:spacing w:after="0"/>
              <w:rPr>
                <w:sz w:val="14"/>
                <w:szCs w:val="14"/>
                <w:color w:val="auto"/>
              </w:rPr>
            </w:pPr>
          </w:p>
        </w:tc>
        <w:tc>
          <w:tcPr>
            <w:tcW w:w="3900" w:type="dxa"/>
            <w:vAlign w:val="bottom"/>
            <w:tcBorders>
              <w:top w:val="single" w:sz="8" w:color="auto"/>
            </w:tcBorders>
            <w:gridSpan w:val="9"/>
          </w:tcPr>
          <w:p>
            <w:pPr>
              <w:spacing w:after="0" w:line="170" w:lineRule="exact"/>
              <w:rPr>
                <w:sz w:val="20"/>
                <w:szCs w:val="20"/>
                <w:color w:val="auto"/>
              </w:rPr>
            </w:pPr>
            <w:r>
              <w:rPr>
                <w:rFonts w:ascii="Arial" w:cs="Arial" w:eastAsia="Arial" w:hAnsi="Arial"/>
                <w:sz w:val="18"/>
                <w:szCs w:val="18"/>
                <w:color w:val="auto"/>
              </w:rPr>
              <w:t>Incorporated by reference to Exhibit 3.1 to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(as amended).</w:t>
              </w:r>
            </w:hyperlink>
          </w:p>
        </w:tc>
        <w:tc>
          <w:tcPr>
            <w:tcW w:w="4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gridSpan w:val="9"/>
          </w:tcPr>
          <w:p>
            <w:pPr>
              <w:spacing w:after="0" w:line="196" w:lineRule="exact"/>
              <w:rPr>
                <w:sz w:val="20"/>
                <w:szCs w:val="20"/>
                <w:color w:val="auto"/>
              </w:rPr>
            </w:pPr>
            <w:r>
              <w:rPr>
                <w:rFonts w:ascii="Arial" w:cs="Arial" w:eastAsia="Arial" w:hAnsi="Arial"/>
                <w:sz w:val="18"/>
                <w:szCs w:val="18"/>
                <w:color w:val="auto"/>
                <w:w w:val="96"/>
              </w:rPr>
              <w:t>Company’s Annual Report on Form 10-K filed 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the SEC on February 20,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6"/>
          </w:tcPr>
          <w:p>
            <w:pPr>
              <w:spacing w:after="0"/>
              <w:rPr>
                <w:rFonts w:ascii="Arial" w:cs="Arial" w:eastAsia="Arial" w:hAnsi="Arial"/>
                <w:sz w:val="18"/>
                <w:szCs w:val="18"/>
                <w:color w:val="0000EE"/>
              </w:rPr>
            </w:pPr>
            <w:hyperlink r:id="rId52">
              <w:r>
                <w:rPr>
                  <w:rFonts w:ascii="Arial" w:cs="Arial" w:eastAsia="Arial" w:hAnsi="Arial"/>
                  <w:sz w:val="18"/>
                  <w:szCs w:val="18"/>
                  <w:color w:val="0000EE"/>
                </w:rPr>
                <w:t>Third Amended and Restated Bylaws.</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9"/>
          </w:tcPr>
          <w:p>
            <w:pPr>
              <w:spacing w:after="0"/>
              <w:rPr>
                <w:sz w:val="20"/>
                <w:szCs w:val="20"/>
                <w:color w:val="auto"/>
              </w:rPr>
            </w:pPr>
            <w:r>
              <w:rPr>
                <w:rFonts w:ascii="Arial" w:cs="Arial" w:eastAsia="Arial" w:hAnsi="Arial"/>
                <w:sz w:val="18"/>
                <w:szCs w:val="18"/>
                <w:color w:val="auto"/>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9"/>
          </w:tcPr>
          <w:p>
            <w:pPr>
              <w:spacing w:after="0"/>
              <w:rPr>
                <w:sz w:val="20"/>
                <w:szCs w:val="20"/>
                <w:color w:val="auto"/>
              </w:rPr>
            </w:pPr>
            <w:r>
              <w:rPr>
                <w:rFonts w:ascii="Arial" w:cs="Arial" w:eastAsia="Arial" w:hAnsi="Arial"/>
                <w:sz w:val="18"/>
                <w:szCs w:val="18"/>
                <w:color w:val="auto"/>
                <w:w w:val="98"/>
              </w:rPr>
              <w:t>Company’s Current Report on Form 8-K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the SEC on October 29, 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6"/>
          </w:tcPr>
          <w:p>
            <w:pPr>
              <w:spacing w:after="0"/>
              <w:rPr>
                <w:rFonts w:ascii="Arial" w:cs="Arial" w:eastAsia="Arial" w:hAnsi="Arial"/>
                <w:sz w:val="18"/>
                <w:szCs w:val="18"/>
                <w:color w:val="0000EE"/>
              </w:rPr>
            </w:pPr>
            <w:hyperlink r:id="rId53">
              <w:r>
                <w:rPr>
                  <w:rFonts w:ascii="Arial" w:cs="Arial" w:eastAsia="Arial" w:hAnsi="Arial"/>
                  <w:sz w:val="18"/>
                  <w:szCs w:val="18"/>
                  <w:color w:val="0000EE"/>
                </w:rPr>
                <w:t>Specimen of Stock Certificate.</w:t>
              </w:r>
            </w:hyperlink>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9"/>
          </w:tcPr>
          <w:p>
            <w:pPr>
              <w:spacing w:after="0"/>
              <w:rPr>
                <w:sz w:val="20"/>
                <w:szCs w:val="20"/>
                <w:color w:val="auto"/>
              </w:rPr>
            </w:pPr>
            <w:r>
              <w:rPr>
                <w:rFonts w:ascii="Arial" w:cs="Arial" w:eastAsia="Arial" w:hAnsi="Arial"/>
                <w:sz w:val="18"/>
                <w:szCs w:val="18"/>
                <w:color w:val="auto"/>
              </w:rPr>
              <w:t>Incorporated by reference to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9"/>
          </w:tcPr>
          <w:p>
            <w:pPr>
              <w:spacing w:after="0"/>
              <w:rPr>
                <w:sz w:val="20"/>
                <w:szCs w:val="20"/>
                <w:color w:val="auto"/>
              </w:rPr>
            </w:pPr>
            <w:r>
              <w:rPr>
                <w:rFonts w:ascii="Arial" w:cs="Arial" w:eastAsia="Arial" w:hAnsi="Arial"/>
                <w:sz w:val="18"/>
                <w:szCs w:val="18"/>
                <w:color w:val="auto"/>
                <w:w w:val="99"/>
              </w:rPr>
              <w:t>Amendment No. 2 to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9"/>
          </w:tcPr>
          <w:p>
            <w:pPr>
              <w:spacing w:after="0"/>
              <w:rPr>
                <w:sz w:val="20"/>
                <w:szCs w:val="20"/>
                <w:color w:val="auto"/>
              </w:rPr>
            </w:pPr>
            <w:r>
              <w:rPr>
                <w:rFonts w:ascii="Arial" w:cs="Arial" w:eastAsia="Arial" w:hAnsi="Arial"/>
                <w:sz w:val="18"/>
                <w:szCs w:val="18"/>
                <w:color w:val="auto"/>
              </w:rPr>
              <w:t>Statement on Form S-1 filed with the SEC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September 29, 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Principal Executive Officer pursuant</w:t>
              </w:r>
            </w:hyperlink>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38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to Rules 13a14(a) and 15d14(a), as adopted pursuant</w:t>
              </w:r>
            </w:hyperlink>
          </w:p>
        </w:tc>
        <w:tc>
          <w:tcPr>
            <w:tcW w:w="100" w:type="dxa"/>
            <w:vAlign w:val="bottom"/>
          </w:tcPr>
          <w:p>
            <w:pPr>
              <w:spacing w:after="0"/>
              <w:rPr>
                <w:sz w:val="17"/>
                <w:szCs w:val="17"/>
                <w:color w:val="auto"/>
              </w:rPr>
            </w:pPr>
          </w:p>
        </w:tc>
        <w:tc>
          <w:tcPr>
            <w:tcW w:w="1220" w:type="dxa"/>
            <w:vAlign w:val="bottom"/>
          </w:tcPr>
          <w:p>
            <w:pPr>
              <w:ind w:left="140"/>
              <w:spacing w:after="0" w:line="196" w:lineRule="exact"/>
              <w:rPr>
                <w:sz w:val="20"/>
                <w:szCs w:val="20"/>
                <w:color w:val="auto"/>
              </w:rPr>
            </w:pPr>
            <w:r>
              <w:rPr>
                <w:rFonts w:ascii="Arial" w:cs="Arial" w:eastAsia="Arial" w:hAnsi="Arial"/>
                <w:sz w:val="18"/>
                <w:szCs w:val="18"/>
                <w:color w:val="auto"/>
                <w:w w:val="90"/>
              </w:rPr>
              <w:t>Filed herewith.</w:t>
            </w:r>
          </w:p>
        </w:tc>
      </w:tr>
      <w:tr>
        <w:trPr>
          <w:trHeight w:val="196"/>
        </w:trPr>
        <w:tc>
          <w:tcPr>
            <w:tcW w:w="1100" w:type="dxa"/>
            <w:vAlign w:val="bottom"/>
          </w:tcPr>
          <w:p>
            <w:pPr>
              <w:spacing w:after="0"/>
              <w:rPr>
                <w:sz w:val="17"/>
                <w:szCs w:val="17"/>
                <w:color w:val="auto"/>
              </w:rPr>
            </w:pPr>
          </w:p>
        </w:tc>
        <w:tc>
          <w:tcPr>
            <w:tcW w:w="3920" w:type="dxa"/>
            <w:vAlign w:val="bottom"/>
            <w:gridSpan w:val="7"/>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to Section 302 of the Sarbanes-Oxley Act of 2002.</w:t>
              </w:r>
            </w:hyperlink>
          </w:p>
        </w:tc>
        <w:tc>
          <w:tcPr>
            <w:tcW w:w="12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6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37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Certification of Principal Financial Officer pursuant</w:t>
              </w:r>
            </w:hyperlink>
          </w:p>
        </w:tc>
        <w:tc>
          <w:tcPr>
            <w:tcW w:w="16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to Rules 13a14(a) and 15d14(a), as adopted pursuant</w:t>
              </w:r>
            </w:hyperlink>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20" w:type="dxa"/>
            <w:vAlign w:val="bottom"/>
            <w:gridSpan w:val="7"/>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to Section 302 of the Sarbanes-Oxley Act of 2002.</w:t>
              </w:r>
            </w:hyperlink>
          </w:p>
        </w:tc>
        <w:tc>
          <w:tcPr>
            <w:tcW w:w="1220" w:type="dxa"/>
            <w:vAlign w:val="bottom"/>
          </w:tcPr>
          <w:p>
            <w:pPr>
              <w:ind w:left="14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100" w:type="dxa"/>
            <w:vAlign w:val="bottom"/>
          </w:tcPr>
          <w:p>
            <w:pPr>
              <w:spacing w:after="0" w:line="20" w:lineRule="exact"/>
              <w:rPr>
                <w:sz w:val="1"/>
                <w:szCs w:val="1"/>
                <w:color w:val="auto"/>
              </w:rPr>
            </w:pPr>
          </w:p>
        </w:tc>
        <w:tc>
          <w:tcPr>
            <w:tcW w:w="36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38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Certification of Principal Executive Officer pursuant</w:t>
              </w:r>
            </w:hyperlink>
          </w:p>
        </w:tc>
        <w:tc>
          <w:tcPr>
            <w:tcW w:w="12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6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to 18 U.S.C. Section 1350, as adopted pursuant to</w:t>
              </w:r>
            </w:hyperlink>
          </w:p>
        </w:tc>
        <w:tc>
          <w:tcPr>
            <w:tcW w:w="280" w:type="dxa"/>
            <w:vAlign w:val="bottom"/>
            <w:gridSpan w:val="6"/>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20" w:type="dxa"/>
            <w:vAlign w:val="bottom"/>
            <w:gridSpan w:val="7"/>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Section 906 of the Sarbanes-Oxley Act of 2002. ††</w:t>
              </w:r>
            </w:hyperlink>
          </w:p>
        </w:tc>
        <w:tc>
          <w:tcPr>
            <w:tcW w:w="1220" w:type="dxa"/>
            <w:vAlign w:val="bottom"/>
          </w:tcPr>
          <w:p>
            <w:pPr>
              <w:ind w:left="14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110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3920" w:type="dxa"/>
            <w:vAlign w:val="bottom"/>
            <w:gridSpan w:val="7"/>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Certification of Principal Financial Officer pursuant</w:t>
              </w:r>
            </w:hyperlink>
          </w:p>
        </w:tc>
        <w:tc>
          <w:tcPr>
            <w:tcW w:w="12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3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to 18 U.S.C. Section 1350, as adopted pursuant to</w:t>
              </w:r>
            </w:hyperlink>
          </w:p>
        </w:tc>
        <w:tc>
          <w:tcPr>
            <w:tcW w:w="100" w:type="dxa"/>
            <w:vAlign w:val="bottom"/>
            <w:tcBorders>
              <w:top w:val="single" w:sz="8" w:color="0000EE"/>
            </w:tcBorders>
            <w:gridSpan w:val="2"/>
          </w:tcPr>
          <w:p>
            <w:pPr>
              <w:spacing w:after="0"/>
              <w:rPr>
                <w:sz w:val="17"/>
                <w:szCs w:val="17"/>
                <w:color w:val="auto"/>
              </w:rPr>
            </w:pPr>
          </w:p>
        </w:tc>
        <w:tc>
          <w:tcPr>
            <w:tcW w:w="180" w:type="dxa"/>
            <w:vAlign w:val="bottom"/>
            <w:gridSpan w:val="4"/>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920" w:type="dxa"/>
            <w:vAlign w:val="bottom"/>
            <w:gridSpan w:val="7"/>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Section 906 of the Sarbanes-Oxley Act of 2002. ††</w:t>
              </w:r>
            </w:hyperlink>
          </w:p>
        </w:tc>
        <w:tc>
          <w:tcPr>
            <w:tcW w:w="1220" w:type="dxa"/>
            <w:vAlign w:val="bottom"/>
          </w:tcPr>
          <w:p>
            <w:pPr>
              <w:ind w:left="140"/>
              <w:spacing w:after="0" w:line="196" w:lineRule="exact"/>
              <w:rPr>
                <w:sz w:val="20"/>
                <w:szCs w:val="20"/>
                <w:color w:val="auto"/>
              </w:rPr>
            </w:pPr>
            <w:r>
              <w:rPr>
                <w:rFonts w:ascii="Arial" w:cs="Arial" w:eastAsia="Arial" w:hAnsi="Arial"/>
                <w:sz w:val="18"/>
                <w:szCs w:val="18"/>
                <w:color w:val="auto"/>
                <w:w w:val="90"/>
              </w:rPr>
              <w:t>Filed herewith.</w:t>
            </w:r>
          </w:p>
        </w:tc>
      </w:tr>
      <w:tr>
        <w:trPr>
          <w:trHeight w:val="438"/>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36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240" w:type="dxa"/>
            <w:vAlign w:val="bottom"/>
            <w:gridSpan w:val="5"/>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gridSpan w:val="7"/>
          </w:tcPr>
          <w:p>
            <w:pPr>
              <w:spacing w:after="0"/>
              <w:rPr>
                <w:sz w:val="20"/>
                <w:szCs w:val="20"/>
                <w:color w:val="auto"/>
              </w:rPr>
            </w:pPr>
            <w:r>
              <w:rPr>
                <w:rFonts w:ascii="Arial" w:cs="Arial" w:eastAsia="Arial" w:hAnsi="Arial"/>
                <w:sz w:val="18"/>
                <w:szCs w:val="18"/>
                <w:color w:val="auto"/>
                <w:w w:val="99"/>
              </w:rPr>
              <w:t>XBRL Taxonomy Extension Calculation Linkbase</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gridSpan w:val="7"/>
          </w:tcPr>
          <w:p>
            <w:pPr>
              <w:spacing w:after="0"/>
              <w:rPr>
                <w:sz w:val="20"/>
                <w:szCs w:val="20"/>
                <w:color w:val="auto"/>
              </w:rPr>
            </w:pPr>
            <w:r>
              <w:rPr>
                <w:rFonts w:ascii="Arial" w:cs="Arial" w:eastAsia="Arial" w:hAnsi="Arial"/>
                <w:sz w:val="18"/>
                <w:szCs w:val="18"/>
                <w:color w:val="auto"/>
                <w:w w:val="96"/>
              </w:rPr>
              <w:t>XBRL Taxonomy Extension Presentation Linkbase</w:t>
            </w:r>
          </w:p>
        </w:tc>
        <w:tc>
          <w:tcPr>
            <w:tcW w:w="1220" w:type="dxa"/>
            <w:vAlign w:val="bottom"/>
          </w:tcPr>
          <w:p>
            <w:pPr>
              <w:ind w:left="14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82" w:lineRule="exact"/>
        <w:rPr>
          <w:sz w:val="20"/>
          <w:szCs w:val="20"/>
          <w:color w:val="auto"/>
        </w:rPr>
      </w:pPr>
    </w:p>
    <w:p>
      <w:pPr>
        <w:ind w:left="340" w:right="19" w:hanging="331"/>
        <w:spacing w:after="0" w:line="312"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August 6, 2019</w:t>
            </w: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By: /s/ Daniel E. Bachus</w:t>
            </w:r>
          </w:p>
        </w:tc>
      </w:tr>
      <w:tr>
        <w:trPr>
          <w:trHeight w:val="20"/>
        </w:trPr>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r>
        <w:trPr>
          <w:trHeight w:val="182"/>
        </w:trPr>
        <w:tc>
          <w:tcPr>
            <w:tcW w:w="3080" w:type="dxa"/>
            <w:vAlign w:val="bottom"/>
          </w:tcPr>
          <w:p>
            <w:pPr>
              <w:spacing w:after="0"/>
              <w:rPr>
                <w:sz w:val="15"/>
                <w:szCs w:val="15"/>
                <w:color w:val="auto"/>
              </w:rPr>
            </w:pPr>
          </w:p>
        </w:tc>
        <w:tc>
          <w:tcPr>
            <w:tcW w:w="5980" w:type="dxa"/>
            <w:vAlign w:val="bottom"/>
            <w:gridSpan w:val="2"/>
          </w:tcPr>
          <w:p>
            <w:pPr>
              <w:ind w:left="154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3080" w:type="dxa"/>
            <w:vAlign w:val="bottom"/>
          </w:tcPr>
          <w:p>
            <w:pPr>
              <w:spacing w:after="0"/>
              <w:rPr>
                <w:sz w:val="18"/>
                <w:szCs w:val="18"/>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Chief Financial Officer</w:t>
            </w:r>
          </w:p>
        </w:tc>
      </w:tr>
      <w:tr>
        <w:trPr>
          <w:trHeight w:val="216"/>
        </w:trPr>
        <w:tc>
          <w:tcPr>
            <w:tcW w:w="3080" w:type="dxa"/>
            <w:vAlign w:val="bottom"/>
          </w:tcPr>
          <w:p>
            <w:pPr>
              <w:spacing w:after="0"/>
              <w:rPr>
                <w:sz w:val="18"/>
                <w:szCs w:val="18"/>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(Principal Financial Officer and Principal Accounting</w:t>
            </w:r>
          </w:p>
        </w:tc>
      </w:tr>
      <w:tr>
        <w:trPr>
          <w:trHeight w:val="230"/>
        </w:trPr>
        <w:tc>
          <w:tcPr>
            <w:tcW w:w="3080" w:type="dxa"/>
            <w:vAlign w:val="bottom"/>
          </w:tcPr>
          <w:p>
            <w:pPr>
              <w:spacing w:after="0"/>
              <w:rPr>
                <w:sz w:val="20"/>
                <w:szCs w:val="20"/>
                <w:color w:val="auto"/>
              </w:rPr>
            </w:pPr>
          </w:p>
        </w:tc>
        <w:tc>
          <w:tcPr>
            <w:tcW w:w="5980" w:type="dxa"/>
            <w:vAlign w:val="bottom"/>
            <w:gridSpan w:val="2"/>
          </w:tcPr>
          <w:p>
            <w:pPr>
              <w:ind w:left="154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00" w:hanging="177"/>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2019 of Grand Canyon Education, Inc.;</w:t>
      </w:r>
    </w:p>
    <w:p>
      <w:pPr>
        <w:spacing w:after="0" w:line="236" w:lineRule="exact"/>
        <w:rPr>
          <w:rFonts w:ascii="Arial" w:cs="Arial" w:eastAsia="Arial" w:hAnsi="Arial"/>
          <w:sz w:val="17"/>
          <w:szCs w:val="17"/>
          <w:color w:val="auto"/>
        </w:rPr>
      </w:pPr>
    </w:p>
    <w:p>
      <w:pPr>
        <w:ind w:right="80" w:firstLine="323"/>
        <w:spacing w:after="0" w:line="264" w:lineRule="auto"/>
        <w:tabs>
          <w:tab w:leader="none" w:pos="5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August 6,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00" w:hanging="177"/>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2019 of Grand Canyon Education, Inc.;</w:t>
      </w:r>
    </w:p>
    <w:p>
      <w:pPr>
        <w:spacing w:after="0" w:line="236" w:lineRule="exact"/>
        <w:rPr>
          <w:rFonts w:ascii="Arial" w:cs="Arial" w:eastAsia="Arial" w:hAnsi="Arial"/>
          <w:sz w:val="17"/>
          <w:szCs w:val="17"/>
          <w:color w:val="auto"/>
        </w:rPr>
      </w:pPr>
    </w:p>
    <w:p>
      <w:pPr>
        <w:ind w:right="80" w:firstLine="323"/>
        <w:spacing w:after="0" w:line="264"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40" w:firstLine="323"/>
        <w:spacing w:after="0" w:line="264"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120" w:firstLine="323"/>
        <w:spacing w:after="0" w:line="264"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40" w:firstLine="518"/>
        <w:spacing w:after="0" w:line="286" w:lineRule="auto"/>
        <w:tabs>
          <w:tab w:leader="none" w:pos="703"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280" w:firstLine="518"/>
        <w:spacing w:after="0" w:line="264" w:lineRule="auto"/>
        <w:tabs>
          <w:tab w:leader="none" w:pos="7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518"/>
        <w:spacing w:after="0" w:line="264" w:lineRule="auto"/>
        <w:tabs>
          <w:tab w:leader="none" w:pos="70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20" w:firstLine="518"/>
        <w:spacing w:after="0" w:line="264" w:lineRule="auto"/>
        <w:tabs>
          <w:tab w:leader="none" w:pos="7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80" w:firstLine="323"/>
        <w:spacing w:after="0" w:line="264" w:lineRule="auto"/>
        <w:tabs>
          <w:tab w:leader="none" w:pos="5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140" w:firstLine="518"/>
        <w:spacing w:after="0" w:line="342" w:lineRule="auto"/>
        <w:tabs>
          <w:tab w:leader="none" w:pos="703"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140" w:firstLine="518"/>
        <w:spacing w:after="0" w:line="277" w:lineRule="auto"/>
        <w:tabs>
          <w:tab w:leader="none" w:pos="7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Date: August 6,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77"/>
        </w:trPr>
        <w:tc>
          <w:tcPr>
            <w:tcW w:w="5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12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2019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Brian E. Mueller</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1" w:right="18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2019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21" w:right="260" w:hanging="321"/>
        <w:spacing w:after="0" w:line="277" w:lineRule="auto"/>
        <w:tabs>
          <w:tab w:leader="none" w:pos="3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21" w:right="20" w:hanging="321"/>
        <w:spacing w:after="0" w:line="277" w:lineRule="auto"/>
        <w:tabs>
          <w:tab w:leader="none" w:pos="3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August 6,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/s/ Daniel E. Bachus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388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1" Type="http://schemas.openxmlformats.org/officeDocument/2006/relationships/hyperlink" Target="http://www.sec.gov/Archives/edgar/data/1434588/000155837019000782/lope-20181231ex31395dfc9.htm" TargetMode="External"/><Relationship Id="rId52" Type="http://schemas.openxmlformats.org/officeDocument/2006/relationships/hyperlink" Target="http://www.sec.gov/Archives/edgar/data/1434588/000119312514387149/d812440dex31.htm" TargetMode="External"/><Relationship Id="rId53"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2019-12-28T08:36:53Z</dcterms:created>
  <dcterms:modified xsi:type="dcterms:W3CDTF">2019-12-28T08:36:53Z</dcterms:modified>
</cp:coreProperties>
</file>