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13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135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Buse Staci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302"/>
              <w:spacing w:after="0"/>
              <w:rPr>
                <w:sz w:val="20"/>
                <w:szCs w:val="20"/>
                <w:color w:val="auto"/>
              </w:rPr>
            </w:pPr>
            <w:r>
              <w:rPr>
                <w:rFonts w:ascii="Arial" w:cs="Arial" w:eastAsia="Arial" w:hAnsi="Arial"/>
                <w:sz w:val="18"/>
                <w:szCs w:val="18"/>
                <w:color w:val="0000FF"/>
              </w:rPr>
              <w:t>3,059,476</w:t>
            </w:r>
            <w:r>
              <w:rPr>
                <w:rFonts w:ascii="Arial" w:cs="Arial" w:eastAsia="Arial" w:hAnsi="Arial"/>
                <w:sz w:val="22"/>
                <w:szCs w:val="22"/>
                <w:color w:val="008000"/>
                <w:vertAlign w:val="superscript"/>
              </w:rPr>
              <w:t>(1)</w:t>
            </w:r>
          </w:p>
        </w:tc>
        <w:tc>
          <w:tcPr>
            <w:tcW w:w="110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3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Rich Crow Enterprises,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362"/>
              <w:spacing w:after="0"/>
              <w:rPr>
                <w:sz w:val="20"/>
                <w:szCs w:val="20"/>
                <w:color w:val="auto"/>
              </w:rPr>
            </w:pPr>
            <w:r>
              <w:rPr>
                <w:rFonts w:ascii="Arial" w:cs="Arial" w:eastAsia="Arial" w:hAnsi="Arial"/>
                <w:sz w:val="18"/>
                <w:szCs w:val="18"/>
                <w:color w:val="0000FF"/>
              </w:rPr>
              <w:t>287,976</w:t>
            </w:r>
            <w:r>
              <w:rPr>
                <w:rFonts w:ascii="Arial" w:cs="Arial" w:eastAsia="Arial" w:hAnsi="Arial"/>
                <w:sz w:val="22"/>
                <w:szCs w:val="22"/>
                <w:color w:val="008000"/>
                <w:vertAlign w:val="superscript"/>
              </w:rPr>
              <w:t>(1)</w:t>
            </w:r>
          </w:p>
        </w:tc>
        <w:tc>
          <w:tcPr>
            <w:tcW w:w="110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3380" w:type="dxa"/>
            <w:vAlign w:val="bottom"/>
            <w:tcBorders>
              <w:bottom w:val="single" w:sz="8" w:color="2C2C2C"/>
            </w:tcBorders>
            <w:gridSpan w:val="4"/>
          </w:tcPr>
          <w:p>
            <w:pPr>
              <w:ind w:left="480"/>
              <w:spacing w:after="0"/>
              <w:rPr>
                <w:sz w:val="20"/>
                <w:szCs w:val="20"/>
                <w:color w:val="auto"/>
              </w:rPr>
            </w:pPr>
            <w:r>
              <w:rPr>
                <w:rFonts w:ascii="Arial" w:cs="Arial" w:eastAsia="Arial" w:hAnsi="Arial"/>
                <w:sz w:val="18"/>
                <w:szCs w:val="18"/>
                <w:color w:val="0000FF"/>
              </w:rPr>
              <w:t>Master Online, LLC</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600" w:type="dxa"/>
            <w:vAlign w:val="bottom"/>
            <w:tcBorders>
              <w:top w:val="single" w:sz="8" w:color="2C2C2C"/>
            </w:tcBorders>
            <w:gridSpan w:val="4"/>
          </w:tcPr>
          <w:p>
            <w:pPr>
              <w:ind w:left="2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9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14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56"/>
              <w:spacing w:after="0"/>
              <w:rPr>
                <w:sz w:val="20"/>
                <w:szCs w:val="20"/>
                <w:color w:val="auto"/>
              </w:rPr>
            </w:pPr>
            <w:r>
              <w:rPr>
                <w:rFonts w:ascii="Arial" w:cs="Arial" w:eastAsia="Arial" w:hAnsi="Arial"/>
                <w:sz w:val="11"/>
                <w:szCs w:val="11"/>
                <w:color w:val="008000"/>
              </w:rPr>
              <w:t>(2)</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100" w:type="dxa"/>
            <w:vAlign w:val="bottom"/>
            <w:vMerge w:val="restart"/>
          </w:tcPr>
          <w:p>
            <w:pPr>
              <w:ind w:left="280"/>
              <w:spacing w:after="0"/>
              <w:rPr>
                <w:sz w:val="20"/>
                <w:szCs w:val="20"/>
                <w:color w:val="auto"/>
              </w:rPr>
            </w:pPr>
            <w:r>
              <w:rPr>
                <w:rFonts w:ascii="Arial" w:cs="Arial" w:eastAsia="Arial" w:hAnsi="Arial"/>
                <w:sz w:val="18"/>
                <w:szCs w:val="18"/>
                <w:color w:val="0000FF"/>
                <w:w w:val="87"/>
              </w:rPr>
              <w:t>266.95</w:t>
            </w:r>
            <w:r>
              <w:rPr>
                <w:rFonts w:ascii="Arial" w:cs="Arial" w:eastAsia="Arial" w:hAnsi="Arial"/>
                <w:sz w:val="22"/>
                <w:szCs w:val="22"/>
                <w:color w:val="008000"/>
                <w:w w:val="87"/>
                <w:vertAlign w:val="superscript"/>
              </w:rPr>
              <w:t>(1)(2)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Rich Crow</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Enterprises, 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shares attributable to, and benefically owned by, Ms. Buse in her capacity as a member of Rich Crow Enterprises, LLC and Master Online, LLC.</w:t>
      </w:r>
    </w:p>
    <w:p>
      <w:pPr>
        <w:spacing w:after="0" w:line="41" w:lineRule="exact"/>
        <w:rPr>
          <w:rFonts w:ascii="Arial" w:cs="Arial" w:eastAsia="Arial" w:hAnsi="Arial"/>
          <w:sz w:val="14"/>
          <w:szCs w:val="14"/>
          <w:color w:val="008000"/>
        </w:rPr>
      </w:pPr>
    </w:p>
    <w:p>
      <w:pPr>
        <w:ind w:left="40" w:right="6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Upon the closing of the initial public offering of the Issuer's Common Stock, each share of Series C Preferred Stock will automatically convert into shares of the Issuer's Common Stock based on a conversion price equal to the initial public offering price per share, for no additional consideration.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11/19/2008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November 14,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Staci Buse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Staci Buse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48028"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2019-12-24T02:27:44Z</dcterms:created>
  <dcterms:modified xsi:type="dcterms:W3CDTF">2019-12-24T02:27:44Z</dcterms:modified>
</cp:coreProperties>
</file>