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3135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31355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Buse Staci L.</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60" w:type="dxa"/>
            <w:vAlign w:val="bottom"/>
            <w:tcBorders>
              <w:top w:val="single" w:sz="8" w:color="0000EE"/>
              <w:bottom w:val="single" w:sz="8" w:color="9A9A9A"/>
            </w:tcBorders>
          </w:tcPr>
          <w:p>
            <w:pPr>
              <w:spacing w:after="0"/>
              <w:rPr>
                <w:sz w:val="15"/>
                <w:szCs w:val="15"/>
                <w:color w:val="auto"/>
              </w:rPr>
            </w:pPr>
          </w:p>
        </w:tc>
        <w:tc>
          <w:tcPr>
            <w:tcW w:w="206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11/19/2008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900" w:type="dxa"/>
            <w:vAlign w:val="bottom"/>
          </w:tcPr>
          <w:p>
            <w:pPr>
              <w:ind w:left="16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3300 W. CAMELBACK ROAD</w:t>
            </w:r>
          </w:p>
        </w:tc>
      </w:tr>
      <w:tr>
        <w:trPr>
          <w:trHeight w:val="212"/>
        </w:trPr>
        <w:tc>
          <w:tcPr>
            <w:tcW w:w="20" w:type="dxa"/>
            <w:vAlign w:val="bottom"/>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PHOENIX</w:t>
            </w:r>
          </w:p>
        </w:tc>
        <w:tc>
          <w:tcPr>
            <w:tcW w:w="900" w:type="dxa"/>
            <w:vAlign w:val="bottom"/>
          </w:tcPr>
          <w:p>
            <w:pPr>
              <w:ind w:left="160"/>
              <w:spacing w:after="0"/>
              <w:rPr>
                <w:sz w:val="20"/>
                <w:szCs w:val="20"/>
                <w:color w:val="auto"/>
              </w:rPr>
            </w:pPr>
            <w:r>
              <w:rPr>
                <w:rFonts w:ascii="Arial" w:cs="Arial" w:eastAsia="Arial" w:hAnsi="Arial"/>
                <w:sz w:val="18"/>
                <w:szCs w:val="18"/>
                <w:color w:val="0000FF"/>
              </w:rPr>
              <w:t>AZ</w:t>
            </w:r>
          </w:p>
        </w:tc>
        <w:tc>
          <w:tcPr>
            <w:tcW w:w="1380" w:type="dxa"/>
            <w:vAlign w:val="bottom"/>
          </w:tcPr>
          <w:p>
            <w:pPr>
              <w:ind w:left="340"/>
              <w:spacing w:after="0"/>
              <w:rPr>
                <w:sz w:val="20"/>
                <w:szCs w:val="20"/>
                <w:color w:val="auto"/>
              </w:rPr>
            </w:pPr>
            <w:r>
              <w:rPr>
                <w:rFonts w:ascii="Arial" w:cs="Arial" w:eastAsia="Arial" w:hAnsi="Arial"/>
                <w:sz w:val="18"/>
                <w:szCs w:val="18"/>
                <w:color w:val="0000FF"/>
              </w:rPr>
              <w:t>85017</w:t>
            </w: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(City)</w:t>
            </w:r>
          </w:p>
        </w:tc>
        <w:tc>
          <w:tcPr>
            <w:tcW w:w="900" w:type="dxa"/>
            <w:vAlign w:val="bottom"/>
          </w:tcPr>
          <w:p>
            <w:pPr>
              <w:ind w:left="16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p>
      <w:pPr>
        <w:ind w:left="546"/>
        <w:spacing w:after="0"/>
        <w:tabs>
          <w:tab w:leader="none" w:pos="1805" w:val="left"/>
          <w:tab w:leader="none" w:pos="2145" w:val="left"/>
        </w:tabs>
        <w:rPr>
          <w:sz w:val="20"/>
          <w:szCs w:val="20"/>
          <w:color w:val="auto"/>
        </w:rPr>
      </w:pPr>
      <w:r>
        <w:rPr>
          <w:rFonts w:ascii="Arial" w:cs="Arial" w:eastAsia="Arial" w:hAnsi="Arial"/>
          <w:sz w:val="14"/>
          <w:szCs w:val="14"/>
          <w:color w:val="auto"/>
        </w:rPr>
        <w:t>Director</w:t>
      </w:r>
      <w:r>
        <w:rPr>
          <w:sz w:val="20"/>
          <w:szCs w:val="20"/>
          <w:color w:val="auto"/>
        </w:rPr>
        <w:tab/>
      </w:r>
      <w:r>
        <w:rPr>
          <w:rFonts w:ascii="Arial" w:cs="Arial" w:eastAsia="Arial" w:hAnsi="Arial"/>
          <w:sz w:val="18"/>
          <w:szCs w:val="18"/>
          <w:color w:val="0000FF"/>
        </w:rPr>
        <w:t>X</w:t>
      </w:r>
      <w:r>
        <w:rPr>
          <w:sz w:val="20"/>
          <w:szCs w:val="20"/>
          <w:color w:val="auto"/>
        </w:rPr>
        <w:tab/>
      </w:r>
      <w:r>
        <w:rPr>
          <w:rFonts w:ascii="Arial" w:cs="Arial" w:eastAsia="Arial" w:hAnsi="Arial"/>
          <w:sz w:val="12"/>
          <w:szCs w:val="12"/>
          <w:color w:val="auto"/>
        </w:rPr>
        <w:t>10% Owner</w:t>
      </w:r>
    </w:p>
    <w:p>
      <w:pPr>
        <w:spacing w:after="0" w:line="58"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85"/>
        </w:trPr>
        <w:tc>
          <w:tcPr>
            <w:tcW w:w="20" w:type="dxa"/>
            <w:vAlign w:val="bottom"/>
          </w:tcPr>
          <w:p>
            <w:pPr>
              <w:spacing w:after="0"/>
              <w:rPr>
                <w:sz w:val="24"/>
                <w:szCs w:val="24"/>
                <w:color w:val="auto"/>
              </w:rPr>
            </w:pPr>
          </w:p>
        </w:tc>
        <w:tc>
          <w:tcPr>
            <w:tcW w:w="28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Common Stock</w:t>
            </w:r>
          </w:p>
        </w:tc>
        <w:tc>
          <w:tcPr>
            <w:tcW w:w="5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jc w:val="center"/>
              <w:ind w:right="302"/>
              <w:spacing w:after="0"/>
              <w:rPr>
                <w:sz w:val="20"/>
                <w:szCs w:val="20"/>
                <w:color w:val="auto"/>
              </w:rPr>
            </w:pPr>
            <w:r>
              <w:rPr>
                <w:rFonts w:ascii="Arial" w:cs="Arial" w:eastAsia="Arial" w:hAnsi="Arial"/>
                <w:sz w:val="18"/>
                <w:szCs w:val="18"/>
                <w:color w:val="0000FF"/>
              </w:rPr>
              <w:t>3,059,476</w:t>
            </w:r>
            <w:r>
              <w:rPr>
                <w:rFonts w:ascii="Arial" w:cs="Arial" w:eastAsia="Arial" w:hAnsi="Arial"/>
                <w:sz w:val="22"/>
                <w:szCs w:val="22"/>
                <w:color w:val="008000"/>
                <w:vertAlign w:val="superscript"/>
              </w:rPr>
              <w:t>(1)</w:t>
            </w:r>
          </w:p>
        </w:tc>
        <w:tc>
          <w:tcPr>
            <w:tcW w:w="1100" w:type="dxa"/>
            <w:vAlign w:val="bottom"/>
            <w:tcBorders>
              <w:bottom w:val="single" w:sz="8" w:color="2C2C2C"/>
            </w:tcBorders>
          </w:tcPr>
          <w:p>
            <w:pPr>
              <w:ind w:left="860"/>
              <w:spacing w:after="0"/>
              <w:rPr>
                <w:sz w:val="20"/>
                <w:szCs w:val="20"/>
                <w:color w:val="auto"/>
              </w:rPr>
            </w:pPr>
            <w:r>
              <w:rPr>
                <w:rFonts w:ascii="Arial" w:cs="Arial" w:eastAsia="Arial" w:hAnsi="Arial"/>
                <w:sz w:val="18"/>
                <w:szCs w:val="18"/>
                <w:color w:val="0000FF"/>
              </w:rPr>
              <w:t>I</w:t>
            </w:r>
          </w:p>
        </w:tc>
        <w:tc>
          <w:tcPr>
            <w:tcW w:w="3360" w:type="dxa"/>
            <w:vAlign w:val="bottom"/>
            <w:tcBorders>
              <w:bottom w:val="single" w:sz="8" w:color="2C2C2C"/>
            </w:tcBorders>
            <w:gridSpan w:val="3"/>
          </w:tcPr>
          <w:p>
            <w:pPr>
              <w:ind w:left="480"/>
              <w:spacing w:after="0"/>
              <w:rPr>
                <w:sz w:val="20"/>
                <w:szCs w:val="20"/>
                <w:color w:val="auto"/>
              </w:rPr>
            </w:pPr>
            <w:r>
              <w:rPr>
                <w:rFonts w:ascii="Arial" w:cs="Arial" w:eastAsia="Arial" w:hAnsi="Arial"/>
                <w:sz w:val="18"/>
                <w:szCs w:val="18"/>
                <w:color w:val="0000FF"/>
              </w:rPr>
              <w:t>Rich Crow Enterprises, LLC</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28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Common Stock</w:t>
            </w:r>
          </w:p>
        </w:tc>
        <w:tc>
          <w:tcPr>
            <w:tcW w:w="5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jc w:val="center"/>
              <w:ind w:right="362"/>
              <w:spacing w:after="0"/>
              <w:rPr>
                <w:sz w:val="20"/>
                <w:szCs w:val="20"/>
                <w:color w:val="auto"/>
              </w:rPr>
            </w:pPr>
            <w:r>
              <w:rPr>
                <w:rFonts w:ascii="Arial" w:cs="Arial" w:eastAsia="Arial" w:hAnsi="Arial"/>
                <w:sz w:val="18"/>
                <w:szCs w:val="18"/>
                <w:color w:val="0000FF"/>
              </w:rPr>
              <w:t>287,976</w:t>
            </w:r>
            <w:r>
              <w:rPr>
                <w:rFonts w:ascii="Arial" w:cs="Arial" w:eastAsia="Arial" w:hAnsi="Arial"/>
                <w:sz w:val="22"/>
                <w:szCs w:val="22"/>
                <w:color w:val="008000"/>
                <w:vertAlign w:val="superscript"/>
              </w:rPr>
              <w:t>(1)</w:t>
            </w:r>
          </w:p>
        </w:tc>
        <w:tc>
          <w:tcPr>
            <w:tcW w:w="1100" w:type="dxa"/>
            <w:vAlign w:val="bottom"/>
            <w:tcBorders>
              <w:bottom w:val="single" w:sz="8" w:color="2C2C2C"/>
            </w:tcBorders>
          </w:tcPr>
          <w:p>
            <w:pPr>
              <w:ind w:left="860"/>
              <w:spacing w:after="0"/>
              <w:rPr>
                <w:sz w:val="20"/>
                <w:szCs w:val="20"/>
                <w:color w:val="auto"/>
              </w:rPr>
            </w:pPr>
            <w:r>
              <w:rPr>
                <w:rFonts w:ascii="Arial" w:cs="Arial" w:eastAsia="Arial" w:hAnsi="Arial"/>
                <w:sz w:val="18"/>
                <w:szCs w:val="18"/>
                <w:color w:val="0000FF"/>
              </w:rPr>
              <w:t>I</w:t>
            </w:r>
          </w:p>
        </w:tc>
        <w:tc>
          <w:tcPr>
            <w:tcW w:w="3380" w:type="dxa"/>
            <w:vAlign w:val="bottom"/>
            <w:tcBorders>
              <w:bottom w:val="single" w:sz="8" w:color="2C2C2C"/>
            </w:tcBorders>
            <w:gridSpan w:val="4"/>
          </w:tcPr>
          <w:p>
            <w:pPr>
              <w:ind w:left="480"/>
              <w:spacing w:after="0"/>
              <w:rPr>
                <w:sz w:val="20"/>
                <w:szCs w:val="20"/>
                <w:color w:val="auto"/>
              </w:rPr>
            </w:pPr>
            <w:r>
              <w:rPr>
                <w:rFonts w:ascii="Arial" w:cs="Arial" w:eastAsia="Arial" w:hAnsi="Arial"/>
                <w:sz w:val="18"/>
                <w:szCs w:val="18"/>
                <w:color w:val="0000FF"/>
              </w:rPr>
              <w:t>Master Online, LLC</w:t>
            </w: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4600" w:type="dxa"/>
            <w:vAlign w:val="bottom"/>
            <w:tcBorders>
              <w:top w:val="single" w:sz="8" w:color="2C2C2C"/>
            </w:tcBorders>
            <w:gridSpan w:val="4"/>
          </w:tcPr>
          <w:p>
            <w:pPr>
              <w:ind w:left="20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0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2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9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54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9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5.</w:t>
            </w:r>
          </w:p>
        </w:tc>
        <w:tc>
          <w:tcPr>
            <w:tcW w:w="162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9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2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8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2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54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82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16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5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1100" w:type="dxa"/>
            <w:vAlign w:val="bottom"/>
            <w:vMerge w:val="restart"/>
          </w:tcPr>
          <w:p>
            <w:pPr>
              <w:ind w:left="260"/>
              <w:spacing w:after="0"/>
              <w:rPr>
                <w:sz w:val="20"/>
                <w:szCs w:val="20"/>
                <w:color w:val="auto"/>
              </w:rPr>
            </w:pPr>
            <w:r>
              <w:rPr>
                <w:rFonts w:ascii="Arial" w:cs="Arial" w:eastAsia="Arial" w:hAnsi="Arial"/>
                <w:sz w:val="14"/>
                <w:szCs w:val="14"/>
                <w:b w:val="1"/>
                <w:bCs w:val="1"/>
                <w:color w:val="auto"/>
              </w:rPr>
              <w:t>Amount or</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1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8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Title</w:t>
            </w:r>
          </w:p>
        </w:tc>
        <w:tc>
          <w:tcPr>
            <w:tcW w:w="1100" w:type="dxa"/>
            <w:vAlign w:val="bottom"/>
          </w:tcPr>
          <w:p>
            <w:pPr>
              <w:ind w:left="260"/>
              <w:spacing w:after="0" w:line="149" w:lineRule="exact"/>
              <w:rPr>
                <w:sz w:val="20"/>
                <w:szCs w:val="20"/>
                <w:color w:val="auto"/>
              </w:rPr>
            </w:pPr>
            <w:r>
              <w:rPr>
                <w:rFonts w:ascii="Arial" w:cs="Arial" w:eastAsia="Arial" w:hAnsi="Arial"/>
                <w:sz w:val="14"/>
                <w:szCs w:val="14"/>
                <w:b w:val="1"/>
                <w:bCs w:val="1"/>
                <w:color w:val="auto"/>
              </w:rPr>
              <w:t>Number of</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1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820" w:type="dxa"/>
            <w:vAlign w:val="bottom"/>
            <w:vMerge w:val="continue"/>
          </w:tcPr>
          <w:p>
            <w:pPr>
              <w:spacing w:after="0"/>
              <w:rPr>
                <w:sz w:val="15"/>
                <w:szCs w:val="15"/>
                <w:color w:val="auto"/>
              </w:rPr>
            </w:pPr>
          </w:p>
        </w:tc>
        <w:tc>
          <w:tcPr>
            <w:tcW w:w="1100" w:type="dxa"/>
            <w:vAlign w:val="bottom"/>
          </w:tcPr>
          <w:p>
            <w:pPr>
              <w:ind w:left="26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28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880" w:type="dxa"/>
            <w:vAlign w:val="bottom"/>
            <w:vMerge w:val="restart"/>
          </w:tcPr>
          <w:p>
            <w:pPr>
              <w:ind w:left="60"/>
              <w:spacing w:after="0"/>
              <w:rPr>
                <w:sz w:val="20"/>
                <w:szCs w:val="20"/>
                <w:color w:val="auto"/>
              </w:rPr>
            </w:pPr>
            <w:r>
              <w:rPr>
                <w:rFonts w:ascii="Arial" w:cs="Arial" w:eastAsia="Arial" w:hAnsi="Arial"/>
                <w:sz w:val="18"/>
                <w:szCs w:val="18"/>
                <w:color w:val="0000FF"/>
              </w:rPr>
              <w:t>Series C Preferred Stock</w:t>
            </w:r>
          </w:p>
        </w:tc>
        <w:tc>
          <w:tcPr>
            <w:tcW w:w="1420" w:type="dxa"/>
            <w:vAlign w:val="bottom"/>
            <w:gridSpan w:val="2"/>
            <w:vMerge w:val="restart"/>
          </w:tcPr>
          <w:p>
            <w:pPr>
              <w:jc w:val="right"/>
              <w:ind w:right="309"/>
              <w:spacing w:after="0"/>
              <w:rPr>
                <w:sz w:val="20"/>
                <w:szCs w:val="20"/>
                <w:color w:val="auto"/>
              </w:rPr>
            </w:pPr>
            <w:r>
              <w:rPr>
                <w:rFonts w:ascii="Arial" w:cs="Arial" w:eastAsia="Arial" w:hAnsi="Arial"/>
                <w:sz w:val="11"/>
                <w:szCs w:val="11"/>
                <w:color w:val="008000"/>
              </w:rPr>
              <w:t>(2)</w:t>
            </w:r>
          </w:p>
        </w:tc>
        <w:tc>
          <w:tcPr>
            <w:tcW w:w="800" w:type="dxa"/>
            <w:vAlign w:val="bottom"/>
            <w:vMerge w:val="restart"/>
          </w:tcPr>
          <w:p>
            <w:pPr>
              <w:jc w:val="right"/>
              <w:ind w:right="256"/>
              <w:spacing w:after="0"/>
              <w:rPr>
                <w:sz w:val="20"/>
                <w:szCs w:val="20"/>
                <w:color w:val="auto"/>
              </w:rPr>
            </w:pPr>
            <w:r>
              <w:rPr>
                <w:rFonts w:ascii="Arial" w:cs="Arial" w:eastAsia="Arial" w:hAnsi="Arial"/>
                <w:sz w:val="11"/>
                <w:szCs w:val="11"/>
                <w:color w:val="008000"/>
              </w:rPr>
              <w:t>(2)</w:t>
            </w:r>
          </w:p>
        </w:tc>
        <w:tc>
          <w:tcPr>
            <w:tcW w:w="1820" w:type="dxa"/>
            <w:vAlign w:val="bottom"/>
            <w:vMerge w:val="restart"/>
          </w:tcPr>
          <w:p>
            <w:pPr>
              <w:ind w:left="460"/>
              <w:spacing w:after="0"/>
              <w:rPr>
                <w:sz w:val="20"/>
                <w:szCs w:val="20"/>
                <w:color w:val="auto"/>
              </w:rPr>
            </w:pPr>
            <w:r>
              <w:rPr>
                <w:rFonts w:ascii="Arial" w:cs="Arial" w:eastAsia="Arial" w:hAnsi="Arial"/>
                <w:sz w:val="18"/>
                <w:szCs w:val="18"/>
                <w:color w:val="0000FF"/>
              </w:rPr>
              <w:t>Common Stock</w:t>
            </w:r>
          </w:p>
        </w:tc>
        <w:tc>
          <w:tcPr>
            <w:tcW w:w="1100" w:type="dxa"/>
            <w:vAlign w:val="bottom"/>
            <w:vMerge w:val="restart"/>
          </w:tcPr>
          <w:p>
            <w:pPr>
              <w:ind w:left="280"/>
              <w:spacing w:after="0"/>
              <w:rPr>
                <w:sz w:val="20"/>
                <w:szCs w:val="20"/>
                <w:color w:val="auto"/>
              </w:rPr>
            </w:pPr>
            <w:r>
              <w:rPr>
                <w:rFonts w:ascii="Arial" w:cs="Arial" w:eastAsia="Arial" w:hAnsi="Arial"/>
                <w:sz w:val="18"/>
                <w:szCs w:val="18"/>
                <w:color w:val="0000FF"/>
                <w:w w:val="87"/>
              </w:rPr>
              <w:t>266.95</w:t>
            </w:r>
            <w:r>
              <w:rPr>
                <w:rFonts w:ascii="Arial" w:cs="Arial" w:eastAsia="Arial" w:hAnsi="Arial"/>
                <w:sz w:val="22"/>
                <w:szCs w:val="22"/>
                <w:color w:val="008000"/>
                <w:w w:val="87"/>
                <w:vertAlign w:val="superscript"/>
              </w:rPr>
              <w:t>(1)(2)</w:t>
            </w:r>
          </w:p>
        </w:tc>
        <w:tc>
          <w:tcPr>
            <w:tcW w:w="880" w:type="dxa"/>
            <w:vAlign w:val="bottom"/>
            <w:vMerge w:val="restart"/>
          </w:tcPr>
          <w:p>
            <w:pPr>
              <w:ind w:left="380"/>
              <w:spacing w:after="0"/>
              <w:rPr>
                <w:sz w:val="20"/>
                <w:szCs w:val="20"/>
                <w:color w:val="auto"/>
              </w:rPr>
            </w:pPr>
            <w:r>
              <w:rPr>
                <w:rFonts w:ascii="Arial" w:cs="Arial" w:eastAsia="Arial" w:hAnsi="Arial"/>
                <w:sz w:val="11"/>
                <w:szCs w:val="11"/>
                <w:color w:val="008000"/>
              </w:rPr>
              <w:t>(2)</w:t>
            </w:r>
          </w:p>
        </w:tc>
        <w:tc>
          <w:tcPr>
            <w:tcW w:w="880" w:type="dxa"/>
            <w:vAlign w:val="bottom"/>
            <w:vMerge w:val="restart"/>
          </w:tcPr>
          <w:p>
            <w:pPr>
              <w:ind w:left="420"/>
              <w:spacing w:after="0"/>
              <w:rPr>
                <w:sz w:val="20"/>
                <w:szCs w:val="20"/>
                <w:color w:val="auto"/>
              </w:rPr>
            </w:pPr>
            <w:r>
              <w:rPr>
                <w:rFonts w:ascii="Arial" w:cs="Arial" w:eastAsia="Arial" w:hAnsi="Arial"/>
                <w:sz w:val="18"/>
                <w:szCs w:val="18"/>
                <w:color w:val="0000FF"/>
              </w:rPr>
              <w:t>I</w:t>
            </w:r>
          </w:p>
        </w:tc>
        <w:tc>
          <w:tcPr>
            <w:tcW w:w="1620" w:type="dxa"/>
            <w:vAlign w:val="bottom"/>
            <w:gridSpan w:val="2"/>
          </w:tcPr>
          <w:p>
            <w:pPr>
              <w:ind w:left="100"/>
              <w:spacing w:after="0"/>
              <w:rPr>
                <w:sz w:val="20"/>
                <w:szCs w:val="20"/>
                <w:color w:val="auto"/>
              </w:rPr>
            </w:pPr>
            <w:r>
              <w:rPr>
                <w:rFonts w:ascii="Arial" w:cs="Arial" w:eastAsia="Arial" w:hAnsi="Arial"/>
                <w:sz w:val="18"/>
                <w:szCs w:val="18"/>
                <w:color w:val="0000FF"/>
              </w:rPr>
              <w:t>Rich Crow</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880" w:type="dxa"/>
            <w:vAlign w:val="bottom"/>
            <w:vMerge w:val="continue"/>
          </w:tcPr>
          <w:p>
            <w:pPr>
              <w:spacing w:after="0"/>
              <w:rPr>
                <w:sz w:val="14"/>
                <w:szCs w:val="14"/>
                <w:color w:val="auto"/>
              </w:rPr>
            </w:pPr>
          </w:p>
        </w:tc>
        <w:tc>
          <w:tcPr>
            <w:tcW w:w="1420" w:type="dxa"/>
            <w:vAlign w:val="bottom"/>
            <w:gridSpan w:val="2"/>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1820" w:type="dxa"/>
            <w:vAlign w:val="bottom"/>
            <w:vMerge w:val="continue"/>
          </w:tcPr>
          <w:p>
            <w:pPr>
              <w:spacing w:after="0"/>
              <w:rPr>
                <w:sz w:val="14"/>
                <w:szCs w:val="14"/>
                <w:color w:val="auto"/>
              </w:rPr>
            </w:pPr>
          </w:p>
        </w:tc>
        <w:tc>
          <w:tcPr>
            <w:tcW w:w="1100" w:type="dxa"/>
            <w:vAlign w:val="bottom"/>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1620" w:type="dxa"/>
            <w:vAlign w:val="bottom"/>
            <w:gridSpan w:val="2"/>
            <w:vMerge w:val="restart"/>
          </w:tcPr>
          <w:p>
            <w:pPr>
              <w:ind w:left="100"/>
              <w:spacing w:after="0"/>
              <w:rPr>
                <w:sz w:val="20"/>
                <w:szCs w:val="20"/>
                <w:color w:val="auto"/>
              </w:rPr>
            </w:pPr>
            <w:r>
              <w:rPr>
                <w:rFonts w:ascii="Arial" w:cs="Arial" w:eastAsia="Arial" w:hAnsi="Arial"/>
                <w:sz w:val="18"/>
                <w:szCs w:val="18"/>
                <w:color w:val="0000FF"/>
              </w:rPr>
              <w:t>Enterprises, LLC</w:t>
            </w: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5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16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07"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Reflects shares attributable to, and benefically owned by, Ms. Buse in her capacity as a member of Rich Crow Enterprises, LLC and Master Online, LLC.</w:t>
      </w:r>
    </w:p>
    <w:p>
      <w:pPr>
        <w:spacing w:after="0" w:line="41" w:lineRule="exact"/>
        <w:rPr>
          <w:rFonts w:ascii="Arial" w:cs="Arial" w:eastAsia="Arial" w:hAnsi="Arial"/>
          <w:sz w:val="14"/>
          <w:szCs w:val="14"/>
          <w:color w:val="008000"/>
        </w:rPr>
      </w:pPr>
    </w:p>
    <w:p>
      <w:pPr>
        <w:ind w:left="40" w:right="660" w:firstLine="9"/>
        <w:spacing w:after="0" w:line="239"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Upon the closing of the initial public offering of the Issuer's Common Stock, each share of Series C Preferred Stock will automatically convert into shares of the Issuer's Common Stock based on a conversion price equal to the initial public offering price per share, for no additional consideration.</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Exhibit 24 - Power of Attorney</w:t>
      </w:r>
    </w:p>
    <w:p>
      <w:pPr>
        <w:spacing w:after="0" w:line="4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9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2"/>
              </w:rPr>
              <w:t>/s/ Lyn Bickle, Attorney-in-</w:t>
            </w:r>
          </w:p>
        </w:tc>
        <w:tc>
          <w:tcPr>
            <w:tcW w:w="160" w:type="dxa"/>
            <w:vAlign w:val="bottom"/>
          </w:tcPr>
          <w:p>
            <w:pPr>
              <w:spacing w:after="0"/>
              <w:rPr>
                <w:sz w:val="18"/>
                <w:szCs w:val="18"/>
                <w:color w:val="auto"/>
              </w:rPr>
            </w:pPr>
          </w:p>
        </w:tc>
        <w:tc>
          <w:tcPr>
            <w:tcW w:w="96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4"/>
              </w:rPr>
              <w:t>11/19/2008</w:t>
            </w:r>
          </w:p>
        </w:tc>
        <w:tc>
          <w:tcPr>
            <w:tcW w:w="0" w:type="dxa"/>
            <w:vAlign w:val="bottom"/>
          </w:tcPr>
          <w:p>
            <w:pPr>
              <w:spacing w:after="0"/>
              <w:rPr>
                <w:sz w:val="1"/>
                <w:szCs w:val="1"/>
                <w:color w:val="auto"/>
              </w:rPr>
            </w:pPr>
          </w:p>
        </w:tc>
      </w:tr>
      <w:tr>
        <w:trPr>
          <w:trHeight w:val="88"/>
        </w:trPr>
        <w:tc>
          <w:tcPr>
            <w:tcW w:w="320" w:type="dxa"/>
            <w:vAlign w:val="bottom"/>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800" w:type="dxa"/>
            <w:vAlign w:val="bottom"/>
            <w:gridSpan w:val="2"/>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bottom w:val="single" w:sz="8" w:color="auto"/>
            </w:tcBorders>
            <w:vMerge w:val="continue"/>
          </w:tcPr>
          <w:p>
            <w:pPr>
              <w:spacing w:after="0"/>
              <w:rPr>
                <w:sz w:val="7"/>
                <w:szCs w:val="7"/>
                <w:color w:val="auto"/>
              </w:rPr>
            </w:pPr>
          </w:p>
        </w:tc>
        <w:tc>
          <w:tcPr>
            <w:tcW w:w="180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5"/>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LIMITED POWER OF ATTORNEY</w:t>
      </w:r>
    </w:p>
    <w:p>
      <w:pPr>
        <w:spacing w:after="0" w:line="238" w:lineRule="auto"/>
        <w:rPr>
          <w:sz w:val="20"/>
          <w:szCs w:val="20"/>
          <w:color w:val="auto"/>
        </w:rPr>
      </w:pPr>
      <w:r>
        <w:rPr>
          <w:rFonts w:ascii="Courier New" w:cs="Courier New" w:eastAsia="Courier New" w:hAnsi="Courier New"/>
          <w:sz w:val="18"/>
          <w:szCs w:val="18"/>
          <w:color w:val="auto"/>
        </w:rPr>
        <w:t>FOR SECTION 16(a) REPORTING</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KNOW ALL PERSONS BY THESE PRESENTS, that the undersigned hereby makes, constitutes and appoints Christopher C. Richardson, Daniel Bachus and Lyn Bickle, and each of them, as the undersigned's true and lawful attorney-in-fact (the "Attorney-in Fact"), with full power of substitution and resubstitution, each with the power to act alone for the undersigned and in the undersigned's name, place and stead, in any and all capacities to:</w:t>
      </w:r>
    </w:p>
    <w:p>
      <w:pPr>
        <w:spacing w:after="0" w:line="210" w:lineRule="exact"/>
        <w:rPr>
          <w:sz w:val="20"/>
          <w:szCs w:val="20"/>
          <w:color w:val="auto"/>
        </w:rPr>
      </w:pPr>
    </w:p>
    <w:p>
      <w:pPr>
        <w:ind w:right="73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and file with the Securities and Exchange Commission, any national securities exchange or securities quotation system and Grand Canyon</w:t>
      </w:r>
    </w:p>
    <w:p>
      <w:pPr>
        <w:spacing w:after="0" w:line="5"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Education, Inc. (the "Company") any and all reports (including any amendment thereto) of the undersigned required or considered advisable under Section 16(a) of the Securities Exchange Act of 1934, as amended (the "Exchange Act"), and the rules and regulations thereunder, with respect to the equity securities of the Company, including Forms 3, 4 and 5; and</w:t>
      </w:r>
    </w:p>
    <w:p>
      <w:pPr>
        <w:spacing w:after="0" w:line="208" w:lineRule="exact"/>
        <w:rPr>
          <w:rFonts w:ascii="Courier New" w:cs="Courier New" w:eastAsia="Courier New" w:hAnsi="Courier New"/>
          <w:sz w:val="18"/>
          <w:szCs w:val="18"/>
          <w:color w:val="auto"/>
        </w:rPr>
      </w:pPr>
    </w:p>
    <w:p>
      <w:pPr>
        <w:ind w:right="51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obtain, as the undersigned's representative and on the undersigned's behalf, information regarding transactions in the Company's equity securities from any</w:t>
      </w:r>
    </w:p>
    <w:p>
      <w:pPr>
        <w:spacing w:after="0" w:line="5" w:lineRule="exact"/>
        <w:rPr>
          <w:rFonts w:ascii="Courier New" w:cs="Courier New" w:eastAsia="Courier New" w:hAnsi="Courier New"/>
          <w:sz w:val="18"/>
          <w:szCs w:val="18"/>
          <w:color w:val="auto"/>
        </w:rPr>
      </w:pPr>
    </w:p>
    <w:p>
      <w:pPr>
        <w:ind w:right="17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third party, including the Company and any brokers, dealers, employee benefit plan administrators and trustees, and the undersigned hereby authorizes any such third party to release any such information to the Attorney-in-Fact.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The undersigned acknowledges that:</w:t>
      </w:r>
    </w:p>
    <w:p>
      <w:pPr>
        <w:spacing w:after="0" w:line="207" w:lineRule="exact"/>
        <w:rPr>
          <w:sz w:val="20"/>
          <w:szCs w:val="20"/>
          <w:color w:val="auto"/>
        </w:rPr>
      </w:pPr>
    </w:p>
    <w:p>
      <w:pPr>
        <w:ind w:right="1359" w:firstLine="851"/>
        <w:spacing w:after="0" w:line="236" w:lineRule="auto"/>
        <w:tabs>
          <w:tab w:leader="none" w:pos="1686"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authorizes, but does not require, the Attorney-in-Fact to act at his or her discretion on information provided to such Attorney-in-Fact without independent verification of such information;</w:t>
      </w:r>
    </w:p>
    <w:p>
      <w:pPr>
        <w:spacing w:after="0" w:line="208" w:lineRule="exact"/>
        <w:rPr>
          <w:rFonts w:ascii="Courier New" w:cs="Courier New" w:eastAsia="Courier New" w:hAnsi="Courier New"/>
          <w:sz w:val="18"/>
          <w:szCs w:val="18"/>
          <w:color w:val="auto"/>
        </w:rPr>
      </w:pPr>
    </w:p>
    <w:p>
      <w:pPr>
        <w:ind w:right="619" w:firstLine="851"/>
        <w:spacing w:after="0" w:line="235" w:lineRule="auto"/>
        <w:tabs>
          <w:tab w:leader="none" w:pos="1686"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documents prepared or executed by the Attorney-in-Fact on behalf of the undersigned pursuant to this Limited Power of Attorney will be in such form and</w:t>
      </w:r>
    </w:p>
    <w:p>
      <w:pPr>
        <w:spacing w:after="0" w:line="5"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will contain such information as the Attorney-in-Fact, in his or her discretion, deems necessary or desirable;</w:t>
      </w:r>
    </w:p>
    <w:p>
      <w:pPr>
        <w:spacing w:after="0" w:line="208" w:lineRule="exact"/>
        <w:rPr>
          <w:rFonts w:ascii="Courier New" w:cs="Courier New" w:eastAsia="Courier New" w:hAnsi="Courier New"/>
          <w:sz w:val="18"/>
          <w:szCs w:val="18"/>
          <w:color w:val="auto"/>
        </w:rPr>
      </w:pPr>
    </w:p>
    <w:p>
      <w:pPr>
        <w:ind w:right="739" w:firstLine="851"/>
        <w:spacing w:after="0" w:line="235" w:lineRule="auto"/>
        <w:tabs>
          <w:tab w:leader="none" w:pos="1686"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neither the Company nor the Attorney-in-Fact assumes any liability for the undersigned's responsibility to comply with the requirements of Section 16 of</w:t>
      </w:r>
    </w:p>
    <w:p>
      <w:pPr>
        <w:spacing w:after="0" w:line="5" w:lineRule="exact"/>
        <w:rPr>
          <w:rFonts w:ascii="Courier New" w:cs="Courier New" w:eastAsia="Courier New" w:hAnsi="Courier New"/>
          <w:sz w:val="18"/>
          <w:szCs w:val="18"/>
          <w:color w:val="auto"/>
        </w:rPr>
      </w:pPr>
    </w:p>
    <w:p>
      <w:pPr>
        <w:ind w:right="18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Exchange Act, any liability of the undersigned for any failure to comply with such requirements, or any liability of the undersigned for disgorgement of profits under Section 16(b) of the Exchange Act; and</w:t>
      </w:r>
    </w:p>
    <w:p>
      <w:pPr>
        <w:spacing w:after="0" w:line="208" w:lineRule="exact"/>
        <w:rPr>
          <w:rFonts w:ascii="Courier New" w:cs="Courier New" w:eastAsia="Courier New" w:hAnsi="Courier New"/>
          <w:sz w:val="18"/>
          <w:szCs w:val="18"/>
          <w:color w:val="auto"/>
        </w:rPr>
      </w:pPr>
    </w:p>
    <w:p>
      <w:pPr>
        <w:ind w:right="1359" w:firstLine="851"/>
        <w:spacing w:after="0" w:line="268" w:lineRule="auto"/>
        <w:tabs>
          <w:tab w:leader="none" w:pos="1686"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Limited Power of Attorney does not relieve the undersigned from responsibility for compliance with the undersigned's obligations under Section</w:t>
      </w:r>
    </w:p>
    <w:p>
      <w:pPr>
        <w:ind w:right="29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16 of the Exchange Act, including, without, limitation, the reporting requirements under Section 16(a) of the Exchange Act.</w:t>
      </w:r>
    </w:p>
    <w:p>
      <w:pPr>
        <w:spacing w:after="0" w:line="208" w:lineRule="exact"/>
        <w:rPr>
          <w:sz w:val="20"/>
          <w:szCs w:val="20"/>
          <w:color w:val="auto"/>
        </w:rPr>
      </w:pPr>
    </w:p>
    <w:p>
      <w:pPr>
        <w:ind w:right="1159" w:firstLine="843"/>
        <w:spacing w:after="0" w:line="235" w:lineRule="auto"/>
        <w:rPr>
          <w:sz w:val="20"/>
          <w:szCs w:val="20"/>
          <w:color w:val="auto"/>
        </w:rPr>
      </w:pPr>
      <w:r>
        <w:rPr>
          <w:rFonts w:ascii="Courier New" w:cs="Courier New" w:eastAsia="Courier New" w:hAnsi="Courier New"/>
          <w:sz w:val="18"/>
          <w:szCs w:val="18"/>
          <w:color w:val="auto"/>
        </w:rPr>
        <w:t>The undersigned hereby grants to the Attorney-in-Fact full power and authority to do and perform each and every act and thing requisite, necessary or</w:t>
      </w:r>
    </w:p>
    <w:p>
      <w:pPr>
        <w:spacing w:after="0" w:line="6"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convenient to be done in connection with the foregoing, as fully, to all intents and purposes, as the undersigned might or could do in person, hereby ratifying and confirming all that the Attorney-in-Fact, or his or her substitute or substitutes, shall lawfully do or cause to be done by authority of this Limited Power of Attorney.</w:t>
      </w:r>
    </w:p>
    <w:p>
      <w:pPr>
        <w:spacing w:after="0" w:line="209" w:lineRule="exact"/>
        <w:rPr>
          <w:sz w:val="20"/>
          <w:szCs w:val="20"/>
          <w:color w:val="auto"/>
        </w:rPr>
      </w:pPr>
    </w:p>
    <w:p>
      <w:pPr>
        <w:ind w:right="1159" w:firstLine="843"/>
        <w:spacing w:after="0"/>
        <w:rPr>
          <w:sz w:val="20"/>
          <w:szCs w:val="20"/>
          <w:color w:val="auto"/>
        </w:rPr>
      </w:pPr>
      <w:r>
        <w:rPr>
          <w:rFonts w:ascii="Courier New" w:cs="Courier New" w:eastAsia="Courier New" w:hAnsi="Courier New"/>
          <w:sz w:val="18"/>
          <w:szCs w:val="18"/>
          <w:color w:val="auto"/>
        </w:rPr>
        <w:t>This Limited Power of Attorney shall remain in full force and effect until the undersigned is no longer required to file Forms 4 or 5 with respect to the undersigned's transactions in equity securities of the Company, unless earlier revoked by the undersigned in a signed writing delivered to the Attorney-in-Fact.</w:t>
      </w:r>
    </w:p>
    <w:p>
      <w:pPr>
        <w:spacing w:after="0" w:line="400" w:lineRule="exact"/>
        <w:rPr>
          <w:sz w:val="20"/>
          <w:szCs w:val="20"/>
          <w:color w:val="auto"/>
        </w:rPr>
      </w:pPr>
    </w:p>
    <w:p>
      <w:pPr>
        <w:ind w:right="1359" w:firstLine="843"/>
        <w:spacing w:after="0" w:line="290" w:lineRule="auto"/>
        <w:rPr>
          <w:sz w:val="20"/>
          <w:szCs w:val="20"/>
          <w:color w:val="auto"/>
        </w:rPr>
      </w:pPr>
      <w:r>
        <w:rPr>
          <w:rFonts w:ascii="Courier New" w:cs="Courier New" w:eastAsia="Courier New" w:hAnsi="Courier New"/>
          <w:sz w:val="16"/>
          <w:szCs w:val="16"/>
          <w:color w:val="auto"/>
        </w:rPr>
        <w:t>This Limited Power of Attorney shall be governed and construed in accordance the laws of the State of Arizona without regard to conflict-of-law principles.</w:t>
      </w:r>
    </w:p>
    <w:p>
      <w:pPr>
        <w:spacing w:after="0" w:line="170" w:lineRule="exact"/>
        <w:rPr>
          <w:sz w:val="20"/>
          <w:szCs w:val="20"/>
          <w:color w:val="auto"/>
        </w:rPr>
      </w:pPr>
    </w:p>
    <w:p>
      <w:pPr>
        <w:ind w:right="103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Limited Power of Attorney as of November 14, 2008.</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 /s/ Staci Buse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Print Name: Staci Buse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4"/>
    </w:lvl>
  </w:abstractNum>
  <w:abstractNum w:abstractNumId="1">
    <w:nsid w:val="238E1F29"/>
    <w:multiLevelType w:val="hybridMultilevel"/>
    <w:lvl w:ilvl="0">
      <w:lvlJc w:val="left"/>
      <w:lvlText w:val="%1."/>
      <w:numFmt w:val="decimal"/>
      <w:start w:val="5"/>
    </w:lvl>
  </w:abstractNum>
  <w:abstractNum w:abstractNumId="2">
    <w:nsid w:val="46E87CCD"/>
    <w:multiLevelType w:val="hybridMultilevel"/>
    <w:lvl w:ilvl="0">
      <w:lvlJc w:val="left"/>
      <w:lvlText w:val="X"/>
      <w:numFmt w:val="bullet"/>
      <w:start w:val="1"/>
    </w:lvl>
  </w:abstractNum>
  <w:abstractNum w:abstractNumId="3">
    <w:nsid w:val="3D1B58BA"/>
    <w:multiLevelType w:val="hybridMultilevel"/>
    <w:lvl w:ilvl="0">
      <w:lvlJc w:val="left"/>
      <w:lvlText w:val="%1."/>
      <w:numFmt w:val="decimal"/>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1."/>
      <w:numFmt w:val="decimal"/>
      <w:start w:val="1"/>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448028" TargetMode="External"/><Relationship Id="rId12"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2019-12-24T02:27:44Z</dcterms:created>
  <dcterms:modified xsi:type="dcterms:W3CDTF">2019-12-24T02:27:44Z</dcterms:modified>
</cp:coreProperties>
</file>