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116205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135255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Amendment No.1 to Form 10-Q</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500"/>
        <w:spacing w:after="0"/>
        <w:tabs>
          <w:tab w:leader="none" w:pos="4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206375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1480" w:type="dxa"/>
        <w:tblCellMar>
          <w:top w:w="0" w:type="dxa"/>
          <w:left w:w="0" w:type="dxa"/>
          <w:bottom w:w="0" w:type="dxa"/>
          <w:right w:w="0" w:type="dxa"/>
        </w:tblCellMar>
      </w:tblPr>
      <w:tr>
        <w:trPr>
          <w:trHeight w:val="22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940" w:type="dxa"/>
            <w:vAlign w:val="bottom"/>
          </w:tcPr>
          <w:p>
            <w:pPr>
              <w:jc w:val="center"/>
              <w:ind w:right="153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940" w:type="dxa"/>
            <w:vAlign w:val="bottom"/>
          </w:tcPr>
          <w:p>
            <w:pPr>
              <w:jc w:val="center"/>
              <w:ind w:right="15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3000" w:type="dxa"/>
            <w:vAlign w:val="bottom"/>
          </w:tcPr>
          <w:p>
            <w:pPr>
              <w:jc w:val="center"/>
              <w:ind w:left="153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jc w:val="both"/>
        <w:ind w:left="340" w:right="21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ind w:left="340" w:right="199" w:firstLine="389"/>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3" w:lineRule="exact"/>
        <w:rPr>
          <w:sz w:val="20"/>
          <w:szCs w:val="20"/>
          <w:color w:val="auto"/>
        </w:rPr>
      </w:pPr>
    </w:p>
    <w:p>
      <w:pPr>
        <w:ind w:left="340" w:right="23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0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2240" w:type="dxa"/>
            <w:vAlign w:val="bottom"/>
          </w:tcPr>
          <w:p>
            <w:pPr>
              <w:ind w:left="140"/>
              <w:spacing w:after="0"/>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9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7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total number of shares of common stock outstanding as of November 1, 2011, was 44,331,047.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135255</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152400</wp:posOffset>
            </wp:positionV>
            <wp:extent cx="617474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02" w:lineRule="exact"/>
        <w:rPr>
          <w:sz w:val="20"/>
          <w:szCs w:val="20"/>
          <w:color w:val="auto"/>
        </w:rPr>
      </w:pPr>
    </w:p>
    <w:p>
      <w:pPr>
        <w:jc w:val="both"/>
        <w:ind w:left="340" w:right="199" w:firstLine="389"/>
        <w:spacing w:after="0" w:line="288" w:lineRule="auto"/>
        <w:rPr>
          <w:sz w:val="20"/>
          <w:szCs w:val="20"/>
          <w:color w:val="auto"/>
        </w:rPr>
      </w:pPr>
      <w:r>
        <w:rPr>
          <w:rFonts w:ascii="Arial" w:cs="Arial" w:eastAsia="Arial" w:hAnsi="Arial"/>
          <w:sz w:val="16"/>
          <w:szCs w:val="16"/>
          <w:color w:val="auto"/>
        </w:rPr>
        <w:t>This Amendment No. 1 to Form 10-Q (the “Form 10-Q/A”) is being filed by Grand Canyon Education, Inc. (the “University”) to amend and restate its Quarterly Report on Form 10-Q for the three months ended June 30, 2011 filed with the United States Securities and Exchange Commission (“SEC”) on August 4, 2011 (the “Original Form 10-Q”). The purpose of this Quarterly Report on</w:t>
      </w:r>
    </w:p>
    <w:p>
      <w:pPr>
        <w:ind w:left="340" w:right="219"/>
        <w:spacing w:after="0" w:line="288" w:lineRule="auto"/>
        <w:rPr>
          <w:sz w:val="20"/>
          <w:szCs w:val="20"/>
          <w:color w:val="auto"/>
        </w:rPr>
      </w:pPr>
      <w:r>
        <w:rPr>
          <w:rFonts w:ascii="Arial" w:cs="Arial" w:eastAsia="Arial" w:hAnsi="Arial"/>
          <w:sz w:val="16"/>
          <w:szCs w:val="16"/>
          <w:color w:val="auto"/>
        </w:rPr>
        <w:t>Form 10-Q/A is to amend and restate our consolidated financial statements, financial data and related disclosures to reflect a correction in methodology relating to the manner in which the University estimates its allowance for doubtful accounts, as discussed in Note 2 to the accompanying restated consolidated financial statements. This correction, which is described below, requires the University to restate its audited financial statements for the year ended December 31, 2010 and its unaudited interim financial statements for the quarters ended June 30, 2010, September 30, 2010, March 31, 2011 and June 30, 2011. The University has filed an Amended Annual Report on Form 10-K/A for the year ended December 31, 2010 and an Amended Quarterly Report on Form 10-Q/A for the three months ended March 31, 2011 with the SEC on November 14, 2011 immediately preceding the filing of this report.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Restatement of Previously Issued Consolidated Financial Statements</w:t>
      </w:r>
    </w:p>
    <w:p>
      <w:pPr>
        <w:spacing w:after="0" w:line="189" w:lineRule="exact"/>
        <w:rPr>
          <w:sz w:val="20"/>
          <w:szCs w:val="20"/>
          <w:color w:val="auto"/>
        </w:rPr>
      </w:pPr>
    </w:p>
    <w:p>
      <w:pPr>
        <w:jc w:val="both"/>
        <w:ind w:left="340" w:right="399" w:firstLine="389"/>
        <w:spacing w:after="0" w:line="312" w:lineRule="auto"/>
        <w:rPr>
          <w:sz w:val="20"/>
          <w:szCs w:val="20"/>
          <w:color w:val="auto"/>
        </w:rPr>
      </w:pPr>
      <w:r>
        <w:rPr>
          <w:rFonts w:ascii="Arial" w:cs="Arial" w:eastAsia="Arial" w:hAnsi="Arial"/>
          <w:sz w:val="16"/>
          <w:szCs w:val="16"/>
          <w:color w:val="auto"/>
        </w:rPr>
        <w:t>We are filing this Form 10-Q/A as a result of the correction of an error in our methodology relating to the manner in which we estimate our allowance for doubtful accounts, which requires us to restate our financial statements for the year ended December 31, 2010 and our unaudited interim financial statements for the three and six months ended June 30, 2011 and 2010.</w:t>
      </w:r>
    </w:p>
    <w:p>
      <w:pPr>
        <w:spacing w:after="0" w:line="120" w:lineRule="exact"/>
        <w:rPr>
          <w:sz w:val="20"/>
          <w:szCs w:val="20"/>
          <w:color w:val="auto"/>
        </w:rPr>
      </w:pPr>
    </w:p>
    <w:p>
      <w:pPr>
        <w:ind w:left="340" w:right="179" w:firstLine="389"/>
        <w:spacing w:after="0" w:line="286" w:lineRule="auto"/>
        <w:rPr>
          <w:sz w:val="20"/>
          <w:szCs w:val="20"/>
          <w:color w:val="auto"/>
        </w:rPr>
      </w:pPr>
      <w:r>
        <w:rPr>
          <w:rFonts w:ascii="Arial" w:cs="Arial" w:eastAsia="Arial" w:hAnsi="Arial"/>
          <w:sz w:val="16"/>
          <w:szCs w:val="16"/>
          <w:color w:val="auto"/>
        </w:rPr>
        <w:t>In recent periods, we experienced a significant change in the composition of our receivable balances since our transition to the borrower-based financial aid model in the second quarter of 2010 in which the receivables due from former students had grown as a percentage of the total amount outstanding. However, our historical process for estimating the allowance for doubtful accounts did not consider the disaggregation of receivable balances by student based on enrollment status. As a result, the growth in the inactive student receivables was not evident when making our allowance estimate in prior periods. As our collection experience indicates that receivables from former students carry a higher risk, this disaggregated information should have been considered in determining the probability of loss within our receivables. If such information had been evaluated, we would have increased the allowance for doubtful accounts to reflect the increased risk profile of the receivables in prior periods. Accordingly, the Audit Committee of the Board of Directors, together with management and in consultation with Ernst &amp; Young LLP, our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1011 should be restated to correct the allowance for doubtful accounts.</w:t>
      </w:r>
    </w:p>
    <w:p>
      <w:pPr>
        <w:spacing w:after="0" w:line="200" w:lineRule="exact"/>
        <w:rPr>
          <w:sz w:val="20"/>
          <w:szCs w:val="20"/>
          <w:color w:val="auto"/>
        </w:rPr>
      </w:pP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99" w:firstLine="389"/>
        <w:spacing w:after="0" w:line="302" w:lineRule="auto"/>
        <w:rPr>
          <w:sz w:val="20"/>
          <w:szCs w:val="20"/>
          <w:color w:val="auto"/>
        </w:rPr>
      </w:pPr>
      <w:r>
        <w:rPr>
          <w:rFonts w:ascii="Arial" w:cs="Arial" w:eastAsia="Arial" w:hAnsi="Arial"/>
          <w:sz w:val="16"/>
          <w:szCs w:val="16"/>
          <w:color w:val="auto"/>
        </w:rPr>
        <w:t>As a result, the University concluded that it understated bad debt expense and overstated operating income and net income by approximately $0.6 million, $0.6 million, and $0.4 million, respectively, for the three months ended June 30, 2011, by approximately $3.7 million, $3.7 million, and $2.2 million, respectively for the six months ended June 30, 2011, and by approximately $9.3 million, $9.5 million and $5.7 million, respectively for both the three and six months ended June 30, 2010. Accordingly, we have restated:</w:t>
      </w:r>
    </w:p>
    <w:p>
      <w:pPr>
        <w:spacing w:after="0" w:line="127" w:lineRule="exact"/>
        <w:rPr>
          <w:sz w:val="20"/>
          <w:szCs w:val="20"/>
          <w:color w:val="auto"/>
        </w:rPr>
      </w:pPr>
    </w:p>
    <w:p>
      <w:pPr>
        <w:ind w:left="1300" w:hanging="387"/>
        <w:spacing w:after="0"/>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balance sheet as of June 30, 2010 by increasing our allowance for doubtful accounts by $9.3 million; and</w:t>
      </w:r>
    </w:p>
    <w:p>
      <w:pPr>
        <w:spacing w:after="0" w:line="157" w:lineRule="exact"/>
        <w:rPr>
          <w:rFonts w:ascii="Arial" w:cs="Arial" w:eastAsia="Arial" w:hAnsi="Arial"/>
          <w:sz w:val="18"/>
          <w:szCs w:val="18"/>
          <w:b w:val="1"/>
          <w:bCs w:val="1"/>
          <w:color w:val="auto"/>
        </w:rPr>
      </w:pPr>
    </w:p>
    <w:p>
      <w:pPr>
        <w:ind w:left="1300" w:right="339" w:hanging="387"/>
        <w:spacing w:after="0" w:line="264"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and six months ended June 30, 2010 by decreasing revenues by $0.2 million, increasing instructional costs and services expense by $9.3 million and decreasing operating income and net income by $9.5 million and $5.7 million, respectively; and</w:t>
      </w:r>
    </w:p>
    <w:p>
      <w:pPr>
        <w:spacing w:after="0" w:line="113" w:lineRule="exact"/>
        <w:rPr>
          <w:rFonts w:ascii="Arial" w:cs="Arial" w:eastAsia="Arial" w:hAnsi="Arial"/>
          <w:sz w:val="18"/>
          <w:szCs w:val="18"/>
          <w:b w:val="1"/>
          <w:bCs w:val="1"/>
          <w:color w:val="auto"/>
        </w:rPr>
      </w:pPr>
    </w:p>
    <w:p>
      <w:pPr>
        <w:ind w:left="1300" w:hanging="387"/>
        <w:spacing w:after="0"/>
        <w:tabs>
          <w:tab w:leader="none" w:pos="13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balance sheet as of June 30, 2011 by increasing our allowance for doubtful accounts by $18.8 million; and</w:t>
      </w:r>
    </w:p>
    <w:p>
      <w:pPr>
        <w:spacing w:after="0" w:line="169" w:lineRule="exact"/>
        <w:rPr>
          <w:rFonts w:ascii="Arial" w:cs="Arial" w:eastAsia="Arial" w:hAnsi="Arial"/>
          <w:sz w:val="17"/>
          <w:szCs w:val="17"/>
          <w:b w:val="1"/>
          <w:bCs w:val="1"/>
          <w:color w:val="auto"/>
        </w:rPr>
      </w:pPr>
    </w:p>
    <w:p>
      <w:pPr>
        <w:ind w:left="1300" w:right="179" w:hanging="387"/>
        <w:spacing w:after="0" w:line="259"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and six months ended June 30, 2011 by increasing instructional costs and services expense by $0.6 million and decreasing operating income and net income, by $0.6 million and $0.4 million, respectively, for the three months ended June 30, 2011 and by approximately $3.7 million, $3.7 million, and $2.2 million, respectively, for the six months ended June 30, 2011.</w:t>
      </w:r>
    </w:p>
    <w:p>
      <w:pPr>
        <w:spacing w:after="0" w:line="146" w:lineRule="exact"/>
        <w:rPr>
          <w:sz w:val="20"/>
          <w:szCs w:val="20"/>
          <w:color w:val="auto"/>
        </w:rPr>
      </w:pPr>
    </w:p>
    <w:p>
      <w:pPr>
        <w:ind w:left="340" w:right="459" w:firstLine="389"/>
        <w:spacing w:after="0" w:line="302" w:lineRule="auto"/>
        <w:rPr>
          <w:sz w:val="20"/>
          <w:szCs w:val="20"/>
          <w:color w:val="auto"/>
        </w:rPr>
      </w:pPr>
      <w:r>
        <w:rPr>
          <w:rFonts w:ascii="Arial" w:cs="Arial" w:eastAsia="Arial" w:hAnsi="Arial"/>
          <w:sz w:val="16"/>
          <w:szCs w:val="16"/>
          <w:color w:val="auto"/>
        </w:rPr>
        <w:t>As a result of this restatement, amounts in our statements of cash flows and stockholders’ equity for the three months and six months ended June 30, 2011 and 2010 have also been restated. Our total cash flows from operations for the three months and six months ended June 30, 2011 and 2010 remains unchanged. A summary of the effects of this restatement to our financial statements included within this Form 10-Q/A is presented in Note 2 in the accompanying notes to consolidated financial statements.</w:t>
      </w:r>
    </w:p>
    <w:p>
      <w:pPr>
        <w:spacing w:after="0" w:line="11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This Form 10-Q/A includes changes in Part I, Item 4 — Controls and Procedures and reflects management’s restated assessment of our disclosure controls and procedures (as defined in Rules 13a-15(e) and 15d-15(e) under the Exchange Act) as of June 30, 2011. This restatement of management’s assessment regarding disclosure controls and procedures results from a material weakness in our internal control over financial reporting relating to the above described restatements. The information required in this restatement was previously omitted and should have been reported in our Original Form 10-Q. As of the date of this filing, we have implemented certain changes in our internal controls to address this material weakness. See Part I, Item 4 — Controls and Procedures.</w:t>
      </w:r>
    </w:p>
    <w:p>
      <w:pPr>
        <w:spacing w:after="0" w:line="138"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color w:val="auto"/>
        </w:rPr>
        <w:t>For the convenience of the reader, this Form 10-Q/A sets forth the Original Form 10-Q in its entirety, as modified and superseded where necessary to reflect the restatement. The following items have been amended principally as a result of, and to reflect, the restatement:</w:t>
      </w:r>
    </w:p>
    <w:p>
      <w:pPr>
        <w:spacing w:after="0" w:line="141" w:lineRule="exact"/>
        <w:rPr>
          <w:sz w:val="20"/>
          <w:szCs w:val="20"/>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1. Financial Statements;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2. Management’s Discussion and Analysis of Financial Condition and Results of Operations;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 — Item 4. Controls and Procedures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Part II — Item 6. Exhibits.</w:t>
      </w:r>
    </w:p>
    <w:p>
      <w:pPr>
        <w:spacing w:after="0" w:line="185" w:lineRule="exact"/>
        <w:rPr>
          <w:sz w:val="20"/>
          <w:szCs w:val="20"/>
          <w:color w:val="auto"/>
        </w:rPr>
      </w:pPr>
    </w:p>
    <w:p>
      <w:pPr>
        <w:ind w:left="340" w:right="559" w:firstLine="389"/>
        <w:spacing w:after="0" w:line="277" w:lineRule="auto"/>
        <w:rPr>
          <w:sz w:val="20"/>
          <w:szCs w:val="20"/>
          <w:color w:val="auto"/>
        </w:rPr>
      </w:pPr>
      <w:r>
        <w:rPr>
          <w:rFonts w:ascii="Arial" w:cs="Arial" w:eastAsia="Arial" w:hAnsi="Arial"/>
          <w:sz w:val="18"/>
          <w:szCs w:val="18"/>
          <w:color w:val="auto"/>
        </w:rPr>
        <w:t>In accordance with applicable SEC rules, this Form 10-Q/A includes certifications from our Principal Executive Officer and Principal Financial Officer dated as of the date of this filing.</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40" w:type="dxa"/>
            <w:vAlign w:val="bottom"/>
            <w:gridSpan w:val="18"/>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7"/>
                <w:szCs w:val="17"/>
                <w:color w:val="auto"/>
              </w:rPr>
            </w:pPr>
          </w:p>
        </w:tc>
      </w:tr>
      <w:tr>
        <w:trPr>
          <w:trHeight w:val="407"/>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GRAND CANYON EDUCATION, INC.</w:t>
            </w:r>
          </w:p>
        </w:tc>
        <w:tc>
          <w:tcPr>
            <w:tcW w:w="9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w w:val="99"/>
              </w:rPr>
              <w:t>FORM 10-Q</w:t>
            </w:r>
          </w:p>
        </w:tc>
        <w:tc>
          <w:tcPr>
            <w:tcW w:w="9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r>
      <w:tr>
        <w:trPr>
          <w:trHeight w:val="385"/>
        </w:trPr>
        <w:tc>
          <w:tcPr>
            <w:tcW w:w="324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 FINANCIAL INFORMATION</w:t>
              </w:r>
            </w:hyperlink>
          </w:p>
        </w:tc>
        <w:tc>
          <w:tcPr>
            <w:tcW w:w="54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Financial Statements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2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Item 4 Controls and Procedures</w:t>
              </w:r>
            </w:hyperlink>
          </w:p>
        </w:tc>
        <w:tc>
          <w:tcPr>
            <w:tcW w:w="6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2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570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8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68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5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1A Risk Factors</w:t>
              </w:r>
            </w:hyperlink>
          </w:p>
        </w:tc>
        <w:tc>
          <w:tcPr>
            <w:tcW w:w="710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4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37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6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Item 4 Reserved</w:t>
              </w:r>
            </w:hyperlink>
          </w:p>
        </w:tc>
        <w:tc>
          <w:tcPr>
            <w:tcW w:w="1640" w:type="dxa"/>
            <w:vAlign w:val="bottom"/>
            <w:tcBorders>
              <w:top w:val="single" w:sz="8" w:color="0000EE"/>
            </w:tcBorders>
            <w:gridSpan w:val="7"/>
          </w:tcPr>
          <w:p>
            <w:pPr>
              <w:spacing w:after="0"/>
              <w:rPr>
                <w:sz w:val="24"/>
                <w:szCs w:val="24"/>
                <w:color w:val="auto"/>
              </w:rPr>
            </w:pPr>
          </w:p>
        </w:tc>
        <w:tc>
          <w:tcPr>
            <w:tcW w:w="5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68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1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Item 6 Exhibits</w:t>
              </w:r>
            </w:hyperlink>
          </w:p>
        </w:tc>
        <w:tc>
          <w:tcPr>
            <w:tcW w:w="752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SIGNATURES</w:t>
              </w:r>
            </w:hyperlink>
          </w:p>
        </w:tc>
        <w:tc>
          <w:tcPr>
            <w:tcW w:w="75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40" w:type="dxa"/>
            <w:vAlign w:val="bottom"/>
          </w:tcPr>
          <w:p>
            <w:pPr>
              <w:spacing w:after="0"/>
              <w:rPr>
                <w:sz w:val="24"/>
                <w:szCs w:val="24"/>
                <w:color w:val="auto"/>
              </w:rPr>
            </w:pPr>
          </w:p>
        </w:tc>
        <w:tc>
          <w:tcPr>
            <w:tcW w:w="8600" w:type="dxa"/>
            <w:vAlign w:val="bottom"/>
            <w:gridSpan w:val="17"/>
          </w:tcPr>
          <w:p>
            <w:pPr>
              <w:spacing w:after="0"/>
              <w:rPr>
                <w:sz w:val="20"/>
                <w:szCs w:val="20"/>
                <w:color w:val="auto"/>
              </w:rPr>
            </w:pPr>
            <w:r>
              <w:rPr>
                <w:rFonts w:ascii="Arial" w:cs="Arial" w:eastAsia="Arial" w:hAnsi="Arial"/>
                <w:sz w:val="18"/>
                <w:szCs w:val="18"/>
                <w:color w:val="0000EE"/>
              </w:rPr>
              <w:t>Exhibit 31.1</w:t>
            </w:r>
          </w:p>
        </w:tc>
        <w:tc>
          <w:tcPr>
            <w:tcW w:w="9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72"/>
              </w:rPr>
              <w:t>Restated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4"/>
              </w:rPr>
              <w:t>Restated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103,118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204,827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46,354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95,229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87,692</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5"/>
              </w:rPr>
              <w:t>Selling and promotional, including $2 and $2,628 for the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three months ended June 30, 2011 and 2010,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6"/>
              </w:rPr>
              <w:t>respectively, and $403 and $4,975 for the six months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w w:val="92"/>
              </w:rPr>
              <w:t>ended June 30, 2011 and 2010, respectively, to related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0"/>
              <w:spacing w:after="0"/>
              <w:rPr>
                <w:sz w:val="20"/>
                <w:szCs w:val="20"/>
                <w:color w:val="auto"/>
              </w:rPr>
            </w:pPr>
            <w:r>
              <w:rPr>
                <w:rFonts w:ascii="Arial" w:cs="Arial" w:eastAsia="Arial" w:hAnsi="Arial"/>
                <w:sz w:val="18"/>
                <w:szCs w:val="18"/>
                <w:color w:val="auto"/>
              </w:rPr>
              <w:t>parties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27,709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28,976</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57,541</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7,038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13,870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Exit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166,640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156,029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38,187</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10,897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38,109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4,163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15,755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11,997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12,873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Shares used in computing net income per common</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55"/>
              <w:spacing w:after="0"/>
              <w:rPr>
                <w:sz w:val="20"/>
                <w:szCs w:val="20"/>
                <w:color w:val="auto"/>
              </w:rPr>
            </w:pPr>
            <w:r>
              <w:rPr>
                <w:rFonts w:ascii="Arial" w:cs="Arial" w:eastAsia="Arial" w:hAnsi="Arial"/>
                <w:sz w:val="18"/>
                <w:szCs w:val="18"/>
                <w:color w:val="auto"/>
              </w:rPr>
              <w:t>44,658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45,724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45,122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45,699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45,018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45,551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11"/>
          </w:tcPr>
          <w:p>
            <w:pPr>
              <w:jc w:val="center"/>
              <w:ind w:left="12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11"/>
          </w:tcPr>
          <w:p>
            <w:pPr>
              <w:jc w:val="center"/>
              <w:ind w:left="1290"/>
              <w:spacing w:after="0"/>
              <w:rPr>
                <w:sz w:val="20"/>
                <w:szCs w:val="20"/>
                <w:color w:val="auto"/>
              </w:rPr>
            </w:pPr>
            <w:r>
              <w:rPr>
                <w:rFonts w:ascii="Arial" w:cs="Arial" w:eastAsia="Arial" w:hAnsi="Arial"/>
                <w:sz w:val="18"/>
                <w:szCs w:val="18"/>
                <w:b w:val="1"/>
                <w:bCs w:val="1"/>
                <w:color w:val="auto"/>
                <w:w w:val="88"/>
              </w:rPr>
              <w:t>Consolidated Statements of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50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72"/>
              </w:rPr>
              <w:t>Restated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74"/>
              </w:rPr>
              <w:t>Restated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losses on hedging derivatives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tcPr>
          <w:p>
            <w:pPr>
              <w:ind w:left="200"/>
              <w:spacing w:after="0"/>
              <w:rPr>
                <w:sz w:val="20"/>
                <w:szCs w:val="20"/>
                <w:color w:val="auto"/>
              </w:rPr>
            </w:pPr>
            <w:r>
              <w:rPr>
                <w:rFonts w:ascii="Arial" w:cs="Arial" w:eastAsia="Arial" w:hAnsi="Arial"/>
                <w:sz w:val="18"/>
                <w:szCs w:val="18"/>
                <w:color w:val="auto"/>
              </w:rPr>
              <w:t>Unrealized losses on available for sale securities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Realized gains on available for sale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22,353</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jc w:val="center"/>
              <w:ind w:left="1630"/>
              <w:spacing w:after="0"/>
              <w:rPr>
                <w:sz w:val="20"/>
                <w:szCs w:val="20"/>
                <w:color w:val="auto"/>
              </w:rPr>
            </w:pPr>
            <w:r>
              <w:rPr>
                <w:rFonts w:ascii="Arial" w:cs="Arial" w:eastAsia="Arial" w:hAnsi="Arial"/>
                <w:sz w:val="18"/>
                <w:szCs w:val="18"/>
                <w:b w:val="1"/>
                <w:bCs w:val="1"/>
                <w:color w:val="auto"/>
              </w:rPr>
              <w:t>GRAND CANYON EDUCATION, INC.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jc w:val="center"/>
              <w:ind w:left="165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par value)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Restated</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14,652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 and cash equivalents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45,390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$36,945 (Restated)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400"/>
              <w:spacing w:after="0"/>
              <w:rPr>
                <w:sz w:val="20"/>
                <w:szCs w:val="20"/>
                <w:color w:val="auto"/>
              </w:rPr>
            </w:pPr>
            <w:r>
              <w:rPr>
                <w:rFonts w:ascii="Arial" w:cs="Arial" w:eastAsia="Arial" w:hAnsi="Arial"/>
                <w:sz w:val="18"/>
                <w:szCs w:val="18"/>
                <w:color w:val="auto"/>
              </w:rPr>
              <w:t>$30,112 at June 30, 2011 and December 31, 2010,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13,078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13,911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278,582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vMerge w:val="restart"/>
          </w:tcPr>
          <w:p>
            <w:pPr>
              <w:jc w:val="center"/>
              <w:ind w:left="165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27,480</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litigation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Student deposits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46,700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48,873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portion of notes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121,123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20,769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21,881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w w:val="91"/>
              </w:rPr>
              <w:t>Preferred stock, $0.01 par value, 10,000 shares authorized; 0 shares issued and outstanding at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June 30, 2011 and December 31, 2010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45,865 and 45,811 shares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and 44,258 and 45,761 shares outstanding at June 30, 2011 and December 31, 2010,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Treasury stock, at cost, 1,607 and 50 shares of common stock at June 30, 2011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December 31, 2010, respectively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(23,151)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81,261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50,821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278,582</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11"/>
          </w:tcPr>
          <w:p>
            <w:pPr>
              <w:jc w:val="center"/>
              <w:ind w:left="290"/>
              <w:spacing w:after="0"/>
              <w:rPr>
                <w:sz w:val="20"/>
                <w:szCs w:val="20"/>
                <w:color w:val="auto"/>
              </w:rPr>
            </w:pPr>
            <w:r>
              <w:rPr>
                <w:rFonts w:ascii="Arial" w:cs="Arial" w:eastAsia="Arial" w:hAnsi="Arial"/>
                <w:sz w:val="18"/>
                <w:szCs w:val="18"/>
                <w:b w:val="1"/>
                <w:bCs w:val="1"/>
                <w:color w:val="auto"/>
              </w:rPr>
              <w:t>GRAND CANYON EDUCATION, INC.</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40" w:type="dxa"/>
            <w:vAlign w:val="bottom"/>
            <w:gridSpan w:val="12"/>
          </w:tcPr>
          <w:p>
            <w:pPr>
              <w:jc w:val="center"/>
              <w:spacing w:after="0"/>
              <w:rPr>
                <w:sz w:val="20"/>
                <w:szCs w:val="20"/>
                <w:color w:val="auto"/>
              </w:rPr>
            </w:pPr>
            <w:r>
              <w:rPr>
                <w:rFonts w:ascii="Arial" w:cs="Arial" w:eastAsia="Arial" w:hAnsi="Arial"/>
                <w:sz w:val="18"/>
                <w:szCs w:val="18"/>
                <w:b w:val="1"/>
                <w:bCs w:val="1"/>
                <w:color w:val="auto"/>
                <w:w w:val="89"/>
              </w:rPr>
              <w:t>Consolidated Statement of Stockholders’ Equity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6"/>
            <w:vMerge w:val="restart"/>
          </w:tcPr>
          <w:p>
            <w:pPr>
              <w:ind w:left="140"/>
              <w:spacing w:after="0"/>
              <w:rPr>
                <w:sz w:val="20"/>
                <w:szCs w:val="20"/>
                <w:color w:val="auto"/>
              </w:rPr>
            </w:pPr>
            <w:r>
              <w:rPr>
                <w:rFonts w:ascii="Arial" w:cs="Arial" w:eastAsia="Arial" w:hAnsi="Arial"/>
                <w:sz w:val="18"/>
                <w:szCs w:val="18"/>
                <w:b w:val="1"/>
                <w:bCs w:val="1"/>
                <w:color w:val="auto"/>
              </w:rPr>
              <w:t>Common Stock</w:t>
            </w:r>
          </w:p>
        </w:tc>
        <w:tc>
          <w:tcPr>
            <w:tcW w:w="1820" w:type="dxa"/>
            <w:vAlign w:val="bottom"/>
            <w:gridSpan w:val="6"/>
            <w:vMerge w:val="restart"/>
          </w:tcPr>
          <w:p>
            <w:pPr>
              <w:jc w:val="right"/>
              <w:ind w:right="320"/>
              <w:spacing w:after="0"/>
              <w:rPr>
                <w:sz w:val="20"/>
                <w:szCs w:val="20"/>
                <w:color w:val="auto"/>
              </w:rPr>
            </w:pPr>
            <w:r>
              <w:rPr>
                <w:rFonts w:ascii="Arial" w:cs="Arial" w:eastAsia="Arial" w:hAnsi="Arial"/>
                <w:sz w:val="18"/>
                <w:szCs w:val="18"/>
                <w:b w:val="1"/>
                <w:bCs w:val="1"/>
                <w:color w:val="auto"/>
              </w:rPr>
              <w:t>Treasury Stock</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320" w:type="dxa"/>
            <w:vAlign w:val="bottom"/>
          </w:tcPr>
          <w:p>
            <w:pPr>
              <w:spacing w:after="0"/>
              <w:rPr>
                <w:sz w:val="19"/>
                <w:szCs w:val="19"/>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gridSpan w:val="6"/>
            <w:vMerge w:val="continue"/>
          </w:tcPr>
          <w:p>
            <w:pPr>
              <w:spacing w:after="0"/>
              <w:rPr>
                <w:sz w:val="19"/>
                <w:szCs w:val="19"/>
                <w:color w:val="auto"/>
              </w:rPr>
            </w:pPr>
          </w:p>
        </w:tc>
        <w:tc>
          <w:tcPr>
            <w:tcW w:w="182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0"/>
              </w:rPr>
              <w:t>Par Value</w:t>
            </w:r>
          </w:p>
        </w:tc>
        <w:tc>
          <w:tcPr>
            <w:tcW w:w="140" w:type="dxa"/>
            <w:vAlign w:val="bottom"/>
          </w:tcPr>
          <w:p>
            <w:pPr>
              <w:spacing w:after="0"/>
              <w:rPr>
                <w:sz w:val="18"/>
                <w:szCs w:val="18"/>
                <w:color w:val="auto"/>
              </w:rPr>
            </w:pPr>
          </w:p>
        </w:tc>
        <w:tc>
          <w:tcPr>
            <w:tcW w:w="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Stated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320" w:type="dxa"/>
            <w:vAlign w:val="bottom"/>
          </w:tcPr>
          <w:p>
            <w:pPr>
              <w:spacing w:after="0"/>
              <w:rPr>
                <w:sz w:val="18"/>
                <w:szCs w:val="18"/>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Earnings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Restated</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Restated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Balance at December 31,</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0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45,811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77,449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$127,501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22,354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22,354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 on</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hedging derivative, net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taxes of $0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purchased</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for treasury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(22,369)</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020" w:type="dxa"/>
            <w:vAlign w:val="bottom"/>
            <w:gridSpan w:val="2"/>
          </w:tcPr>
          <w:p>
            <w:pPr>
              <w:spacing w:after="0" w:line="201" w:lineRule="exact"/>
              <w:rPr>
                <w:sz w:val="20"/>
                <w:szCs w:val="20"/>
                <w:color w:val="auto"/>
              </w:rPr>
            </w:pPr>
            <w:r>
              <w:rPr>
                <w:rFonts w:ascii="Arial" w:cs="Arial" w:eastAsia="Arial" w:hAnsi="Arial"/>
                <w:sz w:val="18"/>
                <w:szCs w:val="18"/>
                <w:color w:val="auto"/>
              </w:rPr>
              <w:t>Excess tax benefits from</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share-based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Share-based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7"/>
              </w:rPr>
              <w:t>Balance at June 30, 2011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45,865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81,261</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73,175</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131,298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rPr>
              <w:t>GRAND CANYON EDUCATION,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w w:val="70"/>
              </w:rPr>
              <w:t>Restated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22,354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3,130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7,826</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Non-capitalizable system conversion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Litigation settlement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Exit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1,392</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(1,127)</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(8,773)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4,996</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 and employee related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receivable/payable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2,295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6,833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Student deposits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36,026</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(38,276)</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(31,283)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shares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(22,369)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(23,728)</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33,637</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for income taxes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11,793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6,791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Shortfall tax expense from share-based compensation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Grand Canyon Education, Inc. ( together with its subsidiaries, the “University”) is a regionally accredited provider of postsecondary education services focused on offering graduate and undergraduate degree programs in its core disciplines of education, business, healthcare, and liberal arts. The University offers courses online, at its approximately 110 acre traditional ground campus in Phoenix, Arizona and onsite at the facilities of employers. The University’s wholly-owned subsidiaries are currently dormant subsidiaries. The University is accredited by The Higher Learning Commission of the North Central Association of Colleges and Schools.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Restatement of Consolidated Financial Statements</w:t>
      </w:r>
    </w:p>
    <w:p>
      <w:pPr>
        <w:spacing w:after="0" w:line="202" w:lineRule="exact"/>
        <w:rPr>
          <w:sz w:val="20"/>
          <w:szCs w:val="20"/>
          <w:color w:val="auto"/>
        </w:rPr>
      </w:pPr>
    </w:p>
    <w:p>
      <w:pPr>
        <w:ind w:left="340" w:right="239" w:firstLine="389"/>
        <w:spacing w:after="0" w:line="342" w:lineRule="auto"/>
        <w:rPr>
          <w:sz w:val="20"/>
          <w:szCs w:val="20"/>
          <w:color w:val="auto"/>
        </w:rPr>
      </w:pPr>
      <w:r>
        <w:rPr>
          <w:rFonts w:ascii="Arial" w:cs="Arial" w:eastAsia="Arial" w:hAnsi="Arial"/>
          <w:sz w:val="16"/>
          <w:szCs w:val="16"/>
          <w:color w:val="auto"/>
        </w:rPr>
        <w:t>On November 3, 2011, the University determined that there was an error in the methodology it used to estimate its allowance for doubtful accounts and that its financial statements for the three and six months ended June 30, 2011 and 2010 needed to be restated.</w:t>
      </w:r>
    </w:p>
    <w:p>
      <w:pPr>
        <w:spacing w:after="0" w:line="83" w:lineRule="exact"/>
        <w:rPr>
          <w:sz w:val="20"/>
          <w:szCs w:val="20"/>
          <w:color w:val="auto"/>
        </w:rPr>
      </w:pPr>
    </w:p>
    <w:p>
      <w:pPr>
        <w:ind w:left="340" w:right="179" w:firstLine="389"/>
        <w:spacing w:after="0" w:line="268" w:lineRule="auto"/>
        <w:rPr>
          <w:sz w:val="20"/>
          <w:szCs w:val="20"/>
          <w:color w:val="auto"/>
        </w:rPr>
      </w:pPr>
      <w:r>
        <w:rPr>
          <w:rFonts w:ascii="Arial" w:cs="Arial" w:eastAsia="Arial" w:hAnsi="Arial"/>
          <w:sz w:val="17"/>
          <w:szCs w:val="17"/>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147" w:lineRule="exact"/>
        <w:rPr>
          <w:sz w:val="20"/>
          <w:szCs w:val="20"/>
          <w:color w:val="auto"/>
        </w:rPr>
      </w:pPr>
    </w:p>
    <w:p>
      <w:pPr>
        <w:ind w:left="340" w:right="299" w:firstLine="389"/>
        <w:spacing w:after="0" w:line="277" w:lineRule="auto"/>
        <w:rPr>
          <w:sz w:val="20"/>
          <w:szCs w:val="20"/>
          <w:color w:val="auto"/>
        </w:rPr>
      </w:pPr>
      <w:r>
        <w:rPr>
          <w:rFonts w:ascii="Arial" w:cs="Arial" w:eastAsia="Arial" w:hAnsi="Arial"/>
          <w:sz w:val="18"/>
          <w:szCs w:val="18"/>
          <w:color w:val="auto"/>
        </w:rPr>
        <w:t>The following tables summarize the unaudited quarterly results of operations as originally reported and as restated for three and six months ended June 30, 2011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21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 2010</w:t>
            </w:r>
          </w:p>
        </w:tc>
        <w:tc>
          <w:tcPr>
            <w:tcW w:w="5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88"/>
              </w:rPr>
              <w:t>June 30, 2011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As Reported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3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97,522</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103,118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103,118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41,742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45,709</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46,354</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28,976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28,976</w:t>
            </w: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27,709</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27,709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7,038</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86,300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80,456</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11,022</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22,662</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22,659</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9,401</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13,258</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8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0.30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8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45,724</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44,658</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46,557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46,557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45,018</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8"/>
              </w:rPr>
              <w:t>June 30, 2010</w:t>
            </w: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June 30, 2011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3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186,848</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186,648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204,827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204,827</w:t>
            </w: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78,402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87,692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91,539</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95,229</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55,852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55,852</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57,541</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57,541</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13,870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13,870</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156,029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162,950</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166,640</w:t>
            </w: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30,619</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41,877</w:t>
            </w:r>
          </w:p>
        </w:tc>
        <w:tc>
          <w:tcPr>
            <w:tcW w:w="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19"/>
          </w:cols>
          <w:pgMar w:left="240" w:top="419" w:right="1440" w:bottom="0" w:gutter="0" w:footer="0" w:header="0"/>
        </w:sectPr>
      </w:pPr>
    </w:p>
    <w:bookmarkStart w:id="11" w:name="page12"/>
    <w:bookmarkEnd w:id="1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39,701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30,211</w:t>
            </w:r>
          </w:p>
        </w:tc>
        <w:tc>
          <w:tcPr>
            <w:tcW w:w="2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41,799</w:t>
            </w:r>
          </w:p>
        </w:tc>
        <w:tc>
          <w:tcPr>
            <w:tcW w:w="2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38,109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11,997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17,243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15,755</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18,214</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24,556</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8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0.52</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8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45,699</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45,122</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46,441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46,441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45,551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20" w:hanging="8"/>
        <w:spacing w:after="0" w:line="483" w:lineRule="auto"/>
        <w:tabs>
          <w:tab w:leader="none" w:pos="7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The following is a summary of the changes on the University’s balance sheet.</w:t>
      </w:r>
    </w:p>
    <w:tbl>
      <w:tblPr>
        <w:tblLayout w:type="fixed"/>
        <w:tblInd w:w="3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w w:val="99"/>
              </w:rPr>
              <w:t>As of June 30, 2010</w:t>
            </w:r>
          </w:p>
        </w:tc>
        <w:tc>
          <w:tcPr>
            <w:tcW w:w="240" w:type="dxa"/>
            <w:vAlign w:val="bottom"/>
          </w:tcPr>
          <w:p>
            <w:pPr>
              <w:spacing w:after="0"/>
              <w:rPr>
                <w:sz w:val="20"/>
                <w:szCs w:val="20"/>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8"/>
              </w:rPr>
              <w:t>As of June 30, 2011</w:t>
            </w:r>
          </w:p>
        </w:tc>
      </w:tr>
      <w:tr>
        <w:trPr>
          <w:trHeight w:val="210"/>
        </w:trPr>
        <w:tc>
          <w:tcPr>
            <w:tcW w:w="4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Reported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38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r>
      <w:tr>
        <w:trPr>
          <w:trHeight w:val="195"/>
        </w:trPr>
        <w:tc>
          <w:tcPr>
            <w:tcW w:w="4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Accounts receivable, net of allowance for doubtful</w:t>
            </w:r>
          </w:p>
        </w:tc>
        <w:tc>
          <w:tcPr>
            <w:tcW w:w="4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42,636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13,078</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11,182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20,472</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18,103</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36,945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 current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132,933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127,271</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109,807</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98,446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237,813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232,151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289,943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278,582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Accumulated earnings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39,491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33,829</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84,536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73,175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107,645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142,659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131,298</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237,813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232,151</w:t>
            </w:r>
          </w:p>
        </w:tc>
        <w:tc>
          <w:tcPr>
            <w:tcW w:w="2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289,943</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278,582</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changes on the University’s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18"/>
                <w:szCs w:val="18"/>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June 30, 2010</w:t>
            </w:r>
          </w:p>
        </w:tc>
        <w:tc>
          <w:tcPr>
            <w:tcW w:w="260" w:type="dxa"/>
            <w:vAlign w:val="bottom"/>
          </w:tcPr>
          <w:p>
            <w:pPr>
              <w:spacing w:after="0"/>
              <w:rPr>
                <w:sz w:val="20"/>
                <w:szCs w:val="20"/>
                <w:color w:val="auto"/>
              </w:rPr>
            </w:pPr>
          </w:p>
        </w:tc>
        <w:tc>
          <w:tcPr>
            <w:tcW w:w="14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8"/>
              </w:rPr>
              <w:t>June 30, 2011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As Reported</w:t>
            </w: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38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As Reported</w:t>
            </w: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As Restated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23,876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18,214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24,556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Provision for bad debts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10,273</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19,563</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14,586</w:t>
            </w: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18,277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(5,974)</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2,881</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Changes in accounts receivable</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(43,120)</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(42,920)</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(13,372)</w:t>
            </w: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(13,372)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30,127</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30,127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36,026</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36,026</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10</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consolidated financial statements include the accounts of Grand Canyon Education, Inc. and its wholly-owned subsidiaries.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199" w:firstLine="389"/>
        <w:spacing w:after="0" w:line="253" w:lineRule="auto"/>
        <w:rPr>
          <w:sz w:val="20"/>
          <w:szCs w:val="20"/>
          <w:color w:val="auto"/>
        </w:rPr>
      </w:pPr>
      <w:r>
        <w:rPr>
          <w:rFonts w:ascii="Arial" w:cs="Arial" w:eastAsia="Arial" w:hAnsi="Arial"/>
          <w:sz w:val="18"/>
          <w:szCs w:val="18"/>
          <w:color w:val="auto"/>
        </w:rPr>
        <w:t>The accompanying unaudited interim consolidated financial statements of the University have been prepared in accordance with U.S. generally accepted accounting principles, consistent in all material respects with those applied in its financial statements included in its Annual Report on Form 10-K/A for the fiscal year ended December 31, 2010. Accordingly,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10-Q/A should be read in conjunction with the University’s audited financial statements and footnotes included in its Annual Report on Form 10-K/A for the fiscal year ended December 31, 2010 from which the December 31, 2010 balance sheet information was derived.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98" w:lineRule="exact"/>
        <w:rPr>
          <w:sz w:val="20"/>
          <w:szCs w:val="20"/>
          <w:color w:val="auto"/>
        </w:rPr>
      </w:pPr>
    </w:p>
    <w:p>
      <w:pPr>
        <w:ind w:left="340" w:right="259" w:firstLine="389"/>
        <w:spacing w:after="0" w:line="288" w:lineRule="auto"/>
        <w:rPr>
          <w:sz w:val="20"/>
          <w:szCs w:val="20"/>
          <w:color w:val="auto"/>
        </w:rPr>
      </w:pPr>
      <w:r>
        <w:rPr>
          <w:rFonts w:ascii="Arial" w:cs="Arial" w:eastAsia="Arial" w:hAnsi="Arial"/>
          <w:sz w:val="16"/>
          <w:szCs w:val="16"/>
          <w:color w:val="auto"/>
        </w:rPr>
        <w:t xml:space="preserve">A significant portion of the University’s revenue is received from students who participate in government financial aid and assistance programs. Restricted cash and cash equivalents primarily represents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 In addition, the University had also classified the $5,200 that it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it settled in 2010 as restricted cash; this amount was paid during the second quarter of 2011 in final payment of all amounts due under the settlement agreement.</w:t>
      </w:r>
    </w:p>
    <w:p>
      <w:pPr>
        <w:spacing w:after="0" w:line="129" w:lineRule="exact"/>
        <w:rPr>
          <w:sz w:val="20"/>
          <w:szCs w:val="20"/>
          <w:color w:val="auto"/>
        </w:rPr>
      </w:pPr>
    </w:p>
    <w:p>
      <w:pPr>
        <w:ind w:left="340" w:right="539" w:firstLine="389"/>
        <w:spacing w:after="0" w:line="342" w:lineRule="auto"/>
        <w:rPr>
          <w:sz w:val="20"/>
          <w:szCs w:val="20"/>
          <w:color w:val="auto"/>
        </w:rPr>
      </w:pPr>
      <w:r>
        <w:rPr>
          <w:rFonts w:ascii="Arial" w:cs="Arial" w:eastAsia="Arial" w:hAnsi="Arial"/>
          <w:sz w:val="16"/>
          <w:szCs w:val="16"/>
          <w:color w:val="auto"/>
        </w:rPr>
        <w:t>In the fourth quarter of 2010, the counterparty to the University’s interest rate swap made a collateral call and the University posted $760 of pledged collateral as noncurrent restricted cash. The pledged collateral was reduced to $555 as of June 30, 2011.</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98" w:lineRule="exact"/>
        <w:rPr>
          <w:sz w:val="20"/>
          <w:szCs w:val="20"/>
          <w:color w:val="auto"/>
        </w:rPr>
      </w:pPr>
    </w:p>
    <w:p>
      <w:pPr>
        <w:ind w:left="340" w:right="279" w:firstLine="389"/>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200" w:lineRule="exact"/>
        <w:rPr>
          <w:sz w:val="20"/>
          <w:szCs w:val="20"/>
          <w:color w:val="auto"/>
        </w:rPr>
      </w:pPr>
    </w:p>
    <w:p>
      <w:pPr>
        <w:spacing w:after="0" w:line="32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48"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On June 30, 2009, the University entered into an interest rate corridor instrument and an interest rate swap to manage its 30 Day LIBOR interest exposure related to its variable rate debt, which commenced in April 2009 and matures in March 2016. The fair value of the interest rate corridor instrument as of June 30, 2011 and December 31, 2010 was $10 and $27, respectively, which is included in other assets. The fair value of the interest rate swap is a liability of $659 and $686 as of June 30, 2011 and December 31, 2010, respectively, which is included in other noncurrent liabilities. The fair values of each derivative instrument were determined using a hypothetical derivative transaction and Level 2 of the hierarchy of valuation inputs. These derivative instruments were designated as cash flow hedges of variable rate debt obligations. The adjustment of $1 and $354 in the first six months of 2011 and 2010, respectively, for the effective portion of the loss on the derivatives is included as a component of other comprehensive income, net of taxes.</w:t>
      </w:r>
    </w:p>
    <w:p>
      <w:pPr>
        <w:spacing w:after="0" w:line="141" w:lineRule="exact"/>
        <w:rPr>
          <w:sz w:val="20"/>
          <w:szCs w:val="20"/>
          <w:color w:val="auto"/>
        </w:rPr>
      </w:pPr>
    </w:p>
    <w:p>
      <w:pPr>
        <w:ind w:left="340" w:right="179" w:firstLine="389"/>
        <w:spacing w:after="0" w:line="276" w:lineRule="auto"/>
        <w:rPr>
          <w:sz w:val="20"/>
          <w:szCs w:val="20"/>
          <w:color w:val="auto"/>
        </w:rPr>
      </w:pPr>
      <w:r>
        <w:rPr>
          <w:rFonts w:ascii="Arial" w:cs="Arial" w:eastAsia="Arial" w:hAnsi="Arial"/>
          <w:sz w:val="17"/>
          <w:szCs w:val="17"/>
          <w:color w:val="auto"/>
        </w:rPr>
        <w:t>The interest rate corridor instrument hedges variable interest rate risk starting July 1, 2009 through April 30, 2014 with a notional amount of $11,055 as of June 30, 2011. The corridor instrument permits the University to hedge its interest rate risk at several thresholds; the University will pay variable interest rates based on the 30 Day LIBOR rates monthly until that index reaches 4%. If 30 Day LIBOR is equal to 4% through 6%, the University will pay 4%. If 30 Day LIBOR exceeds 6%, the University will pay actual 30 Day LIBOR less 2%. This reduces the University’s exposure to potential increases in interest rates.</w:t>
      </w:r>
    </w:p>
    <w:p>
      <w:pPr>
        <w:spacing w:after="0" w:line="146" w:lineRule="exact"/>
        <w:rPr>
          <w:sz w:val="20"/>
          <w:szCs w:val="20"/>
          <w:color w:val="auto"/>
        </w:rPr>
      </w:pPr>
    </w:p>
    <w:p>
      <w:pPr>
        <w:ind w:left="340" w:right="339" w:firstLine="389"/>
        <w:spacing w:after="0" w:line="297" w:lineRule="auto"/>
        <w:rPr>
          <w:sz w:val="20"/>
          <w:szCs w:val="20"/>
          <w:color w:val="auto"/>
        </w:rPr>
      </w:pPr>
      <w:r>
        <w:rPr>
          <w:rFonts w:ascii="Arial" w:cs="Arial" w:eastAsia="Arial" w:hAnsi="Arial"/>
          <w:sz w:val="16"/>
          <w:szCs w:val="16"/>
          <w:color w:val="auto"/>
        </w:rPr>
        <w:t>The interest rate swap commenced on May 1, 2010 and continues each month thereafter until April 30, 2014 and has a notional amount of $11,055 as of June 30, 2011. The University will receive 30 Day LIBOR and pay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June 30, 2011 and December 31, 2010 in the amount of $555 and $760, respectively.</w:t>
      </w:r>
    </w:p>
    <w:p>
      <w:pPr>
        <w:spacing w:after="0" w:line="118" w:lineRule="exact"/>
        <w:rPr>
          <w:sz w:val="20"/>
          <w:szCs w:val="20"/>
          <w:color w:val="auto"/>
        </w:rPr>
      </w:pPr>
    </w:p>
    <w:p>
      <w:pPr>
        <w:jc w:val="both"/>
        <w:ind w:left="340" w:right="339" w:firstLine="389"/>
        <w:spacing w:after="0" w:line="302" w:lineRule="auto"/>
        <w:rPr>
          <w:sz w:val="20"/>
          <w:szCs w:val="20"/>
          <w:color w:val="auto"/>
        </w:rPr>
      </w:pPr>
      <w:r>
        <w:rPr>
          <w:rFonts w:ascii="Arial" w:cs="Arial" w:eastAsia="Arial" w:hAnsi="Arial"/>
          <w:sz w:val="16"/>
          <w:szCs w:val="16"/>
          <w:color w:val="auto"/>
        </w:rPr>
        <w:t>As of June 30, 2011 no derivative ineffectiveness was identified. Any ineffectiveness in the University’s derivative instruments designated as hedges would be reported in interest expense in the income statement. For the six months ended June 30, 2011 $11 of credit risk was recorded in interest expense on the derivatives. At June 30, 2011, the University is not expected to reclassify gains or losses on derivative instruments from accumulated other comprehensive (loss) income into earnings during the next 12 months.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As of June 30, 2011,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110 acre traditional campus in Phoenix, Arizona, and onsite at the facilities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six months ended June 30, 2011 and 2010, the University’s revenue was reduced by approximately $34,939 and $25,043,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on a pro-rata basis over the applicable period of instruction. Since the University recognizes revenue pro-rata over the applicable period of instruction and because, under its institutional refund policy, the amount subject to refund is never greater than the amount of the revenue that has been deferred, under the University’s accounting policies revenue is not recognized with respect to amounts that could potentially be refunded. The University’s change in April 2010 to a non-term borrower-based institution from a term based institution for federal student financial aid funding purposes does not have any impact on the timing and recognition of revenues.</w:t>
      </w:r>
    </w:p>
    <w:p>
      <w:pPr>
        <w:sectPr>
          <w:pgSz w:w="11900" w:h="16838" w:orient="portrait"/>
          <w:cols w:equalWidth="0" w:num="1">
            <w:col w:w="10219"/>
          </w:cols>
          <w:pgMar w:left="240" w:top="419" w:right="1440" w:bottom="1068"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8"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85" w:lineRule="exact"/>
        <w:rPr>
          <w:sz w:val="20"/>
          <w:szCs w:val="20"/>
          <w:color w:val="auto"/>
        </w:rPr>
      </w:pPr>
    </w:p>
    <w:p>
      <w:pPr>
        <w:ind w:left="340" w:right="179" w:firstLine="389"/>
        <w:spacing w:after="0" w:line="273" w:lineRule="auto"/>
        <w:rPr>
          <w:sz w:val="20"/>
          <w:szCs w:val="20"/>
          <w:color w:val="auto"/>
        </w:rPr>
      </w:pPr>
      <w:r>
        <w:rPr>
          <w:rFonts w:ascii="Arial" w:cs="Arial" w:eastAsia="Arial" w:hAnsi="Arial"/>
          <w:sz w:val="17"/>
          <w:szCs w:val="17"/>
          <w:color w:val="auto"/>
        </w:rPr>
        <w:t>Instructional costs and services expenses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royalty to former owner, rent, and occupancy costs attributable to the provision of educational services, primarily at the University’s Phoenix, Arizona campus.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198" w:lineRule="exact"/>
        <w:rPr>
          <w:sz w:val="20"/>
          <w:szCs w:val="20"/>
          <w:color w:val="auto"/>
        </w:rPr>
      </w:pPr>
    </w:p>
    <w:p>
      <w:pPr>
        <w:ind w:left="340" w:right="499" w:firstLine="389"/>
        <w:spacing w:after="0" w:line="257" w:lineRule="auto"/>
        <w:rPr>
          <w:sz w:val="20"/>
          <w:szCs w:val="20"/>
          <w:color w:val="auto"/>
        </w:rPr>
      </w:pPr>
      <w:r>
        <w:rPr>
          <w:rFonts w:ascii="Arial" w:cs="Arial" w:eastAsia="Arial" w:hAnsi="Arial"/>
          <w:sz w:val="18"/>
          <w:szCs w:val="18"/>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University’s facilities in Arizona. Selling and promotional costs are expensed as incurred.</w:t>
      </w:r>
    </w:p>
    <w:p>
      <w:pPr>
        <w:spacing w:after="0" w:line="148" w:lineRule="exact"/>
        <w:rPr>
          <w:sz w:val="20"/>
          <w:szCs w:val="20"/>
          <w:color w:val="auto"/>
        </w:rPr>
      </w:pPr>
    </w:p>
    <w:p>
      <w:pPr>
        <w:ind w:left="340" w:right="199" w:firstLine="389"/>
        <w:spacing w:after="0" w:line="259" w:lineRule="auto"/>
        <w:rPr>
          <w:sz w:val="20"/>
          <w:szCs w:val="20"/>
          <w:color w:val="auto"/>
        </w:rPr>
      </w:pPr>
      <w:r>
        <w:rPr>
          <w:rFonts w:ascii="Arial" w:cs="Arial" w:eastAsia="Arial" w:hAnsi="Arial"/>
          <w:sz w:val="18"/>
          <w:szCs w:val="18"/>
          <w:color w:val="auto"/>
        </w:rPr>
        <w:t>Through December 2010, the University was a party to a revenue sharing arrangement (the Collaboration Agreement) with Mind Streams, L.L.C. (Mind Streams), a related party pursuant to which it paid a percentage of the net revenue that it actually received from applicants recruited by Mind Streams that matriculated at Grand Canyon University. Mind Streams bore all costs associated with the recruitment of these applicants.</w:t>
      </w:r>
    </w:p>
    <w:p>
      <w:pPr>
        <w:spacing w:after="0" w:line="146" w:lineRule="exact"/>
        <w:rPr>
          <w:sz w:val="20"/>
          <w:szCs w:val="20"/>
          <w:color w:val="auto"/>
        </w:rPr>
      </w:pPr>
    </w:p>
    <w:p>
      <w:pPr>
        <w:ind w:left="340" w:right="259" w:firstLine="389"/>
        <w:spacing w:after="0" w:line="286" w:lineRule="auto"/>
        <w:rPr>
          <w:sz w:val="20"/>
          <w:szCs w:val="20"/>
          <w:color w:val="auto"/>
        </w:rPr>
      </w:pPr>
      <w:r>
        <w:rPr>
          <w:rFonts w:ascii="Arial" w:cs="Arial" w:eastAsia="Arial" w:hAnsi="Arial"/>
          <w:sz w:val="16"/>
          <w:szCs w:val="16"/>
          <w:color w:val="auto"/>
        </w:rPr>
        <w:t>As a result of new rules adopted by the U.S. Department of Education in 2010 and effective July 1, 2011, the University determined that revenue sharing arrangements like the Collaboration Agreement, and the manner in which it paid amounts under the Collaboration Agreement, would most likely no longer be permitted. Accordingly, the University and Mind Streams entered into an agreement, dated December 30, 2010, pursuant to which the University agreed to pay Mind Streams an amount equal to (a) $8,500, plus (b) Mind Streams’ applicable share of any net revenue actually received by the University on or before February 28, 2011 with respect to any students recruited by Mind Streams that commenced University courses prior to November 1, 2010. In return, Mind Streams agreed to (i) accept such amounts in full and complete satisfaction of all amounts owed by the University to Mind Streams under the Collaboration Agreement, and (ii) transfer to the University a proprietary database of potential student leads. A payment of $8,500 was made in January 2011 in conjunction with this agreement, which was expensed in 2010. Additionally in 2010, Gail Richardson, the father of Brent D. Richardson, the University’s Executive Chairman, and Christopher C. Richardson, the University’s General Counsel and a director, formed a new entity, Lifetime Learning, for the purpose of generating and selling leads to the University and other entities in the education sector. For the six months ended June 30, 2011 and 2010, the University expensed approximately $403 and $4,975, respectively, pursuant to these arrangements, exclusive of the settlement arrangement discussed above. As of June 30, 2011 and December 31, 2010, $67 and $9,367, respectively, were due to these related parties.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Exit Costs</w:t>
      </w:r>
    </w:p>
    <w:p>
      <w:pPr>
        <w:spacing w:after="0" w:line="185"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In November 2009, the University finalized a plan to centralize its student services operations in Arizona and, as a result, closed its student services facility in Utah. The exit costs incurred in connection with this decision have been expensed and are presented separately on the income statement. The costs incurred included severance payments; relocation expenses; future lease payments, net of estimated sublease rentals; and the write off of leasehold improvements associated with this leased space. The following is a summary of the University’s exit activities: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Accrued Exit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Accrued</w:t>
            </w:r>
          </w:p>
        </w:tc>
      </w:tr>
      <w:tr>
        <w:trPr>
          <w:trHeight w:val="216"/>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Costs at</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89"/>
              </w:rPr>
              <w:t>Exit Costs at</w:t>
            </w:r>
          </w:p>
        </w:tc>
      </w:tr>
      <w:tr>
        <w:trPr>
          <w:trHeight w:val="216"/>
        </w:trPr>
        <w:tc>
          <w:tcPr>
            <w:tcW w:w="4560" w:type="dxa"/>
            <w:vAlign w:val="bottom"/>
          </w:tcPr>
          <w:p>
            <w:pPr>
              <w:spacing w:after="0"/>
              <w:rPr>
                <w:sz w:val="18"/>
                <w:szCs w:val="18"/>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6"/>
              </w:rPr>
              <w:t>Payments in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7"/>
              </w:rPr>
              <w:t>Exit Costs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exit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left="340" w:right="359" w:firstLine="389"/>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379" w:firstLine="389"/>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Certain reclassifications have been made to the prior period balances to conform to the current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right="839" w:firstLine="389"/>
        <w:spacing w:after="0" w:line="308" w:lineRule="auto"/>
        <w:rPr>
          <w:sz w:val="20"/>
          <w:szCs w:val="20"/>
          <w:color w:val="auto"/>
        </w:rPr>
      </w:pPr>
      <w:r>
        <w:rPr>
          <w:rFonts w:ascii="Arial" w:cs="Arial" w:eastAsia="Arial" w:hAnsi="Arial"/>
          <w:sz w:val="17"/>
          <w:szCs w:val="17"/>
          <w:color w:val="auto"/>
        </w:rPr>
        <w:t>The University has reviewed and evaluated all recent accounting pronouncements and believes there are none that could potentially have a material impact on the University’s financial condition, results of operations, or disclosures.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Net Income Per Common Share</w:t>
      </w:r>
    </w:p>
    <w:p>
      <w:pPr>
        <w:spacing w:after="0" w:line="189"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660" w:firstLine="389"/>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7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580" w:type="dxa"/>
            <w:vAlign w:val="bottom"/>
          </w:tcPr>
          <w:p>
            <w:pPr>
              <w:spacing w:after="0"/>
              <w:rPr>
                <w:sz w:val="20"/>
                <w:szCs w:val="20"/>
                <w:color w:val="auto"/>
              </w:rPr>
            </w:pPr>
          </w:p>
        </w:tc>
        <w:tc>
          <w:tcPr>
            <w:tcW w:w="160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458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44,658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45,724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45,122</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45,699</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46,557</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45,551</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46,441</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1500" w:firstLine="389"/>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the six months ended June 30, 2011 and 2010, approximately 2,735 and 690, respectively, of the University’s stock options outstanding were excluded from the calculation of diluted earnings per share as their inclusion would have been anti-dilutive. These options could be dilutive in the future.</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3880" w:type="dxa"/>
            <w:vAlign w:val="bottom"/>
          </w:tcPr>
          <w:p>
            <w:pPr>
              <w:spacing w:after="0"/>
              <w:rPr>
                <w:sz w:val="18"/>
                <w:szCs w:val="18"/>
                <w:color w:val="auto"/>
              </w:rPr>
            </w:pPr>
          </w:p>
        </w:tc>
        <w:tc>
          <w:tcPr>
            <w:tcW w:w="2040" w:type="dxa"/>
            <w:vAlign w:val="bottom"/>
            <w:gridSpan w:val="4"/>
          </w:tcPr>
          <w:p>
            <w:pPr>
              <w:ind w:left="700"/>
              <w:spacing w:after="0"/>
              <w:rPr>
                <w:sz w:val="20"/>
                <w:szCs w:val="20"/>
                <w:color w:val="auto"/>
              </w:rPr>
            </w:pPr>
            <w:r>
              <w:rPr>
                <w:rFonts w:ascii="Arial" w:cs="Arial" w:eastAsia="Arial" w:hAnsi="Arial"/>
                <w:sz w:val="18"/>
                <w:szCs w:val="18"/>
                <w:b w:val="1"/>
                <w:bCs w:val="1"/>
                <w:color w:val="auto"/>
              </w:rPr>
              <w:t>Beginning of</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Charged to</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End of</w:t>
            </w:r>
          </w:p>
        </w:tc>
      </w:tr>
      <w:tr>
        <w:trPr>
          <w:trHeight w:val="234"/>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Period</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Expense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Deductions</w:t>
            </w:r>
            <w:r>
              <w:rPr>
                <w:rFonts w:ascii="Arial" w:cs="Arial" w:eastAsia="Arial" w:hAnsi="Arial"/>
                <w:sz w:val="15"/>
                <w:szCs w:val="15"/>
                <w:b w:val="1"/>
                <w:bCs w:val="1"/>
                <w:color w:val="auto"/>
                <w:w w:val="87"/>
              </w:rPr>
              <w:t>(1)</w:t>
            </w:r>
          </w:p>
        </w:tc>
        <w:tc>
          <w:tcPr>
            <w:tcW w:w="16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Six months ended June 30, 2011 (Restated)</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30,112</w:t>
            </w:r>
          </w:p>
        </w:tc>
        <w:tc>
          <w:tcPr>
            <w:tcW w:w="3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18,277</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(11,444)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36,945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2010 (Restated)</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19,563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20,472</w:t>
            </w:r>
          </w:p>
        </w:tc>
      </w:tr>
    </w:tbl>
    <w:p>
      <w:pPr>
        <w:spacing w:after="0" w:line="40"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340" w:type="dxa"/>
            <w:vAlign w:val="bottom"/>
          </w:tcPr>
          <w:p>
            <w:pPr>
              <w:ind w:left="380"/>
              <w:spacing w:after="0"/>
              <w:rPr>
                <w:sz w:val="20"/>
                <w:szCs w:val="20"/>
                <w:color w:val="auto"/>
              </w:rPr>
            </w:pPr>
            <w:r>
              <w:rPr>
                <w:rFonts w:ascii="Arial" w:cs="Arial" w:eastAsia="Arial" w:hAnsi="Arial"/>
                <w:sz w:val="18"/>
                <w:szCs w:val="18"/>
                <w:color w:val="auto"/>
              </w:rPr>
              <w:t>Property and equipment consist of the following:</w:t>
            </w: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of</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Land improvements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40,166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5,467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55,394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(31,887)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161,532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123,999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900" w:type="dxa"/>
            <w:vAlign w:val="bottom"/>
            <w:vMerge w:val="restart"/>
          </w:tcPr>
          <w:p>
            <w:pPr>
              <w:jc w:val="right"/>
              <w:ind w:right="221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left="340" w:right="579" w:firstLine="389"/>
        <w:spacing w:after="0" w:line="342" w:lineRule="auto"/>
        <w:rPr>
          <w:sz w:val="20"/>
          <w:szCs w:val="20"/>
          <w:color w:val="auto"/>
        </w:rPr>
      </w:pPr>
      <w:r>
        <w:rPr>
          <w:rFonts w:ascii="Arial" w:cs="Arial" w:eastAsia="Arial" w:hAnsi="Arial"/>
          <w:sz w:val="16"/>
          <w:szCs w:val="16"/>
          <w:color w:val="auto"/>
        </w:rPr>
        <w:t>The University leases certain land, buildings and equipment under non-cancelable operating leases expiring at various dates through 2023. Future minimum lease payments under operating leases due each year are as follows at June 30, 2011:</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5,280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13,615</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36,739</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379" w:firstLine="389"/>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2011 and 2010 were $3,249 and $2,327,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40"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 xml:space="preserve">In connection with the settlement of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that had been filed against the University in August 2007 in the United States District Court for the District of Arizona (the “Court”), which settlement was approved by the Court in August 2010, the University paid $5,200 in accordance with the settlement agreement in the second quarter of 2011. This amount had been accrued for payment since September 2009.</w:t>
      </w:r>
    </w:p>
    <w:p>
      <w:pPr>
        <w:spacing w:after="0" w:line="146" w:lineRule="exact"/>
        <w:rPr>
          <w:sz w:val="20"/>
          <w:szCs w:val="20"/>
          <w:color w:val="auto"/>
        </w:rPr>
      </w:pPr>
    </w:p>
    <w:p>
      <w:pPr>
        <w:jc w:val="both"/>
        <w:ind w:left="340" w:right="579" w:firstLine="389"/>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98" w:lineRule="exact"/>
        <w:rPr>
          <w:sz w:val="20"/>
          <w:szCs w:val="20"/>
          <w:color w:val="auto"/>
        </w:rPr>
      </w:pPr>
    </w:p>
    <w:p>
      <w:pPr>
        <w:jc w:val="both"/>
        <w:ind w:left="340" w:right="599" w:firstLine="389"/>
        <w:spacing w:after="0" w:line="31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At June 30, 2011 and December 31, 2010, the University had reserved approximately $83 and $92, respectively, for tax matters where its ultimate exposure is considered probable and the potential loss can be reasonably estimated.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340" w:right="639" w:firstLine="389"/>
        <w:spacing w:after="0" w:line="342" w:lineRule="auto"/>
        <w:rPr>
          <w:sz w:val="20"/>
          <w:szCs w:val="20"/>
          <w:color w:val="auto"/>
        </w:rPr>
      </w:pPr>
      <w:r>
        <w:rPr>
          <w:rFonts w:ascii="Arial" w:cs="Arial" w:eastAsia="Arial" w:hAnsi="Arial"/>
          <w:sz w:val="16"/>
          <w:szCs w:val="16"/>
          <w:color w:val="auto"/>
        </w:rPr>
        <w:t>The University’s uncertain tax positions are related to tax years that remain subject to examination by tax authorities. As of June 30, 2011, the earliest tax year still subject to examination for federal and state purposes is 2007 and 2005, respectively.</w:t>
      </w: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pacing w:after="0" w:line="189" w:lineRule="exact"/>
        <w:rPr>
          <w:sz w:val="20"/>
          <w:szCs w:val="20"/>
          <w:color w:val="auto"/>
        </w:rPr>
      </w:pPr>
    </w:p>
    <w:p>
      <w:pPr>
        <w:ind w:left="340" w:right="199" w:firstLine="389"/>
        <w:spacing w:after="0" w:line="272"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the previous December 31, raising the total number of shares of common stock authorized for issuance under the Incentive Plan to 7,622 shares. Although the ESPP has not yet been implemented, a total of 1,050 shares of the University’s common stock has been authorized for sale under the ESPP.</w:t>
      </w:r>
    </w:p>
    <w:p>
      <w:pPr>
        <w:spacing w:after="0" w:line="137"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color w:val="auto"/>
        </w:rPr>
        <w:t>A summary of the activity related to stock options granted under the University’s Incentive Plan since December 31, 2010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40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Summary of Stock 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 per</w:t>
            </w: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Share</w:t>
            </w:r>
          </w:p>
        </w:tc>
        <w:tc>
          <w:tcPr>
            <w:tcW w:w="3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(Years)</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14.24</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restart"/>
          </w:tcPr>
          <w:p>
            <w:pPr>
              <w:ind w:left="440"/>
              <w:spacing w:after="0"/>
              <w:rPr>
                <w:sz w:val="20"/>
                <w:szCs w:val="20"/>
                <w:color w:val="auto"/>
              </w:rPr>
            </w:pPr>
            <w:r>
              <w:rPr>
                <w:rFonts w:ascii="Arial" w:cs="Arial" w:eastAsia="Arial" w:hAnsi="Arial"/>
                <w:sz w:val="18"/>
                <w:szCs w:val="18"/>
                <w:color w:val="auto"/>
              </w:rPr>
              <w:t>15.34</w:t>
            </w: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12.00</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17.31</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June 30, 2011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14.48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June 30, 2011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4"/>
              </w:rPr>
              <w:t>13.06</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June 30, 2011</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339" w:hanging="388"/>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June 30, 2011 ($14.18) in excess of the exercise price multiplied by the number of options outstanding or exercisable.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85" w:lineRule="exact"/>
        <w:rPr>
          <w:sz w:val="20"/>
          <w:szCs w:val="20"/>
          <w:color w:val="auto"/>
        </w:rPr>
      </w:pPr>
    </w:p>
    <w:p>
      <w:pPr>
        <w:ind w:left="340" w:right="859" w:firstLine="389"/>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2011 and 2010 related to restricted stock and stock options granted: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r>
      <w:tr>
        <w:trPr>
          <w:trHeight w:val="223"/>
        </w:trPr>
        <w:tc>
          <w:tcPr>
            <w:tcW w:w="7300" w:type="dxa"/>
            <w:vAlign w:val="bottom"/>
          </w:tcPr>
          <w:p>
            <w:pPr>
              <w:ind w:left="200"/>
              <w:spacing w:after="0"/>
              <w:rPr>
                <w:sz w:val="20"/>
                <w:szCs w:val="20"/>
                <w:color w:val="auto"/>
              </w:rPr>
            </w:pPr>
            <w:r>
              <w:rPr>
                <w:rFonts w:ascii="Arial" w:cs="Arial" w:eastAsia="Arial" w:hAnsi="Arial"/>
                <w:sz w:val="18"/>
                <w:szCs w:val="18"/>
                <w:b w:val="1"/>
                <w:bCs w:val="1"/>
                <w:color w:val="auto"/>
              </w:rPr>
              <w:t>Share-based compensation expense, net of tax</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202" w:lineRule="exact"/>
        <w:rPr>
          <w:sz w:val="20"/>
          <w:szCs w:val="20"/>
          <w:color w:val="auto"/>
        </w:rPr>
      </w:pPr>
    </w:p>
    <w:p>
      <w:pPr>
        <w:ind w:left="340" w:right="179" w:firstLine="389"/>
        <w:spacing w:after="0" w:line="257"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99" w:firstLine="389"/>
        <w:spacing w:after="0" w:line="285"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University submitted its application for recertification in March 2008 in anticipation of the expiration of its provisional certification on June 30, 2008. The Department of Education did not make a decision on the University’s recertification application by June 30, 2008, and therefore the University’s participation in the Title IV programs had been automatically extended thereafter on a month-to-month basis pending the Department of Education’s decision. While this decision remained pending, on January 12, 2011, the University disclosed the termination of certain voting agreements that had the effect of triggering a change in control under Department of Education regulations because it caused the University’s largest stockholder group to own and control less than 25% of the University’s outstanding voting stock. On April 8, 2011, following the completion of the Department of Education’s review of the information that the University provided in connection with the termination of the voting agreements, the Department of Education notified the University that it had approved its application for a change of ownership and issued to the University a new, provisional program participation agreement to participate in the Title IV programs. While this certification is provisional, it did remove the University from month-to-month status, provides for the University’s continued participation in Title IV programs through December 31, 2013, and did not impose any conditions (such as any letter of credit requirement) or other restrictions on the University during the provisional period other than the standard restrictions applicable to a provisional certification. In accordance with the terms of the provisional certification, the University may apply for recertification on a full basis by submitting a complete application by no later than September 30, 2013.</w:t>
      </w:r>
    </w:p>
    <w:p>
      <w:pPr>
        <w:spacing w:after="0" w:line="128" w:lineRule="exact"/>
        <w:rPr>
          <w:sz w:val="20"/>
          <w:szCs w:val="20"/>
          <w:color w:val="auto"/>
        </w:rPr>
      </w:pPr>
    </w:p>
    <w:p>
      <w:pPr>
        <w:ind w:left="340" w:right="359" w:firstLine="389"/>
        <w:spacing w:after="0" w:line="273" w:lineRule="auto"/>
        <w:rPr>
          <w:sz w:val="20"/>
          <w:szCs w:val="20"/>
          <w:color w:val="auto"/>
        </w:rPr>
      </w:pPr>
      <w:r>
        <w:rPr>
          <w:rFonts w:ascii="Arial" w:cs="Arial" w:eastAsia="Arial" w:hAnsi="Arial"/>
          <w:sz w:val="17"/>
          <w:szCs w:val="17"/>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38" w:lineRule="exact"/>
        <w:rPr>
          <w:sz w:val="20"/>
          <w:szCs w:val="20"/>
          <w:color w:val="auto"/>
        </w:rPr>
      </w:pPr>
    </w:p>
    <w:p>
      <w:pPr>
        <w:ind w:left="340" w:right="179" w:firstLine="389"/>
        <w:spacing w:after="0" w:line="269"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the University’s campus and reviewed, and in some cases requested further information regarding, the University’s records, practices and policies relating to, among other things, financial aid, enrollment, enrollment counselor compensation, program eligibility and other Title IV compliance matters. Upon the conclusion of the site visit, the University was informed by the program review team that it would (i) conduct further review of the University’s documents and records offsite, (ii) upon completion of such review, schedule a formal exit interview to be followed by a preliminary program review report in which any preliminary findings of non-compliance would be presented, and (iii) conclude the review by issuance of a final determination letter. The program review team has not yet scheduled a formal exit interview with the University. Accordingly, at this point, the program review remains open and the University intends to continue to cooperate with the review team until the program review is completed.</w:t>
      </w:r>
    </w:p>
    <w:p>
      <w:pPr>
        <w:spacing w:after="0" w:line="153" w:lineRule="exact"/>
        <w:rPr>
          <w:sz w:val="20"/>
          <w:szCs w:val="20"/>
          <w:color w:val="auto"/>
        </w:rPr>
      </w:pPr>
    </w:p>
    <w:p>
      <w:pPr>
        <w:ind w:left="340" w:right="179" w:firstLine="389"/>
        <w:spacing w:after="0" w:line="289" w:lineRule="auto"/>
        <w:rPr>
          <w:sz w:val="20"/>
          <w:szCs w:val="20"/>
          <w:color w:val="auto"/>
        </w:rPr>
      </w:pPr>
      <w:r>
        <w:rPr>
          <w:rFonts w:ascii="Arial" w:cs="Arial" w:eastAsia="Arial" w:hAnsi="Arial"/>
          <w:sz w:val="16"/>
          <w:szCs w:val="16"/>
          <w:color w:val="auto"/>
        </w:rPr>
        <w:t>While the University has not yet received notification of the timing of its exit interview or the Department of Education’s preliminary program review report or final determination letter, following the conclusion of the site visit the University became aware that the program review team had two preliminary findings of concern. The first issue is whether a compensation policy in use during part of the period under review improperly rewarded some enrollment counselors based on success in enrolling students in violation of applicable law. As the University has previously disclosed, while it believes that the University’s compensation policies and practices at issue in the program review were not based on success in enrolling students in violation of applicable law, the Department of Education’s regulations and interpretations of the incentive compensation law as in effect at the time did not establish clear criteria for compliance in all circumstances and some of the University’s practices in prior years were not within the scope of any of the specific “safe harbors” provided in the compensation regulations and applicable during that period.</w:t>
      </w:r>
    </w:p>
    <w:p>
      <w:pPr>
        <w:spacing w:after="0" w:line="200" w:lineRule="exact"/>
        <w:rPr>
          <w:sz w:val="20"/>
          <w:szCs w:val="20"/>
          <w:color w:val="auto"/>
        </w:rPr>
      </w:pPr>
    </w:p>
    <w:p>
      <w:pPr>
        <w:spacing w:after="0" w:line="31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79" w:firstLine="389"/>
        <w:spacing w:after="0" w:line="286" w:lineRule="auto"/>
        <w:rPr>
          <w:sz w:val="20"/>
          <w:szCs w:val="20"/>
          <w:color w:val="auto"/>
        </w:rPr>
      </w:pPr>
      <w:r>
        <w:rPr>
          <w:rFonts w:ascii="Arial" w:cs="Arial" w:eastAsia="Arial" w:hAnsi="Arial"/>
          <w:sz w:val="16"/>
          <w:szCs w:val="16"/>
          <w:color w:val="auto"/>
        </w:rPr>
        <w:t>The second issue is whether, during the award years under review, certain programs offered within the University’s College of Liberal Arts provided students with training to prepare them for gainful employment in a recognized occupation.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(the University has held a regional accreditation since 1968). Subsequent to the site visit, the program review team submitted a written request to the University in which the program review team stated the view that, prior to July 1, 2010, traditional liberal arts programs were not considered as being eligible under Title IV but then requested additional information from the University that would help the Department of Education determine whether the programs offered within the University’s College of Liberal Arts were eligible under Title IV because they did provide training to prepare students for gainful employment in a recognized occupation. While the University was not informed as to which specific programs offered within the University’s College of Liberal Arts the program review team believes may be ineligible, in August 2010 the University provided the Department of Education with the requested information which the University believes will demonstrate that the programs offered within the University’s College of Liberal Arts met this requirement. The University has received no further communications from the Department of Education regarding the program review.</w:t>
      </w:r>
    </w:p>
    <w:p>
      <w:pPr>
        <w:spacing w:after="0" w:line="128" w:lineRule="exact"/>
        <w:rPr>
          <w:sz w:val="20"/>
          <w:szCs w:val="20"/>
          <w:color w:val="auto"/>
        </w:rPr>
      </w:pPr>
    </w:p>
    <w:p>
      <w:pPr>
        <w:ind w:left="340" w:right="239" w:firstLine="389"/>
        <w:spacing w:after="0" w:line="268" w:lineRule="auto"/>
        <w:rPr>
          <w:sz w:val="20"/>
          <w:szCs w:val="20"/>
          <w:color w:val="auto"/>
        </w:rPr>
      </w:pPr>
      <w:r>
        <w:rPr>
          <w:rFonts w:ascii="Arial" w:cs="Arial" w:eastAsia="Arial" w:hAnsi="Arial"/>
          <w:sz w:val="17"/>
          <w:szCs w:val="17"/>
          <w:color w:val="auto"/>
        </w:rPr>
        <w:t>The University’s policies and procedures are planned and implemented to comply with the applicable standards and regulations under Title IV. If and to the extent the Department of Education’s final determination letter identifies any compliance issues, the University is committed to resolving such issues and ensuring that Grand Canyon University operates in compliance with all Department of Education requirements. Program reviews may remain unresolved for months or years with little or no communication from the Department of Education, and may involve multiple exchanges of information following the site visit. The University cannot presently predict whether or if further information requests will be made, when the exit interview will take place, when the preliminary program review report or final determination letter will be issued, or when the program review will be closed. If the Department of Education were to make significant findings of non-compliance in the final program review determination letter, including any finding related to the two issues discussed above, then, after exhausting any administrative appeals available to the University, the University could be required to pay a fine, return Title IV monies previously received, or be subjected to other administrative sanctions. While the University cannot currently predict the outcome of the Department of Education review, any adverse finding could damage the University’s reputation in the industry and have a material adverse effect on the University’s business, results of operations, cash flows and financial position.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Treasury Stock</w:t>
      </w:r>
    </w:p>
    <w:p>
      <w:pPr>
        <w:spacing w:after="0" w:line="202" w:lineRule="exact"/>
        <w:rPr>
          <w:sz w:val="20"/>
          <w:szCs w:val="20"/>
          <w:color w:val="auto"/>
        </w:rPr>
      </w:pPr>
    </w:p>
    <w:p>
      <w:pPr>
        <w:ind w:left="340" w:right="159" w:firstLine="389"/>
        <w:spacing w:after="0" w:line="290" w:lineRule="auto"/>
        <w:rPr>
          <w:sz w:val="20"/>
          <w:szCs w:val="20"/>
          <w:color w:val="auto"/>
        </w:rPr>
      </w:pPr>
      <w:r>
        <w:rPr>
          <w:rFonts w:ascii="Arial" w:cs="Arial" w:eastAsia="Arial" w:hAnsi="Arial"/>
          <w:sz w:val="16"/>
          <w:szCs w:val="16"/>
          <w:color w:val="auto"/>
        </w:rPr>
        <w:t>On August 16, 2010, the University announced that its Board of Directors had authorized the University to repurchase up to $25,000 of common stock, from time to time, depending on market conditions and other considerations. The expiration date on the repurchase authorizations is September 30, 2011 and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the share repurchase plan, the University has purchased 1,607 shares of common stock shares at an aggregate cost of $23,151 which includes 1,557 shares of common stock at an aggregate cost of $22,369 during the six months ended June 30, 2011, which are recorded at cost in the accompanying consolidated balance sheets and consolidated statement of stockholders’ equity.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Loan Amendment</w:t>
      </w:r>
    </w:p>
    <w:p>
      <w:pPr>
        <w:spacing w:after="0" w:line="189" w:lineRule="exact"/>
        <w:rPr>
          <w:sz w:val="20"/>
          <w:szCs w:val="20"/>
          <w:color w:val="auto"/>
        </w:rPr>
      </w:pPr>
    </w:p>
    <w:p>
      <w:pPr>
        <w:ind w:left="340" w:right="199" w:firstLine="389"/>
        <w:spacing w:after="0" w:line="288" w:lineRule="auto"/>
        <w:rPr>
          <w:sz w:val="20"/>
          <w:szCs w:val="20"/>
          <w:color w:val="auto"/>
        </w:rPr>
      </w:pPr>
      <w:r>
        <w:rPr>
          <w:rFonts w:ascii="Arial" w:cs="Arial" w:eastAsia="Arial" w:hAnsi="Arial"/>
          <w:sz w:val="16"/>
          <w:szCs w:val="16"/>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$50,000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 No amounts are borrowed on the line of credit as of June 30,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Subsequent Events</w:t>
      </w:r>
    </w:p>
    <w:p>
      <w:pPr>
        <w:spacing w:after="0" w:line="189" w:lineRule="exact"/>
        <w:rPr>
          <w:sz w:val="20"/>
          <w:szCs w:val="20"/>
          <w:color w:val="auto"/>
        </w:rPr>
      </w:pPr>
    </w:p>
    <w:p>
      <w:pPr>
        <w:ind w:left="340" w:right="219" w:firstLine="389"/>
        <w:spacing w:after="0" w:line="257" w:lineRule="auto"/>
        <w:rPr>
          <w:sz w:val="20"/>
          <w:szCs w:val="20"/>
          <w:color w:val="auto"/>
        </w:rPr>
      </w:pPr>
      <w:r>
        <w:rPr>
          <w:rFonts w:ascii="Arial" w:cs="Arial" w:eastAsia="Arial" w:hAnsi="Arial"/>
          <w:sz w:val="18"/>
          <w:szCs w:val="18"/>
          <w:color w:val="auto"/>
        </w:rPr>
        <w:t>On July 28, 2011, the Board of Directors authorized the University to repurchase an additional $25,000 of common stock, from time to time depending on market conditions and other considerations. The expiration date of the repurchase authorizations is September 30, 2012 and repurchases occur at our discretion. Repurchases may be made in the open market or in privately negotiated transactions, pursuant to the applicable Securities and Exchange Commission rules. The amount of timing of future share repurchases, if any, will be made as market and business conditions warrant.</w:t>
      </w:r>
    </w:p>
    <w:p>
      <w:pPr>
        <w:sectPr>
          <w:pgSz w:w="11900" w:h="16838" w:orient="portrait"/>
          <w:cols w:equalWidth="0" w:num="1">
            <w:col w:w="10219"/>
          </w:cols>
          <w:pgMar w:left="240" w:top="419" w:right="1440" w:bottom="595"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95" w:gutter="0" w:footer="0" w:header="0"/>
          <w:type w:val="continuous"/>
        </w:sectPr>
      </w:pPr>
    </w:p>
    <w:bookmarkStart w:id="21" w:name="page22"/>
    <w:bookmarkEnd w:id="21"/>
    <w:p>
      <w:pPr>
        <w:spacing w:after="0" w:line="1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left="340" w:right="399" w:firstLine="38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has been restated to reflect the restatement of the balance sheets and statements of income, stockholders’ equity and cash flows for the three and six month periods ended June 30, 2011 and 2010 and should be read in conjunction with our financial statements and related notes that appear elsewhere in this report.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239" w:firstLine="389"/>
        <w:spacing w:after="0" w:line="270" w:lineRule="auto"/>
        <w:rPr>
          <w:sz w:val="20"/>
          <w:szCs w:val="20"/>
          <w:color w:val="auto"/>
        </w:rPr>
      </w:pPr>
      <w:r>
        <w:rPr>
          <w:rFonts w:ascii="Arial" w:cs="Arial" w:eastAsia="Arial" w:hAnsi="Arial"/>
          <w:sz w:val="17"/>
          <w:szCs w:val="17"/>
          <w:color w:val="auto"/>
        </w:rPr>
        <w:t xml:space="preserve">This Quarterly Report on Form 10-Q/A,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regarding the material adverse effect that regulatory developments or other matters may have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219" w:firstLine="389"/>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53" w:lineRule="exact"/>
        <w:rPr>
          <w:sz w:val="20"/>
          <w:szCs w:val="20"/>
          <w:color w:val="auto"/>
        </w:rPr>
      </w:pPr>
    </w:p>
    <w:p>
      <w:pPr>
        <w:ind w:left="1480" w:right="51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40" w:lineRule="exact"/>
        <w:rPr>
          <w:rFonts w:ascii="Arial" w:cs="Arial" w:eastAsia="Arial" w:hAnsi="Arial"/>
          <w:sz w:val="18"/>
          <w:szCs w:val="18"/>
          <w:b w:val="1"/>
          <w:bCs w:val="1"/>
          <w:color w:val="auto"/>
        </w:rPr>
      </w:pPr>
    </w:p>
    <w:p>
      <w:pPr>
        <w:ind w:left="1480" w:right="419" w:hanging="378"/>
        <w:spacing w:after="0" w:line="308" w:lineRule="auto"/>
        <w:tabs>
          <w:tab w:leader="none" w:pos="14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results of the ongoing program review being conducted by the Department of Education of our compliance with Title IV program requirements, and possible fines or other administrative sanctions resulting therefrom;</w:t>
      </w:r>
    </w:p>
    <w:p>
      <w:pPr>
        <w:spacing w:after="0" w:line="119" w:lineRule="exact"/>
        <w:rPr>
          <w:rFonts w:ascii="Arial" w:cs="Arial" w:eastAsia="Arial" w:hAnsi="Arial"/>
          <w:sz w:val="17"/>
          <w:szCs w:val="17"/>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84" w:lineRule="exact"/>
        <w:rPr>
          <w:rFonts w:ascii="Arial" w:cs="Arial" w:eastAsia="Arial" w:hAnsi="Arial"/>
          <w:sz w:val="18"/>
          <w:szCs w:val="18"/>
          <w:b w:val="1"/>
          <w:bCs w:val="1"/>
          <w:color w:val="auto"/>
        </w:rPr>
      </w:pPr>
    </w:p>
    <w:p>
      <w:pPr>
        <w:ind w:left="1480" w:right="17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140" w:lineRule="exact"/>
        <w:rPr>
          <w:rFonts w:ascii="Arial" w:cs="Arial" w:eastAsia="Arial" w:hAnsi="Arial"/>
          <w:sz w:val="18"/>
          <w:szCs w:val="18"/>
          <w:b w:val="1"/>
          <w:bCs w:val="1"/>
          <w:color w:val="auto"/>
        </w:rPr>
      </w:pPr>
    </w:p>
    <w:p>
      <w:pPr>
        <w:ind w:left="1480" w:right="839" w:hanging="378"/>
        <w:spacing w:after="0" w:line="277"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43"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98" w:lineRule="exact"/>
        <w:rPr>
          <w:rFonts w:ascii="Arial" w:cs="Arial" w:eastAsia="Arial" w:hAnsi="Arial"/>
          <w:sz w:val="18"/>
          <w:szCs w:val="18"/>
          <w:b w:val="1"/>
          <w:bCs w:val="1"/>
          <w:color w:val="auto"/>
        </w:rPr>
      </w:pPr>
    </w:p>
    <w:p>
      <w:pPr>
        <w:ind w:left="1480" w:right="659" w:hanging="378"/>
        <w:spacing w:after="0" w:line="277"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competitive environment for marketing our programs;</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failure on our part to keep up with advances in technology that could enhance the online experience for our students;</w:t>
      </w:r>
    </w:p>
    <w:p>
      <w:pPr>
        <w:spacing w:after="0" w:line="207" w:lineRule="exact"/>
        <w:rPr>
          <w:rFonts w:ascii="Arial" w:cs="Arial" w:eastAsia="Arial" w:hAnsi="Arial"/>
          <w:sz w:val="16"/>
          <w:szCs w:val="16"/>
          <w:b w:val="1"/>
          <w:bCs w:val="1"/>
          <w:color w:val="auto"/>
        </w:rPr>
      </w:pPr>
    </w:p>
    <w:p>
      <w:pPr>
        <w:ind w:left="1480" w:right="19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140" w:lineRule="exact"/>
        <w:rPr>
          <w:rFonts w:ascii="Arial" w:cs="Arial" w:eastAsia="Arial" w:hAnsi="Arial"/>
          <w:sz w:val="18"/>
          <w:szCs w:val="18"/>
          <w:b w:val="1"/>
          <w:bCs w:val="1"/>
          <w:color w:val="auto"/>
        </w:rPr>
      </w:pPr>
    </w:p>
    <w:p>
      <w:pPr>
        <w:ind w:left="1480" w:right="219" w:hanging="378"/>
        <w:spacing w:after="0" w:line="264" w:lineRule="auto"/>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potential decreases in enrollment, the payment of refunds or other negative impacts on our operating results as a result of our change from a “term-based” financial aid system to a “borrower-based, non-term” or “BBAY” financial aid system;</w:t>
      </w:r>
    </w:p>
    <w:p>
      <w:pPr>
        <w:spacing w:after="0" w:line="15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 and</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general adverse economic conditions or other developments that affect job prospects in our core disciplines.</w:t>
      </w:r>
    </w:p>
    <w:p>
      <w:pPr>
        <w:spacing w:after="0" w:line="196" w:lineRule="exact"/>
        <w:rPr>
          <w:sz w:val="20"/>
          <w:szCs w:val="20"/>
          <w:color w:val="auto"/>
        </w:rPr>
      </w:pPr>
    </w:p>
    <w:p>
      <w:pPr>
        <w:ind w:left="340" w:right="179" w:firstLine="389"/>
        <w:spacing w:after="0" w:line="293" w:lineRule="auto"/>
        <w:rPr>
          <w:sz w:val="20"/>
          <w:szCs w:val="20"/>
          <w:color w:val="auto"/>
        </w:rPr>
      </w:pPr>
      <w:r>
        <w:rPr>
          <w:rFonts w:ascii="Arial" w:cs="Arial" w:eastAsia="Arial" w:hAnsi="Arial"/>
          <w:sz w:val="16"/>
          <w:szCs w:val="16"/>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10-K/A for the fiscal year ended December 31, 2010, as updated in our subsequent reports filed with the Securities and Exchange Commission (“SEC”), including any updates found in Part II, Item 1A of this Quarterly Report on Form 10-Q/A or our other reports on Form 10-Q/A or Form 10-Q. You should not put undue reliance on any forward-looking statements. Forward-looking statements speak only as of the date the statements are made and we assume no</w:t>
      </w:r>
    </w:p>
    <w:p>
      <w:pPr>
        <w:sectPr>
          <w:pgSz w:w="11900" w:h="16853" w:orient="portrait"/>
          <w:cols w:equalWidth="0" w:num="1">
            <w:col w:w="10219"/>
          </w:cols>
          <w:pgMar w:left="240" w:top="419" w:right="1440" w:bottom="0" w:gutter="0" w:footer="0" w:header="0"/>
        </w:sectPr>
      </w:pPr>
    </w:p>
    <w:bookmarkStart w:id="22" w:name="page23"/>
    <w:bookmarkEnd w:id="22"/>
    <w:p>
      <w:pPr>
        <w:ind w:right="219"/>
        <w:spacing w:after="0" w:line="259" w:lineRule="auto"/>
        <w:rPr>
          <w:sz w:val="20"/>
          <w:szCs w:val="20"/>
          <w:color w:val="auto"/>
        </w:rPr>
      </w:pPr>
      <w:r>
        <w:rPr>
          <w:rFonts w:ascii="Arial" w:cs="Arial" w:eastAsia="Arial" w:hAnsi="Arial"/>
          <w:sz w:val="18"/>
          <w:szCs w:val="18"/>
          <w:color w:val="auto"/>
        </w:rPr>
        <w:t>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Restatement of Financial Statements</w:t>
      </w:r>
    </w:p>
    <w:p>
      <w:pPr>
        <w:spacing w:after="0" w:line="202" w:lineRule="exact"/>
        <w:rPr>
          <w:sz w:val="20"/>
          <w:szCs w:val="20"/>
          <w:color w:val="auto"/>
        </w:rPr>
      </w:pPr>
    </w:p>
    <w:p>
      <w:pPr>
        <w:ind w:left="340" w:right="259" w:firstLine="389"/>
        <w:spacing w:after="0" w:line="259" w:lineRule="auto"/>
        <w:rPr>
          <w:sz w:val="20"/>
          <w:szCs w:val="20"/>
          <w:color w:val="auto"/>
        </w:rPr>
      </w:pPr>
      <w:r>
        <w:rPr>
          <w:rFonts w:ascii="Arial" w:cs="Arial" w:eastAsia="Arial" w:hAnsi="Arial"/>
          <w:sz w:val="18"/>
          <w:szCs w:val="18"/>
          <w:color w:val="auto"/>
        </w:rPr>
        <w:t>The University is filing this Form 10-Q/A as a result of the correction of an error in the University’s methodology relating to the manner in which the University estimates its allowance for doubtful accounts, which requires the University to restate its financial statements for the year ended December 31, 2010 and its unaudited interim financial statements for the three and six months ended June 30, 2011 and 2010.</w:t>
      </w:r>
    </w:p>
    <w:p>
      <w:pPr>
        <w:spacing w:after="0" w:line="146" w:lineRule="exact"/>
        <w:rPr>
          <w:sz w:val="20"/>
          <w:szCs w:val="20"/>
          <w:color w:val="auto"/>
        </w:rPr>
      </w:pPr>
    </w:p>
    <w:p>
      <w:pPr>
        <w:ind w:left="340" w:right="179" w:firstLine="389"/>
        <w:spacing w:after="0" w:line="286" w:lineRule="auto"/>
        <w:rPr>
          <w:sz w:val="20"/>
          <w:szCs w:val="20"/>
          <w:color w:val="auto"/>
        </w:rPr>
      </w:pPr>
      <w:r>
        <w:rPr>
          <w:rFonts w:ascii="Arial" w:cs="Arial" w:eastAsia="Arial" w:hAnsi="Arial"/>
          <w:sz w:val="16"/>
          <w:szCs w:val="16"/>
          <w:color w:val="auto"/>
        </w:rPr>
        <w:t>In recent periods, the University experienced a significant change in the composition of its receivable balances since its transition to the borrower-based financial aid model in the second quarter of 2010 in which the receivables due from former students had grown as a percentage of the total amount outstanding. However, the University’s historical process for estimating the allowance for doubtful accounts did not consider the disaggregation of receivable balances by student based on enrollment status. As a result, the growth in the inactive student receivables was not evident when making the allowance estimate in prior periods. As the University’s collection experience indicates that receivables from former students carry a higher risk, this disaggregated information should have been considered in determining the probability of loss within the University’s receivables. If such information had been evaluated, management would have increased the allowance for doubtful accounts to reflect the increased risk profile of the receivables in prior periods. Accordingly, the Audit Committee of the Board of Directors, together with management and in consultation with Ernst &amp; Young LLP, the University’s independent registered public accounting firm, determined that, because management should have taken the additional steps necessary to develop the disaggregated information for use in the analysis of reserve requirements and resulting allowance for doubtful accounts, the financial statements for the fiscal year ended December 31, 2010 and for the quarters ended June 30, 2010, September 30, 2010, March 31, 2011 and June 30, 2011 should be restated to correct the allowance for doubtful accounts.</w:t>
      </w:r>
    </w:p>
    <w:p>
      <w:pPr>
        <w:spacing w:after="0" w:line="134" w:lineRule="exact"/>
        <w:rPr>
          <w:sz w:val="20"/>
          <w:szCs w:val="20"/>
          <w:color w:val="auto"/>
        </w:rPr>
      </w:pPr>
    </w:p>
    <w:p>
      <w:pPr>
        <w:ind w:left="340" w:right="199" w:firstLine="389"/>
        <w:spacing w:after="0" w:line="257" w:lineRule="auto"/>
        <w:rPr>
          <w:sz w:val="20"/>
          <w:szCs w:val="20"/>
          <w:color w:val="auto"/>
        </w:rPr>
      </w:pPr>
      <w:r>
        <w:rPr>
          <w:rFonts w:ascii="Arial" w:cs="Arial" w:eastAsia="Arial" w:hAnsi="Arial"/>
          <w:sz w:val="18"/>
          <w:szCs w:val="18"/>
          <w:color w:val="auto"/>
        </w:rPr>
        <w:t>As a result, the University concluded that it understated bad debt expense and overstated operating income and net income by approximately $0.6 million, $0.6 million, and $0.4 million, respectively, for the three months ended June 30, 2011 and by approximately $3.7 million, $3.7 million, and $2.2 million, respectively for the six months ended June 30, 2011, and by approximately $9.3 million, $9.5 million and $5.7 million, respectively for both the three and six months ended June 30, 2010. Accordingly, we have restated:</w:t>
      </w:r>
    </w:p>
    <w:p>
      <w:pPr>
        <w:spacing w:after="0" w:line="161" w:lineRule="exact"/>
        <w:rPr>
          <w:sz w:val="20"/>
          <w:szCs w:val="20"/>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balance sheet as of June 30, 2010 by increasing our allowance for doubtful accounts by $9.3 million;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balance sheet as of June 30, 2011 by increasing our allowance for doubtful accounts by $18.8 million; and</w:t>
      </w:r>
    </w:p>
    <w:p>
      <w:pPr>
        <w:spacing w:after="0" w:line="157" w:lineRule="exact"/>
        <w:rPr>
          <w:rFonts w:ascii="Arial" w:cs="Arial" w:eastAsia="Arial" w:hAnsi="Arial"/>
          <w:sz w:val="18"/>
          <w:szCs w:val="18"/>
          <w:b w:val="1"/>
          <w:bCs w:val="1"/>
          <w:color w:val="auto"/>
        </w:rPr>
      </w:pPr>
    </w:p>
    <w:p>
      <w:pPr>
        <w:ind w:left="1080" w:right="259" w:hanging="370"/>
        <w:spacing w:after="0" w:line="264"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and six months ended June 30, 2010 by decreasing revenues by $0.2 million, increasing instructional costs and services expense by $9.3 million and decreasing operating income and net income by $9.5 million and $5.7 million, respectively; and</w:t>
      </w:r>
    </w:p>
    <w:p>
      <w:pPr>
        <w:spacing w:after="0" w:line="113" w:lineRule="exact"/>
        <w:rPr>
          <w:rFonts w:ascii="Arial" w:cs="Arial" w:eastAsia="Arial" w:hAnsi="Arial"/>
          <w:sz w:val="18"/>
          <w:szCs w:val="18"/>
          <w:b w:val="1"/>
          <w:bCs w:val="1"/>
          <w:color w:val="auto"/>
        </w:rPr>
      </w:pPr>
    </w:p>
    <w:p>
      <w:pPr>
        <w:ind w:left="1080" w:right="379" w:hanging="370"/>
        <w:spacing w:after="0" w:line="259"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income statement for the three months and six months ended June 30, 2011 by increasing instructional costs and services expense by $0.6 million, and decreasing operating income and net income, by $0.6 million and $0.4 million, respectively, for the three months ended June 30, 2011 and by approximately $3.7 million, $3.7 million, and $2.2 million, respectively, for the six months ended June 30, 2011.</w:t>
      </w:r>
    </w:p>
    <w:p>
      <w:pPr>
        <w:spacing w:after="0" w:line="146" w:lineRule="exact"/>
        <w:rPr>
          <w:sz w:val="20"/>
          <w:szCs w:val="20"/>
          <w:color w:val="auto"/>
        </w:rPr>
      </w:pPr>
    </w:p>
    <w:p>
      <w:pPr>
        <w:ind w:left="340" w:right="399" w:firstLine="389"/>
        <w:spacing w:after="0" w:line="302" w:lineRule="auto"/>
        <w:rPr>
          <w:sz w:val="20"/>
          <w:szCs w:val="20"/>
          <w:color w:val="auto"/>
        </w:rPr>
      </w:pPr>
      <w:r>
        <w:rPr>
          <w:rFonts w:ascii="Arial" w:cs="Arial" w:eastAsia="Arial" w:hAnsi="Arial"/>
          <w:sz w:val="16"/>
          <w:szCs w:val="16"/>
          <w:color w:val="auto"/>
        </w:rPr>
        <w:t>As a result of this restatement, amounts in our statements of cash flows and stockholders’ equity for the three and six months ended June 30, 2011 and 2010 have also been restated. Our total cash flows from operations for the three and six months ended June 30, 2011 and 2010 remain unchanged. A summary of the effects of this restatement to our financial statements included within this Form 10-Q/A is presented in Note 2 in the accompanying notes to consolidated financial statements.</w:t>
      </w: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19" w:firstLine="389"/>
        <w:spacing w:after="0" w:line="312"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business, healthcare, and liberal arts. We offer programs online, at our approximately 110 acre traditional campus in Phoenix, Arizona and onsite at the facilities of employers.</w:t>
      </w:r>
    </w:p>
    <w:p>
      <w:pPr>
        <w:spacing w:after="0" w:line="106" w:lineRule="exact"/>
        <w:rPr>
          <w:sz w:val="20"/>
          <w:szCs w:val="20"/>
          <w:color w:val="auto"/>
        </w:rPr>
      </w:pPr>
    </w:p>
    <w:p>
      <w:pPr>
        <w:ind w:left="340" w:right="219" w:firstLine="389"/>
        <w:spacing w:after="0" w:line="288" w:lineRule="auto"/>
        <w:rPr>
          <w:sz w:val="20"/>
          <w:szCs w:val="20"/>
          <w:color w:val="auto"/>
        </w:rPr>
      </w:pPr>
      <w:r>
        <w:rPr>
          <w:rFonts w:ascii="Arial" w:cs="Arial" w:eastAsia="Arial" w:hAnsi="Arial"/>
          <w:sz w:val="16"/>
          <w:szCs w:val="16"/>
          <w:color w:val="auto"/>
        </w:rPr>
        <w:t>At June 30, 2011, we had approximately 39,500 students, an increase of 8.9% over the approximately 36,300 students we had at June 30, 2010. At June 30, 2011, 95.9% of our students were enrolled in our online programs, and 43.6% of our online students were pursuing master’s or doctoral degrees. In addition, revenue per student increased between periods as we increased tuition prices for students in our online and professional studies programs by 0.0% to 6.5%, depending on the program, with an estimated blended rate increase of 3.2% for our 2011-12 academic year, as compared to tuition price increases for students in our online and professional studies programs of 0.0% to 5.7% for our 2010-11 academic year, depending on the program, with an estimated blended rate increase of 3.5% for the prior academic year. Tuition for our traditional ground programs had no increase for our 2011-12 or 2010-11 academic years. In addition, we experienced an increase in the number of students taking four credit courses between years. Operating income was $41.9 million for the six months ended June 30, 2011, an increase of $1.8 million over the $40.1 million in operating income for the six months ended June 30, 2010.</w:t>
      </w:r>
    </w:p>
    <w:p>
      <w:pPr>
        <w:spacing w:after="0" w:line="12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The following is a summary of our student enrollment at June 30, 2011 and 2010 (which included less than 530 students pursuing non-degree certificates in each period) by degree type and by instructional delivery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17,205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15,916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22,320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56.5%</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20,385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36,301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44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2011</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r>
              <w:rPr>
                <w:rFonts w:ascii="Arial" w:cs="Arial" w:eastAsia="Arial" w:hAnsi="Arial"/>
                <w:sz w:val="15"/>
                <w:szCs w:val="15"/>
                <w:color w:val="auto"/>
              </w:rPr>
              <w:t>(1)</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4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8"/>
                <w:szCs w:val="18"/>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14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37,915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35,145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1,610</w:t>
            </w:r>
          </w:p>
        </w:tc>
        <w:tc>
          <w:tcPr>
            <w:tcW w:w="4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1,156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7"/>
        </w:trPr>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39,525</w:t>
            </w:r>
          </w:p>
        </w:tc>
        <w:tc>
          <w:tcPr>
            <w:tcW w:w="440" w:type="dxa"/>
            <w:vAlign w:val="bottom"/>
            <w:tcBorders>
              <w:righ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36,301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499" w:hanging="388"/>
        <w:spacing w:after="0" w:line="277" w:lineRule="auto"/>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Enrollment at June 30, 2011 and 2010 represents individual students who attended a course during the last two months of the calendar quarter.</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1,409 and 870 students pursuing doctoral degrees at June 30, 2011 and 2010, respectively.</w:t>
      </w:r>
    </w:p>
    <w:p>
      <w:pPr>
        <w:spacing w:after="0" w:line="76" w:lineRule="exact"/>
        <w:rPr>
          <w:rFonts w:ascii="Arial" w:cs="Arial" w:eastAsia="Arial" w:hAnsi="Arial"/>
          <w:sz w:val="15"/>
          <w:szCs w:val="15"/>
          <w:color w:val="auto"/>
        </w:rPr>
      </w:pPr>
    </w:p>
    <w:p>
      <w:pPr>
        <w:ind w:left="720" w:hanging="388"/>
        <w:spacing w:after="0"/>
        <w:tabs>
          <w:tab w:leader="none" w:pos="720" w:val="left"/>
        </w:tabs>
        <w:numPr>
          <w:ilvl w:val="0"/>
          <w:numId w:val="11"/>
        </w:numPr>
        <w:rPr>
          <w:rFonts w:ascii="Arial" w:cs="Arial" w:eastAsia="Arial" w:hAnsi="Arial"/>
          <w:sz w:val="14"/>
          <w:szCs w:val="14"/>
          <w:color w:val="auto"/>
        </w:rPr>
      </w:pPr>
      <w:r>
        <w:rPr>
          <w:rFonts w:ascii="Arial" w:cs="Arial" w:eastAsia="Arial" w:hAnsi="Arial"/>
          <w:sz w:val="17"/>
          <w:szCs w:val="17"/>
          <w:color w:val="auto"/>
        </w:rPr>
        <w:t>As of June 30, 2011 and 2010, 43.6% and 44.1%, respectively, of our online students are pursuing graduate degrees.</w:t>
      </w:r>
    </w:p>
    <w:p>
      <w:pPr>
        <w:spacing w:after="0" w:line="88" w:lineRule="exact"/>
        <w:rPr>
          <w:rFonts w:ascii="Arial" w:cs="Arial" w:eastAsia="Arial" w:hAnsi="Arial"/>
          <w:sz w:val="14"/>
          <w:szCs w:val="14"/>
          <w:color w:val="auto"/>
        </w:rPr>
      </w:pPr>
    </w:p>
    <w:p>
      <w:pPr>
        <w:ind w:left="720" w:hanging="388"/>
        <w:spacing w:after="0"/>
        <w:tabs>
          <w:tab w:leader="none" w:pos="7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89" w:lineRule="exact"/>
        <w:rPr>
          <w:sz w:val="20"/>
          <w:szCs w:val="20"/>
          <w:color w:val="auto"/>
        </w:rPr>
      </w:pPr>
    </w:p>
    <w:p>
      <w:pPr>
        <w:ind w:left="340" w:right="579" w:firstLine="389"/>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10-K/A for the fiscal year ended December 31, 2010. During the six months ended June 30, 2011, there have been no significant changes in our critical accounting policies.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202" w:lineRule="exact"/>
        <w:rPr>
          <w:sz w:val="20"/>
          <w:szCs w:val="20"/>
          <w:color w:val="auto"/>
        </w:rPr>
      </w:pPr>
    </w:p>
    <w:p>
      <w:pPr>
        <w:ind w:left="340" w:right="259" w:firstLine="389"/>
        <w:spacing w:after="0" w:line="257" w:lineRule="auto"/>
        <w:rPr>
          <w:sz w:val="20"/>
          <w:szCs w:val="20"/>
          <w:color w:val="auto"/>
        </w:rPr>
      </w:pPr>
      <w:r>
        <w:rPr>
          <w:rFonts w:ascii="Arial" w:cs="Arial" w:eastAsia="Arial" w:hAnsi="Arial"/>
          <w:sz w:val="18"/>
          <w:szCs w:val="18"/>
          <w:color w:val="auto"/>
        </w:rPr>
        <w:t>Our key trends, developments and challenges are disclosed in our Annual Report on Form 10-K/A for the fiscal year ended December 31, 2010. See Item 7, “Management’s Discussion and Analysis of Financial Condition and Results of Operations — Key Trends, Developments and Challenges” in our Annual Report on Form 10-K/A for our fiscal year ended December 31, 2010, which is incorporated herein by reference. During the six months ended June 30, 2011, there have been no significant changes in these trends, other than those discussed below.</w:t>
      </w: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339"/>
        <w:spacing w:after="0" w:line="277" w:lineRule="auto"/>
        <w:rPr>
          <w:sz w:val="20"/>
          <w:szCs w:val="20"/>
          <w:color w:val="auto"/>
        </w:rPr>
      </w:pPr>
      <w:r>
        <w:rPr>
          <w:rFonts w:ascii="Arial" w:cs="Arial" w:eastAsia="Arial" w:hAnsi="Arial"/>
          <w:sz w:val="18"/>
          <w:szCs w:val="18"/>
          <w:color w:val="auto"/>
        </w:rPr>
        <w:t>The following developments and trends present opportunities, challenges and risks toward achieving our goal of providing attractive returns to our shareholders:</w:t>
      </w:r>
    </w:p>
    <w:p>
      <w:pPr>
        <w:spacing w:after="0" w:line="62" w:lineRule="exact"/>
        <w:rPr>
          <w:sz w:val="20"/>
          <w:szCs w:val="20"/>
          <w:color w:val="auto"/>
        </w:rPr>
      </w:pPr>
    </w:p>
    <w:p>
      <w:pPr>
        <w:ind w:left="720" w:right="179" w:hanging="388"/>
        <w:spacing w:after="0" w:line="269"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Regulatory Environment </w:t>
      </w:r>
      <w:r>
        <w:rPr>
          <w:rFonts w:ascii="Arial" w:cs="Arial" w:eastAsia="Arial" w:hAnsi="Arial"/>
          <w:sz w:val="17"/>
          <w:szCs w:val="17"/>
          <w:color w:val="auto"/>
        </w:rPr>
        <w:t>In November 2009, the U.S. Department of Education convened two negotiated rulemaking teams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related to Title IV program integrity issues and foreign school issues. The resulting program integrity rules promulgated in October 2010 and June 2011 address numerous topics. The most significant for our business are the modification of the standards relating to the payment of incentive compensation to employees involved in student recruitment and enrollment; the implementation of standards for state authorization of institutions of higher education; and the adoption of a definition of “gainful employment” for purposes of the requirement of Title IV student financial aid that a program of study offered by a proprietary institution prepare students for gainful employment in a recognized occupation. As explained more fully in Part II, Item IA,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the incentive compensation and state authorization rules are effective July 1, 2011. Also as explained in Part II, Item IA, </w:t>
      </w:r>
      <w:r>
        <w:rPr>
          <w:rFonts w:ascii="Arial" w:cs="Arial" w:eastAsia="Arial" w:hAnsi="Arial"/>
          <w:sz w:val="17"/>
          <w:szCs w:val="17"/>
          <w:i w:val="1"/>
          <w:iCs w:val="1"/>
          <w:color w:val="auto"/>
        </w:rPr>
        <w:t>Risk Factors</w:t>
      </w:r>
      <w:r>
        <w:rPr>
          <w:rFonts w:ascii="Arial" w:cs="Arial" w:eastAsia="Arial" w:hAnsi="Arial"/>
          <w:sz w:val="17"/>
          <w:szCs w:val="17"/>
          <w:color w:val="auto"/>
        </w:rPr>
        <w:t>, the gainful employment rule provisions governing disclosures to students and covering the implementation of new programs are effective July 1, 2011, and provisions relating to loan repayment and the debt-to-income ratio are effective July 1, 2012.</w:t>
      </w:r>
    </w:p>
    <w:p>
      <w:pPr>
        <w:spacing w:after="0" w:line="182" w:lineRule="exact"/>
        <w:rPr>
          <w:rFonts w:ascii="Arial" w:cs="Arial" w:eastAsia="Arial" w:hAnsi="Arial"/>
          <w:sz w:val="17"/>
          <w:szCs w:val="17"/>
          <w:b w:val="1"/>
          <w:bCs w:val="1"/>
          <w:color w:val="auto"/>
        </w:rPr>
      </w:pPr>
    </w:p>
    <w:p>
      <w:pPr>
        <w:ind w:left="720" w:right="159"/>
        <w:spacing w:after="0" w:line="290" w:lineRule="auto"/>
        <w:rPr>
          <w:rFonts w:ascii="Arial" w:cs="Arial" w:eastAsia="Arial" w:hAnsi="Arial"/>
          <w:sz w:val="17"/>
          <w:szCs w:val="17"/>
          <w:b w:val="1"/>
          <w:bCs w:val="1"/>
          <w:color w:val="auto"/>
        </w:rPr>
      </w:pPr>
      <w:r>
        <w:rPr>
          <w:rFonts w:ascii="Arial" w:cs="Arial" w:eastAsia="Arial" w:hAnsi="Arial"/>
          <w:sz w:val="16"/>
          <w:szCs w:val="16"/>
          <w:color w:val="auto"/>
        </w:rPr>
        <w:t xml:space="preserve">The program integrity rules require a large number of reporting and operational changes. We believe we are, or will be, in substantial compliance with these new reporting and disclosure requirements as of their respective effective dates. However, because of the scale and complexity of our educational programs, we may be unable to fully develop, test and implement all of the necessary modifications to our information management systems and administrative processes to maintain such compliance at all times in the future and, as a result, we may be subject to administrative or other sanctions if we are unable to comply with these reporting and disclosure requirements on a timely basis. In addition, these changes, individually or in combination, may impact our student enrollment, persistence and retention in ways that we cannot now predict and could adversely affect our business, financial condition, results of operations and cash flows. See Part II, Item IA, </w:t>
      </w:r>
      <w:r>
        <w:rPr>
          <w:rFonts w:ascii="Arial" w:cs="Arial" w:eastAsia="Arial" w:hAnsi="Arial"/>
          <w:sz w:val="16"/>
          <w:szCs w:val="16"/>
          <w:i w:val="1"/>
          <w:iCs w:val="1"/>
          <w:color w:val="auto"/>
        </w:rPr>
        <w:t>Risk Factors</w:t>
      </w:r>
      <w:r>
        <w:rPr>
          <w:rFonts w:ascii="Arial" w:cs="Arial" w:eastAsia="Arial" w:hAnsi="Arial"/>
          <w:sz w:val="16"/>
          <w:szCs w:val="16"/>
          <w:color w:val="auto"/>
        </w:rPr>
        <w:t>, for further discussion.</w:t>
      </w:r>
    </w:p>
    <w:p>
      <w:pPr>
        <w:spacing w:after="0" w:line="166" w:lineRule="exact"/>
        <w:rPr>
          <w:rFonts w:ascii="Arial" w:cs="Arial" w:eastAsia="Arial" w:hAnsi="Arial"/>
          <w:sz w:val="17"/>
          <w:szCs w:val="17"/>
          <w:b w:val="1"/>
          <w:bCs w:val="1"/>
          <w:color w:val="auto"/>
        </w:rPr>
      </w:pPr>
    </w:p>
    <w:p>
      <w:pPr>
        <w:ind w:left="720" w:right="219" w:hanging="388"/>
        <w:spacing w:after="0" w:line="255" w:lineRule="auto"/>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New Rulemaking </w:t>
      </w:r>
      <w:r>
        <w:rPr>
          <w:rFonts w:ascii="Arial" w:cs="Arial" w:eastAsia="Arial" w:hAnsi="Arial"/>
          <w:sz w:val="18"/>
          <w:szCs w:val="18"/>
          <w:color w:val="auto"/>
        </w:rPr>
        <w:t>On May 5, 2011, the Department announced its intention to establish additional negotiated rulemaking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committees to prepare proposed regulations under the Higher Education Act, as amended. Three public hearings were conducted in May 2011 at which interested parties suggested issues that should be considered for action by the negotiating committees. The Department also conducted roundtable discussions to inform policy in the areas of teacher preparation, college completion, and the proposed “First in the World” competition. More information can be found at http://www2.ed.gov/policy/highered/reg/hearulemaking/2011/index.html.</w:t>
      </w:r>
    </w:p>
    <w:p>
      <w:pPr>
        <w:spacing w:after="0" w:line="193" w:lineRule="exact"/>
        <w:rPr>
          <w:rFonts w:ascii="Arial" w:cs="Arial" w:eastAsia="Arial" w:hAnsi="Arial"/>
          <w:sz w:val="18"/>
          <w:szCs w:val="18"/>
          <w:b w:val="1"/>
          <w:bCs w:val="1"/>
          <w:color w:val="auto"/>
        </w:rPr>
      </w:pPr>
    </w:p>
    <w:p>
      <w:pPr>
        <w:ind w:left="720" w:right="199" w:hanging="388"/>
        <w:spacing w:after="0" w:line="288" w:lineRule="auto"/>
        <w:tabs>
          <w:tab w:leader="none" w:pos="720" w:val="left"/>
        </w:tabs>
        <w:numPr>
          <w:ilvl w:val="0"/>
          <w:numId w:val="1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U.S. Congressional Hearings. </w:t>
      </w:r>
      <w:r>
        <w:rPr>
          <w:rFonts w:ascii="Arial" w:cs="Arial" w:eastAsia="Arial" w:hAnsi="Arial"/>
          <w:sz w:val="16"/>
          <w:szCs w:val="16"/>
          <w:color w:val="auto"/>
        </w:rPr>
        <w:t>Beginning last year, there has been increased focus by members of the U.S. Congress on the role</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proprietary educational institutions play in higher education. In June 2010, the U.S. Senate Committee on Health, Education, Labor and Pensions (“HELP Committee”) held the first in a series of hearings to examine the proprietary education sector. At a subsequent hearing in August 2010, the Government Accountability Office (“GAO”) presented a report of its review of various aspects of the proprietary sector, including recruitment practices and the degree to which proprietary institutions’ revenue is composed of Title IV funding. Following the August hearing, Sen. Tom Harkin, the Chairman of the HELP Committee, requested a broad range of detailed information from 30 proprietary institutions, including Grand Canyon University. We have been and intend to continue being responsive to the requests of the HELP Committee. Sen. Harkin has held subsequent hearings, most recently on July 21, 2011, and we believe that future hearings may be held. In addition, other Congressional hearings have been or are expected to be held regarding various aspects of the education industry that may affect our business.</w:t>
      </w:r>
    </w:p>
    <w:p>
      <w:pPr>
        <w:spacing w:after="0" w:line="169" w:lineRule="exact"/>
        <w:rPr>
          <w:rFonts w:ascii="Arial" w:cs="Arial" w:eastAsia="Arial" w:hAnsi="Arial"/>
          <w:sz w:val="16"/>
          <w:szCs w:val="16"/>
          <w:b w:val="1"/>
          <w:bCs w:val="1"/>
          <w:color w:val="auto"/>
        </w:rPr>
      </w:pPr>
    </w:p>
    <w:p>
      <w:pPr>
        <w:ind w:left="720" w:right="179" w:hanging="388"/>
        <w:spacing w:after="0" w:line="268" w:lineRule="auto"/>
        <w:tabs>
          <w:tab w:leader="none" w:pos="72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Other Actions by the U.S. Congress. </w:t>
      </w:r>
      <w:r>
        <w:rPr>
          <w:rFonts w:ascii="Arial" w:cs="Arial" w:eastAsia="Arial" w:hAnsi="Arial"/>
          <w:sz w:val="17"/>
          <w:szCs w:val="17"/>
          <w:color w:val="auto"/>
        </w:rPr>
        <w:t>Political and budgetary concerns significantly affect Title IV Programs. Although the HEA</w:t>
      </w:r>
      <w:r>
        <w:rPr>
          <w:rFonts w:ascii="Arial" w:cs="Arial" w:eastAsia="Arial" w:hAnsi="Arial"/>
          <w:sz w:val="17"/>
          <w:szCs w:val="17"/>
          <w:i w:val="1"/>
          <w:iCs w:val="1"/>
          <w:color w:val="auto"/>
        </w:rPr>
        <w:t xml:space="preserve"> </w:t>
      </w:r>
      <w:r>
        <w:rPr>
          <w:rFonts w:ascii="Arial" w:cs="Arial" w:eastAsia="Arial" w:hAnsi="Arial"/>
          <w:sz w:val="17"/>
          <w:szCs w:val="17"/>
          <w:color w:val="auto"/>
        </w:rPr>
        <w:t>is not due to be reauthorized until 2013, Congress may revise that law at any time and, in so doing, increase the regulatory burden on Grand Canyon University. In addition, as the current debate over the national debt has made clear, Congress is likely to reduce funding for student financial aid programs in a number of ways, including reducing the maximum Pell Grants available to students and eliminating the interest subsidy available to undergraduate and/or graduate students. In fact, on April 15, 2011, President Obama signed the fiscal year 2011 spending bill, also known as the Continuing Resolution, which permanently eliminated year-round Pell Grant awards beginning with the 2011-2012 award year. A reduction in the maximum annual Pell Grant amount likely would result in increased student borrowing, which may adversely impact the gainful employment metrics and cohort default rates for Grand Canyon University. Any action by Congress that significantly reduces Title IV program funding or the eligibility of our institutions or students to participate in Title IV programs could have a material adverse effect on our financial condition, results of operations and cash flows. In addition to possible reductions in federal student financial aid, we believe that the availability of state-funded student financial aid will continue to decline as states deal with historic budget shortfalls. These reductions may reduce our enrollment and, to the extent that Title IV funds replace any state funding sources for our students, may adversely impact our 90/10 Rule calculation. We cannot predict the outcome of the federal or state budget negotiations.</w:t>
      </w:r>
    </w:p>
    <w:p>
      <w:pPr>
        <w:sectPr>
          <w:pgSz w:w="11900" w:h="16838" w:orient="portrait"/>
          <w:cols w:equalWidth="0" w:num="1">
            <w:col w:w="10219"/>
          </w:cols>
          <w:pgMar w:left="240" w:top="419" w:right="1440" w:bottom="1440" w:gutter="0" w:footer="0" w:header="0"/>
        </w:sectPr>
      </w:pPr>
    </w:p>
    <w:p>
      <w:pPr>
        <w:spacing w:after="0" w:line="15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right="219" w:hanging="388"/>
        <w:spacing w:after="0" w:line="270" w:lineRule="auto"/>
        <w:tabs>
          <w:tab w:leader="none" w:pos="720" w:val="left"/>
        </w:tabs>
        <w:numPr>
          <w:ilvl w:val="0"/>
          <w:numId w:val="1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Changes in the amount or availability of veterans’ educational benefits or Department of Defense tuition assistance programs could materially and adversely affect our business. </w:t>
      </w:r>
      <w:r>
        <w:rPr>
          <w:rFonts w:ascii="Arial" w:cs="Arial" w:eastAsia="Arial" w:hAnsi="Arial"/>
          <w:sz w:val="17"/>
          <w:szCs w:val="17"/>
          <w:color w:val="auto"/>
        </w:rPr>
        <w:t>In recent months, the U.S. Congress has increased its focus on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Defense tuition assistance and veterans educational benefits that are used for programs of study offered at proprietary education institutions, particularly distance education programs of study. To the extent that any laws or regulations are adopted that limit or condition the amount of educational benefits that veterans can use toward their costs of education at proprietary education institutions or in distance education programs, or that limit or condition the participation of proprietary education institutions or distance education programs in military tuition assistance programs or in Title IV Programs with respect to military tuition assistance programs, our enrollments, results of operations, financial condition and 90/10 Rule calculation could be materially and adversely affected.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29.8</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Exit costs</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23"/>
        </w:trPr>
        <w:tc>
          <w:tcPr>
            <w:tcW w:w="43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r>
      <w:tr>
        <w:trPr>
          <w:trHeight w:val="27"/>
        </w:trPr>
        <w:tc>
          <w:tcPr>
            <w:tcW w:w="4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r>
      <w:tr>
        <w:trPr>
          <w:trHeight w:val="20"/>
        </w:trPr>
        <w:tc>
          <w:tcPr>
            <w:tcW w:w="4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June 30, 2011 Compared to Three Months Ended June 30, 2010</w:t>
      </w:r>
    </w:p>
    <w:p>
      <w:pPr>
        <w:spacing w:after="0" w:line="198" w:lineRule="exact"/>
        <w:rPr>
          <w:sz w:val="20"/>
          <w:szCs w:val="20"/>
          <w:color w:val="auto"/>
        </w:rPr>
      </w:pPr>
    </w:p>
    <w:p>
      <w:pPr>
        <w:ind w:left="340" w:right="179" w:firstLine="389"/>
        <w:spacing w:after="0" w:line="271"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June 30, 2011 was $103.1 million, an increase of $5.8 million, or 6.0%,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net revenue of $97.3 million for the quarter ended June 30, 2010. This increase was primarily due to an increase in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BBAY from a term-based financial aid system. End-of-period enrollment increased to approximately 39,500,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38" w:lineRule="exact"/>
        <w:rPr>
          <w:sz w:val="20"/>
          <w:szCs w:val="20"/>
          <w:color w:val="auto"/>
        </w:rPr>
      </w:pPr>
    </w:p>
    <w:p>
      <w:pPr>
        <w:ind w:left="340" w:right="199" w:firstLine="389"/>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quarter ended June 30, 2011 were</w:t>
      </w:r>
      <w:r>
        <w:rPr>
          <w:rFonts w:ascii="Arial" w:cs="Arial" w:eastAsia="Arial" w:hAnsi="Arial"/>
          <w:sz w:val="16"/>
          <w:szCs w:val="16"/>
          <w:i w:val="1"/>
          <w:iCs w:val="1"/>
          <w:color w:val="auto"/>
        </w:rPr>
        <w:t xml:space="preserve"> </w:t>
      </w:r>
      <w:r>
        <w:rPr>
          <w:rFonts w:ascii="Arial" w:cs="Arial" w:eastAsia="Arial" w:hAnsi="Arial"/>
          <w:sz w:val="16"/>
          <w:szCs w:val="16"/>
          <w:color w:val="auto"/>
        </w:rPr>
        <w:t>$46.4 million, a decrease of $4.7 million, or 9.2%, as compared to instructional costs and services expenses of $51.0 million for the quarter ended June 30, 2010. This decrease was primarily due to a decrease of $4.0 million, as compared to the second quarter of 2010, in non-capitalizable system conversion costs related to our conversion to a new system in that quarter and a decrease in bad debt expense of $6.6 million between periods partially offset by increases in employee compensation, faculty compensation, depreciation and amortization, and other instructional compensation and related expenses of $2.6 million, $1.4 million, $1.1 million, and</w:t>
      </w:r>
    </w:p>
    <w:p>
      <w:pPr>
        <w:spacing w:after="0" w:line="5" w:lineRule="exact"/>
        <w:rPr>
          <w:sz w:val="20"/>
          <w:szCs w:val="20"/>
          <w:color w:val="auto"/>
        </w:rPr>
      </w:pPr>
    </w:p>
    <w:p>
      <w:pPr>
        <w:ind w:left="340" w:right="179"/>
        <w:spacing w:after="0" w:line="285" w:lineRule="auto"/>
        <w:rPr>
          <w:sz w:val="20"/>
          <w:szCs w:val="20"/>
          <w:color w:val="auto"/>
        </w:rPr>
      </w:pPr>
      <w:r>
        <w:rPr>
          <w:rFonts w:ascii="Arial" w:cs="Arial" w:eastAsia="Arial" w:hAnsi="Arial"/>
          <w:sz w:val="16"/>
          <w:szCs w:val="16"/>
          <w:color w:val="auto"/>
        </w:rPr>
        <w:t>$0.9 million, respectively. The increase in employee compensation is primarily due to an increase in headcount (both staff and faculty) needed to provide student instruction and support services to support the increase in enrollments. This increase, however, is partially offset by the reversal of $0.7 million of amounts accrued in previous periods that were to be paid to non-enrollment employees for students they previously recruited and for which bonuses were to be paid when those students completed 24 credit hours. Bad debt expense decreased to $8.2 million or 8.0% of net revenues in the second quarter of 2011 from $14.8 million or 15.2% of revenues in the second quarter of 2010 as a result of a decrease in aged receivables between periods as a result of our conversion to BBAY in the second quarter of 2010. Our instructional costs and services expenses as a percentage of net revenue decreased by 7.4% to 45.0% for the quarter ended June 30, 2011, as compared to 52.4% for the quarter ended June 30, 2010 primarily due to decreases in bad debt expense and the non-capitalized system conversion cost incurred in the second quarter of 2010. In addition, we experienced an increase in employee compensation and faculty compensation as a percentage of revenue as we have seen decreases in class size as the result of increasing the number of starts, increased instructional supplies due to increased licensing fees related to educational resources and increased miscellaneous costs associated with making continued improvements in curriculum development and developing new and enhanced innovative educational tools, partially offset by our ability to leverage the fixed cost structure of our campus-based facilities and ground faculty across an increasing revenue base and the non-capitalizable system costs incurred in the second quarter of 2010.</w:t>
      </w:r>
    </w:p>
    <w:p>
      <w:pPr>
        <w:sectPr>
          <w:pgSz w:w="11900" w:h="16838" w:orient="portrait"/>
          <w:cols w:equalWidth="0" w:num="1">
            <w:col w:w="10219"/>
          </w:cols>
          <w:pgMar w:left="240" w:top="419" w:right="1440"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3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99" w:firstLine="389"/>
        <w:spacing w:after="0" w:line="268" w:lineRule="auto"/>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June 30, 2011 were $27.7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$1.3 million, or 4.4%, as compared to selling and promotional expenses of $29.0 million for the quarter ended June 30, 2010. This decrease is primarily the result of decreases in employee compensation and advertising of $0.8 million and $0.3 million, respectively. These decreases are primarily due to changes made by the University to comply with the new employee compensation rules that went into effect July 1, 2011. Specifically during the second quarter of 2011 we reversed $1.5 million of amounts accrued in previous periods that were to be paid to enrollment employees for students they previously recruited and for which bonuses were to be paid when those students completed 24 credit hours and the termination of our revenue sharing arrangement with MindStreams, L.L.C. in December 2010. Our selling and promotional expenses as a percentage of net revenue decreased by 2.8% to 26.9% for the quarter ended June 30, 2011, from 29.7% for the quarter ended June 30, 2010. This decrease occurred due to the items discussed above and as a result of slowing the growth of our enrollment counselor hiring such that our new enrollment counselors as a percentage of total enrollment counselors is less in 2011 than in 2010.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remain flat or decrease.</w:t>
      </w:r>
    </w:p>
    <w:p>
      <w:pPr>
        <w:spacing w:after="0" w:line="156"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Our general and administrative expenses for the quarter ended June 30, 2011 were</w:t>
      </w:r>
    </w:p>
    <w:p>
      <w:pPr>
        <w:spacing w:after="0" w:line="35" w:lineRule="exact"/>
        <w:rPr>
          <w:sz w:val="20"/>
          <w:szCs w:val="20"/>
          <w:color w:val="auto"/>
        </w:rPr>
      </w:pPr>
    </w:p>
    <w:p>
      <w:pPr>
        <w:ind w:left="340" w:right="219"/>
        <w:spacing w:after="0" w:line="253" w:lineRule="auto"/>
        <w:rPr>
          <w:sz w:val="20"/>
          <w:szCs w:val="20"/>
          <w:color w:val="auto"/>
        </w:rPr>
      </w:pPr>
      <w:r>
        <w:rPr>
          <w:rFonts w:ascii="Arial" w:cs="Arial" w:eastAsia="Arial" w:hAnsi="Arial"/>
          <w:sz w:val="18"/>
          <w:szCs w:val="18"/>
          <w:color w:val="auto"/>
        </w:rPr>
        <w:t>$7.0 million, an increase of $0.8 million, or 14.0%, as compared to general and administrative expenses of $6.2 million for the quarter ended June 30, 2010. This increase was primarily due to increases in employee compensation, share based compensation, and other general and administrative expenses of $0.3 million, $0.1 million, and $0.4 million, respectively. Our general and administrative expenses as a percentage of net revenue increased by 0.5% to 6.8% for the quarter ended June 30, 2011, from 6.3% for the quarter ended June 30, 2010.</w:t>
      </w:r>
    </w:p>
    <w:p>
      <w:pPr>
        <w:spacing w:after="0" w:line="151" w:lineRule="exact"/>
        <w:rPr>
          <w:sz w:val="20"/>
          <w:szCs w:val="20"/>
          <w:color w:val="auto"/>
        </w:rPr>
      </w:pPr>
    </w:p>
    <w:p>
      <w:pPr>
        <w:ind w:left="340" w:right="57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quarter ended June 30, 2011 was $0.0 million, a decrease of $0.2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$0.2 million for the quarter ended June 30, 2010, as a higher amount of interest expense is capitalized in 2011 as a result of our continuing expansion of our ground infrastructure.</w:t>
      </w:r>
    </w:p>
    <w:p>
      <w:pPr>
        <w:spacing w:after="0" w:line="141" w:lineRule="exact"/>
        <w:rPr>
          <w:sz w:val="20"/>
          <w:szCs w:val="20"/>
          <w:color w:val="auto"/>
        </w:rPr>
      </w:pPr>
    </w:p>
    <w:p>
      <w:pPr>
        <w:ind w:left="340" w:right="319" w:firstLine="389"/>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quarter ended June 30, 2011 was $9.1 million, an increase of $4.9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$4.2 million for the quarter ended June 30, 2010. Our effective tax rate was 41.5% during the second quarter of 2011 compared to 38.2% during the second quarter of 2010. The increase in the effective tax rate was primarily due to certain non-recurring tax items, which had the effect of increasing our effective tax rate in the second quarter of 2011 and decreasing the effective tax rate in the second quarter of 2010. Excluding certain non-recurring tax items, our effective tax rate for the second quarter of 2011 and 2010 would have been 40.3%.</w:t>
      </w:r>
    </w:p>
    <w:p>
      <w:pPr>
        <w:spacing w:after="0" w:line="166" w:lineRule="exact"/>
        <w:rPr>
          <w:sz w:val="20"/>
          <w:szCs w:val="20"/>
          <w:color w:val="auto"/>
        </w:rPr>
      </w:pPr>
    </w:p>
    <w:p>
      <w:pPr>
        <w:ind w:left="340" w:right="33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quarter ended June 30, 2011 was $12.9 million, an increase of $6.2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$6.7 million for the quarter ended June 30, 2010, due to the factors discussed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2011 Compared to Six Months Ended June 30, 2010</w:t>
      </w:r>
    </w:p>
    <w:p>
      <w:pPr>
        <w:spacing w:after="0" w:line="185" w:lineRule="exact"/>
        <w:rPr>
          <w:sz w:val="20"/>
          <w:szCs w:val="20"/>
          <w:color w:val="auto"/>
        </w:rPr>
      </w:pPr>
    </w:p>
    <w:p>
      <w:pPr>
        <w:ind w:left="340" w:right="239" w:firstLine="389"/>
        <w:spacing w:after="0" w:line="290"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2011 was $204.8 million, an increase of $18.2 million, or 9.7%,</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net revenue of $186.6 million for the six months ended June 30, 2010. This increase was primarily due to increased online enrollment and, to a lesser extent, increases in the average tuition per student as a result of tuition price increases and an increase in the number of students taking four credit courses between years, partially offset by an increase in institutional scholarships and reduced revenue caused by our transition to BBAY from a term-based financial aid system. End-of-period enrollment increased 8.9% between June 30, 2011 and 2010, as we were able to continue our growth and increase our recruitment, marketing, and enrollment operations. We are anticipating increased pressure on new and continuing enrollments due primarily to the increasing challenges presented in the economy, the impact of new and proposed regulations, and increased competition.</w:t>
      </w:r>
    </w:p>
    <w:p>
      <w:pPr>
        <w:spacing w:after="0" w:line="139" w:lineRule="exact"/>
        <w:rPr>
          <w:sz w:val="20"/>
          <w:szCs w:val="20"/>
          <w:color w:val="auto"/>
        </w:rPr>
      </w:pPr>
    </w:p>
    <w:p>
      <w:pPr>
        <w:ind w:left="340" w:right="279" w:firstLine="389"/>
        <w:spacing w:after="0" w:line="286"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six months ended June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were $95.2 million, an increase of $7.5 million, or 8.6%, as compared to instructional cost and services expenses of $87.7 million for the six months ended June 30, 2010. This increase was primarily due to increases in instructional compensation and related expenses, faculty compensation, depreciation and amortization, and other miscellaneous instructional costs and services of $5.8 million,</w:t>
      </w:r>
    </w:p>
    <w:p>
      <w:pPr>
        <w:spacing w:after="0" w:line="2" w:lineRule="exact"/>
        <w:rPr>
          <w:sz w:val="20"/>
          <w:szCs w:val="20"/>
          <w:color w:val="auto"/>
        </w:rPr>
      </w:pPr>
    </w:p>
    <w:p>
      <w:pPr>
        <w:ind w:left="340" w:right="179"/>
        <w:spacing w:after="0" w:line="284" w:lineRule="auto"/>
        <w:rPr>
          <w:sz w:val="20"/>
          <w:szCs w:val="20"/>
          <w:color w:val="auto"/>
        </w:rPr>
      </w:pPr>
      <w:r>
        <w:rPr>
          <w:rFonts w:ascii="Arial" w:cs="Arial" w:eastAsia="Arial" w:hAnsi="Arial"/>
          <w:sz w:val="16"/>
          <w:szCs w:val="16"/>
          <w:color w:val="auto"/>
        </w:rPr>
        <w:t>$4.0 million, $2.1 million, and $0.9 million, respectively, partially offset by a decrease in non-capitalizable system conversion costs of $4.0 million and a decrease in bad debt expense of $1.3 million between periods. The increase in instructional and faculty compensation are primarily attributable to an increase in headcount (both staff and faculty) needed to provide student instruction and support services to support the increase in enrollments. This increase, however, is partially offset by the reversal of $0.7 million of amounts accrued in previous periods that were to be paid to non-enrollment employees for students they previously recruited and for which bonuses were to be paid when those students completed 24 credit hours. Bad debt expense decreased to $18.3 million or 8.9% of net revenues in the six months ended June 30, 2011 from $19.6 million or 10.5% of net revenues in the six months ended June 30, 2010 as a result of a decrease in aged receivables between period primarily due to the conversion to BBAY in the prior year. Our instructional cost and services expenses as a percentage of net revenue decreased by 0.5% to 46.5% for the six months ended June 30, 2011, as compared to 47.0% for the six months ended June 30, 2010 primarily due to decreased bad debt expense as a percentage of revenue partially offset by an increase in employee compensation. In addition, we experienced an increase in faculty compensation as a percentage of revenue as we have seen decreases in class size as the result of increasing the number of starts, increased instructional supplies due to increased licensing fees related to educational resources, and increased miscellaneous instructional costs associated with making continued improvements in curriculum development and developing new and enhanced innovative educational tools, partially offset by our ability to leverage the fixed cost structure of our campus-based facilities and ground faculty across an increasing revenue base and the non-capitalizable system costs incurred in the second quarter of 2010.</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six months ended June 30, 2011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$57.5 million, an increase of $1.6 million, or 3.0%, as compared to selling and promotional expenses of $55.9 million for the six</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ended June 30, 2010. This increase was primarily due to increases in selling and promotional employee compensation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expenses, advertising and other selling and promotional expenses of $0.6 million, $0.2 million and $0.8 million, respectively.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increases were driven by the continued expansion in our marketing efforts, which resulted in an increase in recruitment,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marketing, and enrollment staffing. Employee compensation was lower in 2011 primarily due to changes made by the University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comply with the new employee compensation rules that went into effect July 1, 2011. Specifically during the second quarter of 2011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reversed $1.5 million of amounts accrued in previous periods that were to be paid to enrollment employees for students they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previously recruited and for which bonuses were to be paid when those students completed 24 credit hours and the termination of our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sharing arrangement with MindStreams, L.L.C. in December 2010. Our selling and promotional expenses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 decreased by 1.8% to 28.1% for the six months ended June 30, 2010, from 29.9% for the six months ended June 30, 2010.</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decrease occurred due to the items discussed above and as a result of slowing the growth of our enrollment counselor hiring such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that our new enrollment counselors as a percentage of total enrollment counselors is less in 2011 than in 2010. In this regard, we incur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 expenses in connection with hiring new enrollment counselors while these individuals undergo training, and typically do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achieve full productivity or generate enrollments from these enrollment counselors until four to six months after their dates of hire.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plan to continue to add additional enrollment counselors in the future, although the number of additional hires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headcount is expected to remain flat or decrease.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2011 were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$13.9 million, an increase of $1.6 million, or 13.0%, as compared to general and administrative expenses of $12.3 million for the six</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months ended June 30, 2010. This increase was primarily due to increases in employee compensation, share based compensation,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general and administrative expenses of $0.7 million, $0.3 million, and $0.6 million, respectfully. Employee compensation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increased primarily as a result of hiring to support our continued growth. Our general and administrative expenses as a percentage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 increased by 0.2% to 6.8% for the six months ended June 30, 2011, from 6.6% for the six months ended June 30, 2010.</w:t>
      </w:r>
    </w:p>
    <w:p>
      <w:pPr>
        <w:spacing w:after="0" w:line="193" w:lineRule="exact"/>
        <w:rPr>
          <w:sz w:val="20"/>
          <w:szCs w:val="20"/>
          <w:color w:val="auto"/>
        </w:rPr>
      </w:pPr>
    </w:p>
    <w:p>
      <w:pPr>
        <w:ind w:left="340" w:right="179" w:firstLine="389"/>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six months ended June 30, 2011 was $0.1 million, a decrease of $0.4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for the six months ended June 30, 2010, as a higher amount of interest expense is capitalized in 2011 as compared to 2010 as a result of our continuing expansion of our ground infrastructure.</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Our income tax expense for the six months ended June 30, 2011 was $15.8 million, an increase of</w:t>
      </w:r>
    </w:p>
    <w:p>
      <w:pPr>
        <w:spacing w:after="0" w:line="35" w:lineRule="exact"/>
        <w:rPr>
          <w:sz w:val="20"/>
          <w:szCs w:val="20"/>
          <w:color w:val="auto"/>
        </w:rPr>
      </w:pPr>
    </w:p>
    <w:p>
      <w:pPr>
        <w:ind w:left="340" w:right="299"/>
        <w:spacing w:after="0" w:line="252" w:lineRule="auto"/>
        <w:rPr>
          <w:sz w:val="20"/>
          <w:szCs w:val="20"/>
          <w:color w:val="auto"/>
        </w:rPr>
      </w:pPr>
      <w:r>
        <w:rPr>
          <w:rFonts w:ascii="Arial" w:cs="Arial" w:eastAsia="Arial" w:hAnsi="Arial"/>
          <w:sz w:val="18"/>
          <w:szCs w:val="18"/>
          <w:color w:val="auto"/>
        </w:rPr>
        <w:t>$3.8 million from $12.0 million for the six months ended June 30, 2010. This increase was primarily attributable to increased income before income taxes. Our effective tax rate was 41.3% during the first six months of 2011 compared to 39.7% during the first six months of 2010. The increase in the effective tax rate was primarily due to certain non-recurring tax items, which had the effect of increasing our effective tax rate in the six months ended June 30, 2011 and decreasing the effective tax rate in the six months ended June 30, 2010. Excluding certain non recurring tax items, our effective tax rate for the six months ended June 30, 2011 and 2010 would have been 40.6% and 40.3%.</w:t>
      </w:r>
    </w:p>
    <w:p>
      <w:pPr>
        <w:spacing w:after="0" w:line="167" w:lineRule="exact"/>
        <w:rPr>
          <w:sz w:val="20"/>
          <w:szCs w:val="20"/>
          <w:color w:val="auto"/>
        </w:rPr>
      </w:pPr>
    </w:p>
    <w:p>
      <w:pPr>
        <w:ind w:left="340" w:right="259" w:firstLine="389"/>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six months ended June 30, 2011 was $22.4 million, an increase of $4.2 million,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$18.2 million for the six months ended June 30, 2010, due to the factors discussed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159" w:firstLine="389"/>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have increased the relative proportion of our online students, this summer effect has recently lessened. However, one of our current focuses is to accelerate the growth of our ground student enrollment. Thus, it is likely that this seasonal effect could be more pronounced in the future.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six months ended June 30, 2011 and 2010</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primarily through cash provided by operating activities. Our unrestricted cash and cash equivalents were $14.7 million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$33.6 million at June 30, 2011 and December 31, 2010, respectively. Our restricted cash and cash equivalents at June 30, 2011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2010 were $45.9 million and $52.9 million, respectively.</w:t>
      </w:r>
    </w:p>
    <w:p>
      <w:pPr>
        <w:spacing w:after="0" w:line="170" w:lineRule="exact"/>
        <w:rPr>
          <w:sz w:val="20"/>
          <w:szCs w:val="20"/>
          <w:color w:val="auto"/>
        </w:rPr>
      </w:pPr>
    </w:p>
    <w:p>
      <w:pPr>
        <w:ind w:left="340" w:right="199" w:firstLine="389"/>
        <w:spacing w:after="0" w:line="270" w:lineRule="auto"/>
        <w:rPr>
          <w:sz w:val="20"/>
          <w:szCs w:val="20"/>
          <w:color w:val="auto"/>
        </w:rPr>
      </w:pPr>
      <w:r>
        <w:rPr>
          <w:rFonts w:ascii="Arial" w:cs="Arial" w:eastAsia="Arial" w:hAnsi="Arial"/>
          <w:sz w:val="17"/>
          <w:szCs w:val="17"/>
          <w:color w:val="auto"/>
        </w:rPr>
        <w:t>On April 8, 2011, the University entered into an amended and restated loan agreement with Bank of America, N.A. (the “Amended Agreement”). Under the Amended Agreement, the bank (a) extended the maturity date of the University’s existing loan from April 30, 2014 to March 31, 2016 and decreased the interest rate on the outstanding balance from the BBA Libor Rate plus 225 basis points to the BBA Libor Rate plus 200 basis points (all other terms of the existing loan remain the same), and (b) provided to the University a revolving line of credit in the amount of $50.0 million through March 31, 2016 to be utilized for working capital, capital expenditures, share repurchases and other general corporate purposes. The Amended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maintain a certain financial condition. Indebtedness under the Amended Agreement is secured by all of the University’s assets.</w:t>
      </w:r>
    </w:p>
    <w:p>
      <w:pPr>
        <w:spacing w:after="0" w:line="137" w:lineRule="exact"/>
        <w:rPr>
          <w:sz w:val="20"/>
          <w:szCs w:val="20"/>
          <w:color w:val="auto"/>
        </w:rPr>
      </w:pPr>
    </w:p>
    <w:p>
      <w:pPr>
        <w:ind w:left="340" w:right="219" w:firstLine="389"/>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are borrowed on the line of credit as of June 30, 2011.</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right="559" w:firstLine="389"/>
        <w:spacing w:after="0" w:line="297"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six months ended June 30, 2011 was $36.0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to $30.1 million for the six months ended June 30, 2010. Cash provided by operating activities in the six months ended June 30, 2011 and 2010 resulted from our net income plus non cash charges for bad debts, depreciation and amortization, non-capitalizable system costs and share-based compensation and, in the six months ended June 30, 2011, cash provided by operating activities has been reduced by $5.2 million related to the payment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w:t>
      </w:r>
    </w:p>
    <w:p>
      <w:pPr>
        <w:spacing w:after="0" w:line="118" w:lineRule="exact"/>
        <w:rPr>
          <w:sz w:val="20"/>
          <w:szCs w:val="20"/>
          <w:color w:val="auto"/>
        </w:rPr>
      </w:pPr>
    </w:p>
    <w:p>
      <w:pPr>
        <w:ind w:left="340" w:right="259" w:firstLine="389"/>
        <w:spacing w:after="0" w:line="290"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$31.3 million and $49.3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2011 and 2010, respectively. Capital expenditures were $38.3 million and $22.4 million for the six months ended June 30, 2011 and 2010, respectively. In 2011, capital expenditures primarily consisted of ground campus building projects such as a new dormitory and an events arena to support our increasing traditional ground student enrollment as well as purchases of computer equipment, other internal use software projects and furniture and equipment. In 2010, cash used in investing activities primarily consisted of capital expenditures such as ground campus building projects, purchases of computer equipment, and software costs to complete our transition from Datatel to CampusVue and Great Plains, other internal use software projects, furniture and equipment to support our increasing student enrollment and a significant increase in restricted cash associated with our transition to BBAY.</w:t>
      </w:r>
    </w:p>
    <w:p>
      <w:pPr>
        <w:spacing w:after="0" w:line="139" w:lineRule="exact"/>
        <w:rPr>
          <w:sz w:val="20"/>
          <w:szCs w:val="20"/>
          <w:color w:val="auto"/>
        </w:rPr>
      </w:pPr>
    </w:p>
    <w:p>
      <w:pPr>
        <w:ind w:left="340" w:right="299" w:firstLine="389"/>
        <w:spacing w:after="0" w:line="276"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$23.7 million and nil in the six months ended June 30, 2011 and</w:t>
      </w:r>
      <w:r>
        <w:rPr>
          <w:rFonts w:ascii="Arial" w:cs="Arial" w:eastAsia="Arial" w:hAnsi="Arial"/>
          <w:sz w:val="17"/>
          <w:szCs w:val="17"/>
          <w:i w:val="1"/>
          <w:iCs w:val="1"/>
          <w:color w:val="auto"/>
        </w:rPr>
        <w:t xml:space="preserve"> </w:t>
      </w:r>
      <w:r>
        <w:rPr>
          <w:rFonts w:ascii="Arial" w:cs="Arial" w:eastAsia="Arial" w:hAnsi="Arial"/>
          <w:sz w:val="17"/>
          <w:szCs w:val="17"/>
          <w:color w:val="auto"/>
        </w:rPr>
        <w:t>2010, respectively. During the first six months of 2011, $22.4 million was used to purchase treasury stock in accordance with the University’s share repurchase program and principal payments on notes payable and capital leases totaled $1.9 million. During the first six months of 2010 proceeds from the exercise of stock options and the excess tax benefits from share-based compensation were offset by principal payments on notes payable and capital lease obligations.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40" w:right="899" w:firstLine="389"/>
        <w:spacing w:after="0" w:line="277" w:lineRule="auto"/>
        <w:rPr>
          <w:sz w:val="20"/>
          <w:szCs w:val="20"/>
          <w:color w:val="auto"/>
        </w:rPr>
      </w:pPr>
      <w:r>
        <w:rPr>
          <w:rFonts w:ascii="Arial" w:cs="Arial" w:eastAsia="Arial" w:hAnsi="Arial"/>
          <w:sz w:val="18"/>
          <w:szCs w:val="18"/>
          <w:color w:val="auto"/>
        </w:rPr>
        <w:t>The following table sets forth, as of June 30, 2011,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1"/>
              </w:rPr>
              <w:t>Payments Due by Period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 xml:space="preserve">1 Year </w:t>
            </w:r>
            <w:r>
              <w:rPr>
                <w:rFonts w:ascii="Arial" w:cs="Arial" w:eastAsia="Arial" w:hAnsi="Arial"/>
                <w:sz w:val="18"/>
                <w:szCs w:val="18"/>
                <w:color w:val="auto"/>
                <w:w w:val="91"/>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2-3 Years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4-5 Years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7"/>
        </w:trPr>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0"/>
        </w:trPr>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year represents expected expenditures from July 1, 2011 through December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purchase obligation amounts include expected spending by period under contracts that were in effect at June 30,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340" w:right="479" w:firstLine="389"/>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left="340" w:right="299" w:firstLine="389"/>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2011 or 2010. There can be no assurance that future inflation will not have an adverse impact on our operating results and financial condition.</w:t>
      </w:r>
    </w:p>
    <w:p>
      <w:pPr>
        <w:spacing w:after="0" w:line="154" w:lineRule="exact"/>
        <w:rPr>
          <w:sz w:val="20"/>
          <w:szCs w:val="20"/>
          <w:color w:val="auto"/>
        </w:rPr>
      </w:pPr>
    </w:p>
    <w:p>
      <w:pPr>
        <w:ind w:left="340" w:right="199" w:firstLine="389"/>
        <w:spacing w:after="0" w:line="289"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 Day LIBOR interest exposure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variable rate debt we incurred in connection with the repurchase of shares of our common stock and the land and buildings that comprise our ground campus, which debt matures in March 2016. The corridor instrument, which hedges variable interest rate risk starting July 1, 2009 through April 30, 2014 with a notional amount of $11.1 million as of June 30, 2011, permits us to hedge our interest rate risk at several thresholds. Under this arrangement, in addition to the credit spread we will pay variable interest rates based on the 30 Day LIBOR rates monthly until that index reaches 4%. If 30 Day LIBOR is equal to 4% through 6%, we will continue to pay 4%. If 30 Day LIBOR exceeds 6%, we will pay actual 30 Day LIBOR less 2%. The interest rate swap commenced on May 1, 2010, continues each month thereafter until April 30, 2014, and has a notional amount of $11.1 million as of June 30, 2011. Under this arrangement, we will receive 30 Day LIBOR and pay 3.245% fixed rate on the amortizing notional amount plus the credit spread.</w:t>
      </w:r>
    </w:p>
    <w:p>
      <w:pPr>
        <w:spacing w:after="0" w:line="126" w:lineRule="exact"/>
        <w:rPr>
          <w:sz w:val="20"/>
          <w:szCs w:val="20"/>
          <w:color w:val="auto"/>
        </w:rPr>
      </w:pPr>
    </w:p>
    <w:p>
      <w:pPr>
        <w:ind w:left="340" w:right="279" w:firstLine="389"/>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1" w:lineRule="exact"/>
        <w:rPr>
          <w:sz w:val="20"/>
          <w:szCs w:val="20"/>
          <w:color w:val="auto"/>
        </w:rPr>
      </w:pPr>
    </w:p>
    <w:p>
      <w:pPr>
        <w:ind w:left="340" w:right="199" w:firstLine="389"/>
        <w:spacing w:after="0" w:line="297"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and AAA-rated marketable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2011, a 10% increase or decrease in interest rates would not have a material impact on our future earnings, fair values, or cash flows. For information regarding our variable rate debt, see “Market risk” above.</w:t>
      </w:r>
    </w:p>
    <w:p>
      <w:pPr>
        <w:spacing w:after="0" w:line="12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left="340" w:right="159" w:firstLine="389"/>
        <w:spacing w:after="0" w:line="286"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that are designed to ensure that information required to be disclosed in reports filed by us under the Exchange Act is recorded, processed, summarized and reported within the time periods specified in the SEC’s rules and forms and that such information is accumulated and communicated to management, including our Principal Executive Officer and Principal Financial Officer, as appropriate, to allow for timely decisions regarding required disclosure. In connection with the restatement discussed in the Explanatory Note to this Form 10-Q/A and in Note 2 to our consolidated financial statements, under the direction of our Principal Executive Officer and Principal Financial Officer, management conducted a reevaluation of the effectiveness of our internal control over financial reporting as of June 30, 2011. The framework on which such evaluation was based is contained in the report entitled “Internal Control — Integrated Framework” issued by the Committee of Sponsoring Organizations of the Treadway Commission (the “COSO Report”). Based on the evaluation and the criteria set forth in the COSO Report, management identified a material weakness in internal control over financial reporting described in the management’s report on internal control over financial reporting included in Item 9A to our 2010 Form 10-K/A related to our calculation of the allowance for doubtful accounts that continued to exist as of June 30, 2011. Under Audit Standard No. 5, a material weakness is a control deficiency, or combination of control deficiencies, that results in more than a remote likelihood that a material misstatement of the annual or interim financial statements will not be prevented or detected.</w:t>
      </w:r>
    </w:p>
    <w:p>
      <w:pPr>
        <w:spacing w:after="0" w:line="145" w:lineRule="exact"/>
        <w:rPr>
          <w:sz w:val="20"/>
          <w:szCs w:val="20"/>
          <w:color w:val="auto"/>
        </w:rPr>
      </w:pPr>
    </w:p>
    <w:p>
      <w:pPr>
        <w:ind w:left="340" w:right="179" w:firstLine="194"/>
        <w:spacing w:after="0" w:line="259" w:lineRule="auto"/>
        <w:rPr>
          <w:sz w:val="20"/>
          <w:szCs w:val="20"/>
          <w:color w:val="auto"/>
        </w:rPr>
      </w:pPr>
      <w:r>
        <w:rPr>
          <w:rFonts w:ascii="Arial" w:cs="Arial" w:eastAsia="Arial" w:hAnsi="Arial"/>
          <w:sz w:val="18"/>
          <w:szCs w:val="18"/>
          <w:color w:val="auto"/>
        </w:rPr>
        <w:t>Based on its reevaluation, including consideration of the aforementioned material weakness, and the criteria discussed above, management has restated its conclusion relative to the effectiveness of our internal control over financial reporting as of June 30, 2011. Accordingly, management now concludes that our internal control over financial reporting was not effective at a reasonable assurance level as of June 30, 2011.</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Remediation Steps to Address Material Weakness</w:t>
      </w:r>
    </w:p>
    <w:p>
      <w:pPr>
        <w:spacing w:after="0" w:line="189" w:lineRule="exact"/>
        <w:rPr>
          <w:sz w:val="20"/>
          <w:szCs w:val="20"/>
          <w:color w:val="auto"/>
        </w:rPr>
      </w:pPr>
    </w:p>
    <w:p>
      <w:pPr>
        <w:ind w:left="340" w:right="419" w:firstLine="569"/>
        <w:spacing w:after="0" w:line="279" w:lineRule="auto"/>
        <w:rPr>
          <w:sz w:val="20"/>
          <w:szCs w:val="20"/>
          <w:color w:val="auto"/>
        </w:rPr>
      </w:pPr>
      <w:r>
        <w:rPr>
          <w:rFonts w:ascii="Arial" w:cs="Arial" w:eastAsia="Arial" w:hAnsi="Arial"/>
          <w:sz w:val="17"/>
          <w:szCs w:val="17"/>
          <w:color w:val="auto"/>
        </w:rPr>
        <w:t>Management has dedicated significant resources to correct the methodology relating to the calculation of our allowance for doubtful accounts and to ensure that we take proper steps to improve our internal controls and remedy our material weakness in our internal control over financial reporting and disclosure controls. Management has implemented effective control policies and procedures and remediated the underlying control deficiencies by taking the following actions:</w:t>
      </w:r>
    </w:p>
    <w:p>
      <w:pPr>
        <w:spacing w:after="0" w:line="144" w:lineRule="exact"/>
        <w:rPr>
          <w:sz w:val="20"/>
          <w:szCs w:val="20"/>
          <w:color w:val="auto"/>
        </w:rPr>
      </w:pPr>
    </w:p>
    <w:p>
      <w:pPr>
        <w:ind w:left="1440" w:hanging="719"/>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conducted a full review of our methodology for estimating the allowance for doubtful accounts</w:t>
      </w:r>
    </w:p>
    <w:p>
      <w:pPr>
        <w:spacing w:after="0" w:line="184" w:lineRule="exact"/>
        <w:rPr>
          <w:rFonts w:ascii="Arial" w:cs="Arial" w:eastAsia="Arial" w:hAnsi="Arial"/>
          <w:sz w:val="18"/>
          <w:szCs w:val="18"/>
          <w:color w:val="auto"/>
        </w:rPr>
      </w:pPr>
    </w:p>
    <w:p>
      <w:pPr>
        <w:ind w:left="1440" w:hanging="719"/>
        <w:spacing w:after="0"/>
        <w:tabs>
          <w:tab w:leader="none" w:pos="1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established controls and procedures adequate to timely identify changes to the composition of our accounts receivable</w:t>
      </w:r>
    </w:p>
    <w:p>
      <w:pPr>
        <w:spacing w:after="0" w:line="207" w:lineRule="exact"/>
        <w:rPr>
          <w:rFonts w:ascii="Arial" w:cs="Arial" w:eastAsia="Arial" w:hAnsi="Arial"/>
          <w:sz w:val="16"/>
          <w:szCs w:val="16"/>
          <w:color w:val="auto"/>
        </w:rPr>
      </w:pPr>
    </w:p>
    <w:p>
      <w:pPr>
        <w:ind w:left="1440" w:hanging="719"/>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controls and procedures to enhance our ability to monitor collection trends.</w:t>
      </w:r>
    </w:p>
    <w:p>
      <w:pPr>
        <w:spacing w:after="0" w:line="198" w:lineRule="exact"/>
        <w:rPr>
          <w:sz w:val="20"/>
          <w:szCs w:val="20"/>
          <w:color w:val="auto"/>
        </w:rPr>
      </w:pPr>
    </w:p>
    <w:p>
      <w:pPr>
        <w:ind w:left="340" w:right="359" w:firstLine="742"/>
        <w:spacing w:after="0" w:line="277" w:lineRule="auto"/>
        <w:rPr>
          <w:sz w:val="20"/>
          <w:szCs w:val="20"/>
          <w:color w:val="auto"/>
        </w:rPr>
      </w:pPr>
      <w:r>
        <w:rPr>
          <w:rFonts w:ascii="Arial" w:cs="Arial" w:eastAsia="Arial" w:hAnsi="Arial"/>
          <w:sz w:val="18"/>
          <w:szCs w:val="18"/>
          <w:color w:val="auto"/>
        </w:rPr>
        <w:t>Management believes that the actions described above have remediated the identified material weakness and strengthened our internal control over financial reporting as of the date of this filing.</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ectPr>
          <w:pgSz w:w="11900" w:h="16838" w:orient="portrait"/>
          <w:cols w:equalWidth="0" w:num="1">
            <w:col w:w="10219"/>
          </w:cols>
          <w:pgMar w:left="240" w:top="419" w:right="1440" w:bottom="0" w:gutter="0" w:footer="0" w:header="0"/>
          <w:type w:val="continuous"/>
        </w:sectPr>
      </w:pPr>
    </w:p>
    <w:bookmarkStart w:id="31" w:name="page32"/>
    <w:bookmarkEnd w:id="31"/>
    <w:p>
      <w:pPr>
        <w:ind w:right="339" w:firstLine="389"/>
        <w:spacing w:after="0" w:line="286" w:lineRule="auto"/>
        <w:rPr>
          <w:sz w:val="20"/>
          <w:szCs w:val="20"/>
          <w:color w:val="auto"/>
        </w:rPr>
      </w:pPr>
      <w:r>
        <w:rPr>
          <w:rFonts w:ascii="Arial" w:cs="Arial" w:eastAsia="Arial" w:hAnsi="Arial"/>
          <w:sz w:val="17"/>
          <w:szCs w:val="17"/>
          <w:color w:val="auto"/>
        </w:rPr>
        <w:t>Except as noted above,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340" w:right="439" w:firstLine="389"/>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10-K/A for the year ended December 31, 2010, except as set forth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185" w:lineRule="exact"/>
        <w:rPr>
          <w:sz w:val="20"/>
          <w:szCs w:val="20"/>
          <w:color w:val="auto"/>
        </w:rPr>
      </w:pPr>
    </w:p>
    <w:p>
      <w:pPr>
        <w:jc w:val="both"/>
        <w:ind w:left="340" w:right="359" w:firstLine="389"/>
        <w:spacing w:after="0" w:line="264" w:lineRule="auto"/>
        <w:rPr>
          <w:sz w:val="20"/>
          <w:szCs w:val="20"/>
          <w:color w:val="auto"/>
        </w:rPr>
      </w:pPr>
      <w:r>
        <w:rPr>
          <w:rFonts w:ascii="Arial" w:cs="Arial" w:eastAsia="Arial" w:hAnsi="Arial"/>
          <w:sz w:val="18"/>
          <w:szCs w:val="18"/>
          <w:color w:val="auto"/>
        </w:rPr>
        <w:t>In November 2009, the U.S. Department of Education convened two negotiated rulemaking teams related to Title IV program integrity issues and foreign school issues. The resulting program integrity rules promulgated in October 2010 and June 2011 address numerous topics. The most significant for our business are the following:</w:t>
      </w:r>
    </w:p>
    <w:p>
      <w:pPr>
        <w:spacing w:after="0" w:line="154" w:lineRule="exact"/>
        <w:rPr>
          <w:sz w:val="20"/>
          <w:szCs w:val="20"/>
          <w:color w:val="auto"/>
        </w:rPr>
      </w:pPr>
    </w:p>
    <w:p>
      <w:pPr>
        <w:ind w:left="1480" w:right="539" w:hanging="378"/>
        <w:spacing w:after="0" w:line="277" w:lineRule="auto"/>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Modification of the standards relating to the payment of incentive compensation to employees involved in student recruitment and enrollment;</w:t>
      </w:r>
    </w:p>
    <w:p>
      <w:pPr>
        <w:spacing w:after="0" w:line="129" w:lineRule="exact"/>
        <w:rPr>
          <w:rFonts w:ascii="Arial" w:cs="Arial" w:eastAsia="Arial" w:hAnsi="Arial"/>
          <w:sz w:val="18"/>
          <w:szCs w:val="18"/>
          <w:b w:val="1"/>
          <w:bCs w:val="1"/>
          <w:color w:val="auto"/>
        </w:rPr>
      </w:pPr>
    </w:p>
    <w:p>
      <w:pPr>
        <w:ind w:left="1480" w:hanging="378"/>
        <w:spacing w:after="0"/>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Implementation of standards for state authorization of institutions of higher education; and</w:t>
      </w:r>
    </w:p>
    <w:p>
      <w:pPr>
        <w:spacing w:after="0" w:line="184" w:lineRule="exact"/>
        <w:rPr>
          <w:rFonts w:ascii="Arial" w:cs="Arial" w:eastAsia="Arial" w:hAnsi="Arial"/>
          <w:sz w:val="18"/>
          <w:szCs w:val="18"/>
          <w:b w:val="1"/>
          <w:bCs w:val="1"/>
          <w:color w:val="auto"/>
        </w:rPr>
      </w:pPr>
    </w:p>
    <w:p>
      <w:pPr>
        <w:ind w:left="1480" w:right="199" w:hanging="378"/>
        <w:spacing w:after="0" w:line="264" w:lineRule="auto"/>
        <w:tabs>
          <w:tab w:leader="none" w:pos="14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Adoption of a definition of “gainful employment” for purposes of the requirement of Title IV student financial aid that a program of study offered by a proprietary institution prepare students for gainful employment in a recognized occupation.</w:t>
      </w:r>
    </w:p>
    <w:p>
      <w:pPr>
        <w:spacing w:after="0" w:line="154"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The Department published final program integrity regulations on October 29, 2010, with most of the final rules effective July 1, 2011, including some reporting and disclosure rules related to gainful employment. On June 13, 2011, the Department published final regulations on metrics for gainful employment programs effective July 1, 2012. In addition to the rules, the Department routinely issues “Dear Colleague Letters” to provide sub-regulatory guidance on certain areas of final regulations. The guidance is provided to assist institutions with understanding the regulations in these areas, and does not make any changes to the regulations. The Department has issued numerous Dear Colleague Letters to provide further information on other provisions of the program integrity regulations and created a website dedicated to gainful employment information found at http://ifap.ed.gov/GainfulEmploymentInfo/index.html.</w:t>
      </w:r>
    </w:p>
    <w:p>
      <w:pPr>
        <w:spacing w:after="0" w:line="127" w:lineRule="exact"/>
        <w:rPr>
          <w:sz w:val="20"/>
          <w:szCs w:val="20"/>
          <w:color w:val="auto"/>
        </w:rPr>
      </w:pPr>
    </w:p>
    <w:p>
      <w:pPr>
        <w:ind w:left="340" w:right="199" w:firstLine="389"/>
        <w:spacing w:after="0" w:line="271" w:lineRule="auto"/>
        <w:rPr>
          <w:sz w:val="20"/>
          <w:szCs w:val="20"/>
          <w:color w:val="auto"/>
        </w:rPr>
      </w:pPr>
      <w:r>
        <w:rPr>
          <w:rFonts w:ascii="Arial" w:cs="Arial" w:eastAsia="Arial" w:hAnsi="Arial"/>
          <w:sz w:val="17"/>
          <w:szCs w:val="17"/>
          <w:color w:val="auto"/>
        </w:rPr>
        <w:t>The program integrity rules require a large number of reporting and operational changes, some of which are described below. We believe we are, or will be, be in substantial compliance with these new reporting and disclosure requirements as of their respective effective dates. However, because of the scale and complexity of our educational programs, we may be unable to fully develop, test and implement all of the necessary modifications to our information management systems and administrative processes to maintain such compliance at all times in the future and, as a result, we may be subject to administrative or other sanctions if we are unable to comply with these reporting and disclosure requirements on a timely basis. In addition, these changes, individually or in combination, may impact our student enrollment, persistence and retention in ways that we cannot now predict and could adversely affect our business, financial condition, results of operations and cash flows.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 Compensation</w:t>
      </w:r>
    </w:p>
    <w:p>
      <w:pPr>
        <w:spacing w:after="0" w:line="198" w:lineRule="exact"/>
        <w:rPr>
          <w:sz w:val="20"/>
          <w:szCs w:val="20"/>
          <w:color w:val="auto"/>
        </w:rPr>
      </w:pPr>
    </w:p>
    <w:p>
      <w:pPr>
        <w:ind w:left="340" w:right="219" w:firstLine="389"/>
        <w:spacing w:after="0" w:line="293" w:lineRule="auto"/>
        <w:rPr>
          <w:sz w:val="20"/>
          <w:szCs w:val="20"/>
          <w:color w:val="auto"/>
        </w:rPr>
      </w:pPr>
      <w:r>
        <w:rPr>
          <w:rFonts w:ascii="Arial" w:cs="Arial" w:eastAsia="Arial" w:hAnsi="Arial"/>
          <w:sz w:val="16"/>
          <w:szCs w:val="16"/>
          <w:color w:val="auto"/>
        </w:rPr>
        <w:t>A school participating in Title IV programs may not pay any commission, bonus or other incentive payments to any person involved in student recruitment or admissions or awarding of Title IV program funds, if such payments are based directly or indirectly in any part on success in enrolling students or obtaining student financial aid. The law and regulations governing this requirement do not establish clear criteria for compliance in all circumstances, but until June 30, 2011 the Department offered twelve safe harbors that defined specific types of compensation that were deemed to constitute permissible incentive compensation. In the past, we relied on several of these safe harbors to ensure that our compensation and recruitment practices comply with the applicable requirements.</w:t>
      </w:r>
    </w:p>
    <w:p>
      <w:pPr>
        <w:spacing w:after="0" w:line="124" w:lineRule="exact"/>
        <w:rPr>
          <w:sz w:val="20"/>
          <w:szCs w:val="20"/>
          <w:color w:val="auto"/>
        </w:rPr>
      </w:pPr>
    </w:p>
    <w:p>
      <w:pPr>
        <w:ind w:left="340" w:right="179" w:firstLine="389"/>
        <w:spacing w:after="0" w:line="291" w:lineRule="auto"/>
        <w:rPr>
          <w:sz w:val="20"/>
          <w:szCs w:val="20"/>
          <w:color w:val="auto"/>
        </w:rPr>
      </w:pPr>
      <w:r>
        <w:rPr>
          <w:rFonts w:ascii="Arial" w:cs="Arial" w:eastAsia="Arial" w:hAnsi="Arial"/>
          <w:sz w:val="16"/>
          <w:szCs w:val="16"/>
          <w:color w:val="auto"/>
        </w:rPr>
        <w:t>In the final regulations adopted by the Department, these twelve safe harbors were eliminated and, in lieu of the safe harbors, some of the relevant concepts relating to the incentive compensation limitations were defined. These changes increase the uncertainty about what constitutes incentive compensation and which employees are covered by the regulation. This makes the development of effective and compliant performance metrics more difficult to establish. In response to the Department’s concern about the impact of compensation structures that rely on the current safe harbors and in order to enhance the enrollment process for our students, we began considering an alternative compensation structure for our enrollment personnel. We developed this new structure, which we believe complies with the Department’s new rule, and implemented it on a broad scale during the second quarter of fiscal year 2011.</w:t>
      </w:r>
    </w:p>
    <w:p>
      <w:pPr>
        <w:spacing w:after="0" w:line="127" w:lineRule="exact"/>
        <w:rPr>
          <w:sz w:val="20"/>
          <w:szCs w:val="20"/>
          <w:color w:val="auto"/>
        </w:rPr>
      </w:pPr>
    </w:p>
    <w:p>
      <w:pPr>
        <w:ind w:left="340" w:right="299" w:firstLine="389"/>
        <w:spacing w:after="0" w:line="312" w:lineRule="auto"/>
        <w:rPr>
          <w:sz w:val="20"/>
          <w:szCs w:val="20"/>
          <w:color w:val="auto"/>
        </w:rPr>
      </w:pPr>
      <w:r>
        <w:rPr>
          <w:rFonts w:ascii="Arial" w:cs="Arial" w:eastAsia="Arial" w:hAnsi="Arial"/>
          <w:sz w:val="16"/>
          <w:szCs w:val="16"/>
          <w:color w:val="auto"/>
        </w:rPr>
        <w:t>This change in our approach to recruiting could adversely impact our enrollment rates and increase our operating costs, perhaps materially. We believe this change is in the best interests of our students and it is consistent with our on-going efforts to address the concerns of the Department and others, including members of Congress, about enrollment practices in the proprietary sector.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 Authorization</w:t>
      </w:r>
    </w:p>
    <w:p>
      <w:pPr>
        <w:spacing w:after="0" w:line="185" w:lineRule="exact"/>
        <w:rPr>
          <w:sz w:val="20"/>
          <w:szCs w:val="20"/>
          <w:color w:val="auto"/>
        </w:rPr>
      </w:pPr>
    </w:p>
    <w:p>
      <w:pPr>
        <w:ind w:left="340" w:right="299" w:firstLine="389"/>
        <w:spacing w:after="0" w:line="259" w:lineRule="auto"/>
        <w:rPr>
          <w:sz w:val="20"/>
          <w:szCs w:val="20"/>
          <w:color w:val="auto"/>
        </w:rPr>
      </w:pPr>
      <w:r>
        <w:rPr>
          <w:rFonts w:ascii="Arial" w:cs="Arial" w:eastAsia="Arial" w:hAnsi="Arial"/>
          <w:sz w:val="18"/>
          <w:szCs w:val="18"/>
          <w:color w:val="auto"/>
        </w:rPr>
        <w:t>In the U.S., institutions that participate in Title IV programs must be authorized to operate by the appropriate postsecondary regulatory authority in each state, or be exempt from such regulatory authorization, usually based on recognized accreditation or lack of physical presence in that state. As of June 30, 2011, we are authorized to operate or have confirmed an exemption to operate in almost all states, Puerto Rico and the District of Columbia.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88" w:lineRule="auto"/>
        <w:rPr>
          <w:sz w:val="20"/>
          <w:szCs w:val="20"/>
          <w:color w:val="auto"/>
        </w:rPr>
      </w:pPr>
      <w:r>
        <w:rPr>
          <w:rFonts w:ascii="Arial" w:cs="Arial" w:eastAsia="Arial" w:hAnsi="Arial"/>
          <w:sz w:val="16"/>
          <w:szCs w:val="16"/>
          <w:color w:val="auto"/>
        </w:rPr>
        <w:t>There are annual waivers available in the final regulations that could allow us to continue to operate without specific state approval in states for which we have not received specific authorization or are otherwise exempt from obtaining authorization, through July 1, 2013. In order to obtain such annual waivers, we must have a supporting letter from each such state and file a request for an annual waiver to be considered by the Department of Education. We have obtained such supporting letters in certain states and have filed a request for an annual waiver through July 1, 2012 with the Department of Education. While we have no assurance that the waivers will be granted, we have no reason to believe that they will not be forthcoming in due course. If we experience a delay in obtaining or cannot obtain these approvals or waivers, our business could be adversely impacted. As a result, the manner in which the Department’s final regulation will apply to our business in these states, and the impact of such regulation on our business, is uncertain. If we are unable to operate in any state in a manner that would preserve Title IV eligibility for our students, our business could be materially and adversely impacted, depending on the revenue derived from students in that state.</w:t>
      </w:r>
    </w:p>
    <w:p>
      <w:pPr>
        <w:spacing w:after="0" w:line="142" w:lineRule="exact"/>
        <w:rPr>
          <w:sz w:val="20"/>
          <w:szCs w:val="20"/>
          <w:color w:val="auto"/>
        </w:rPr>
      </w:pPr>
    </w:p>
    <w:p>
      <w:pPr>
        <w:ind w:left="340" w:right="259" w:firstLine="389"/>
        <w:spacing w:after="0" w:line="272" w:lineRule="auto"/>
        <w:rPr>
          <w:sz w:val="20"/>
          <w:szCs w:val="20"/>
          <w:color w:val="auto"/>
        </w:rPr>
      </w:pPr>
      <w:r>
        <w:rPr>
          <w:rFonts w:ascii="Arial" w:cs="Arial" w:eastAsia="Arial" w:hAnsi="Arial"/>
          <w:sz w:val="17"/>
          <w:szCs w:val="17"/>
          <w:color w:val="auto"/>
        </w:rPr>
        <w:t>Additionally, many states now must adopt additional statutes or regulations in order to comply with the new regulations adopted by the Department. In addition, other states are revising existing statutes and regulations that affect higher education generally or proprietary higher education providers specifically. We have no assurance that these states will be willing or able to adopt such additional statutes or regulations or that we will be able to obtain specific state regulatory approval under any revised statute of regulation, or that Grand Canyon University will be able to meet any new statute or regulation enacted. If we are unable to operate in any state due to changes in state law, or if state law limits our ability to operate in those states, our business could be materially and adversely impacted, depending on the revenue derived from students in that state.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Gainful Employment</w:t>
      </w:r>
    </w:p>
    <w:p>
      <w:pPr>
        <w:spacing w:after="0" w:line="185" w:lineRule="exact"/>
        <w:rPr>
          <w:sz w:val="20"/>
          <w:szCs w:val="20"/>
          <w:color w:val="auto"/>
        </w:rPr>
      </w:pPr>
    </w:p>
    <w:p>
      <w:pPr>
        <w:ind w:left="340" w:right="199" w:firstLine="389"/>
        <w:spacing w:after="0" w:line="255" w:lineRule="auto"/>
        <w:rPr>
          <w:sz w:val="20"/>
          <w:szCs w:val="20"/>
          <w:color w:val="auto"/>
        </w:rPr>
      </w:pPr>
      <w:r>
        <w:rPr>
          <w:rFonts w:ascii="Arial" w:cs="Arial" w:eastAsia="Arial" w:hAnsi="Arial"/>
          <w:sz w:val="18"/>
          <w:szCs w:val="18"/>
          <w:color w:val="auto"/>
        </w:rPr>
        <w:t>Under the Higher Education Act, proprietary schools are eligible to participate in Title IV programs in respect of educational programs that lead to “gainful employment in a recognized occupation,” with the limited exception of qualified programs leading to a bachelor’s degree in liberal arts. Historically, this concept has not been defined in detail. On July 26, 2010, the Department of Education issued a proposed gainful employment rule. On June 13, 2011, the Department of Education issued its final gainful employment rule, which contained material modifications to the proposed rule. In its final form, the rule provides, among other things, for the following:</w:t>
      </w:r>
    </w:p>
    <w:p>
      <w:pPr>
        <w:spacing w:after="0" w:line="166" w:lineRule="exact"/>
        <w:rPr>
          <w:sz w:val="20"/>
          <w:szCs w:val="20"/>
          <w:color w:val="auto"/>
        </w:rPr>
      </w:pPr>
    </w:p>
    <w:p>
      <w:pPr>
        <w:ind w:left="1880" w:right="299" w:hanging="386"/>
        <w:spacing w:after="0" w:line="279" w:lineRule="auto"/>
        <w:tabs>
          <w:tab w:leader="none" w:pos="1880" w:val="left"/>
        </w:tabs>
        <w:numPr>
          <w:ilvl w:val="0"/>
          <w:numId w:val="17"/>
        </w:numPr>
        <w:rPr>
          <w:rFonts w:ascii="Arial" w:cs="Arial" w:eastAsia="Arial" w:hAnsi="Arial"/>
          <w:sz w:val="17"/>
          <w:szCs w:val="17"/>
          <w:b w:val="1"/>
          <w:bCs w:val="1"/>
          <w:color w:val="auto"/>
        </w:rPr>
      </w:pPr>
      <w:r>
        <w:rPr>
          <w:rFonts w:ascii="Arial" w:cs="Arial" w:eastAsia="Arial" w:hAnsi="Arial"/>
          <w:sz w:val="17"/>
          <w:szCs w:val="17"/>
          <w:i w:val="1"/>
          <w:iCs w:val="1"/>
          <w:color w:val="auto"/>
        </w:rPr>
        <w:t>Disclosures</w:t>
      </w:r>
      <w:r>
        <w:rPr>
          <w:rFonts w:ascii="Arial" w:cs="Arial" w:eastAsia="Arial" w:hAnsi="Arial"/>
          <w:sz w:val="17"/>
          <w:szCs w:val="17"/>
          <w:color w:val="auto"/>
        </w:rPr>
        <w:t>. Effective July 1, 2011, proprietary institutions of higher education as well as public and not-for</w:t>
      </w:r>
      <w:r>
        <w:rPr>
          <w:rFonts w:ascii="Arial" w:cs="Arial" w:eastAsia="Arial" w:hAnsi="Arial"/>
          <w:sz w:val="17"/>
          <w:szCs w:val="17"/>
          <w:i w:val="1"/>
          <w:iCs w:val="1"/>
          <w:color w:val="auto"/>
        </w:rPr>
        <w:t xml:space="preserve"> </w:t>
      </w:r>
      <w:r>
        <w:rPr>
          <w:rFonts w:ascii="Arial" w:cs="Arial" w:eastAsia="Arial" w:hAnsi="Arial"/>
          <w:sz w:val="17"/>
          <w:szCs w:val="17"/>
          <w:color w:val="auto"/>
        </w:rPr>
        <w:t>profit institutions offering postsecondary non-degree programs must provide prospective students with disclosures on the types of employment associated with the program, total cost of the program, completion rate, job placement rate, if applicable, and median loan debt of program completers.</w:t>
      </w:r>
    </w:p>
    <w:p>
      <w:pPr>
        <w:spacing w:after="0" w:line="130" w:lineRule="exact"/>
        <w:rPr>
          <w:rFonts w:ascii="Arial" w:cs="Arial" w:eastAsia="Arial" w:hAnsi="Arial"/>
          <w:sz w:val="17"/>
          <w:szCs w:val="17"/>
          <w:b w:val="1"/>
          <w:bCs w:val="1"/>
          <w:color w:val="auto"/>
        </w:rPr>
      </w:pPr>
    </w:p>
    <w:p>
      <w:pPr>
        <w:ind w:left="1880" w:right="479" w:hanging="386"/>
        <w:spacing w:after="0" w:line="259" w:lineRule="auto"/>
        <w:tabs>
          <w:tab w:leader="none" w:pos="1880"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Reporting</w:t>
      </w:r>
      <w:r>
        <w:rPr>
          <w:rFonts w:ascii="Arial" w:cs="Arial" w:eastAsia="Arial" w:hAnsi="Arial"/>
          <w:sz w:val="18"/>
          <w:szCs w:val="18"/>
          <w:color w:val="auto"/>
        </w:rPr>
        <w:t>. Effective October 1, 2011, institutions must annually submit information to the Department about</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who complete a program leading to gainful employment in a recognized occupation, including the amount of debt incurred under private loans or institutional finance plans, graduation information, and end of year enrollment information.</w:t>
      </w:r>
    </w:p>
    <w:p>
      <w:pPr>
        <w:spacing w:after="0" w:line="146" w:lineRule="exact"/>
        <w:rPr>
          <w:rFonts w:ascii="Arial" w:cs="Arial" w:eastAsia="Arial" w:hAnsi="Arial"/>
          <w:sz w:val="18"/>
          <w:szCs w:val="18"/>
          <w:b w:val="1"/>
          <w:bCs w:val="1"/>
          <w:color w:val="auto"/>
        </w:rPr>
      </w:pPr>
    </w:p>
    <w:p>
      <w:pPr>
        <w:ind w:left="1880" w:right="199" w:hanging="386"/>
        <w:spacing w:after="0" w:line="288" w:lineRule="auto"/>
        <w:tabs>
          <w:tab w:leader="none" w:pos="1880" w:val="left"/>
        </w:tabs>
        <w:numPr>
          <w:ilvl w:val="0"/>
          <w:numId w:val="1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New Program Approval. </w:t>
      </w:r>
      <w:r>
        <w:rPr>
          <w:rFonts w:ascii="Arial" w:cs="Arial" w:eastAsia="Arial" w:hAnsi="Arial"/>
          <w:sz w:val="16"/>
          <w:szCs w:val="16"/>
          <w:color w:val="auto"/>
        </w:rPr>
        <w:t>Effective July 1, 2011, the final regulations require institutions to notify the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at least 90 days before the start of new educational programs leading to gainful employment in recognized occupations. This notification must include information on the need for the program, a wage analysis, an institutional program review and approval process, and a demonstration of accreditation. An institution is not required to obtain formal Department approval if the notification is submitted at least 90 days prior to the first day of class. However, if the Department decides during the course of review that an approval is warranted, a notice will be sent to the institution at least 30 days prior to the first day of class with a request for additional information. The Department also has announced that it will be issuing a Notice of Proposed Rulemaking (NPRM) on the process for seeking Title IV eligibility for new programs. The NPRM proposes to amend the existing rules on new program approvals that went into effect on July 1, 2011.</w:t>
      </w:r>
    </w:p>
    <w:p>
      <w:pPr>
        <w:spacing w:after="0" w:line="142" w:lineRule="exact"/>
        <w:rPr>
          <w:rFonts w:ascii="Arial" w:cs="Arial" w:eastAsia="Arial" w:hAnsi="Arial"/>
          <w:sz w:val="16"/>
          <w:szCs w:val="16"/>
          <w:b w:val="1"/>
          <w:bCs w:val="1"/>
          <w:color w:val="auto"/>
        </w:rPr>
      </w:pPr>
    </w:p>
    <w:p>
      <w:pPr>
        <w:ind w:left="1880" w:right="159" w:hanging="386"/>
        <w:spacing w:after="0" w:line="259" w:lineRule="auto"/>
        <w:tabs>
          <w:tab w:leader="none" w:pos="1880" w:val="left"/>
        </w:tabs>
        <w:numPr>
          <w:ilvl w:val="0"/>
          <w:numId w:val="17"/>
        </w:numPr>
        <w:rPr>
          <w:rFonts w:ascii="Arial" w:cs="Arial" w:eastAsia="Arial" w:hAnsi="Arial"/>
          <w:sz w:val="18"/>
          <w:szCs w:val="18"/>
          <w:b w:val="1"/>
          <w:bCs w:val="1"/>
          <w:color w:val="auto"/>
        </w:rPr>
      </w:pP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 xml:space="preserve">to-Earnings Ratio and Loan Repayment Rate. </w:t>
      </w:r>
      <w:r>
        <w:rPr>
          <w:rFonts w:ascii="Arial" w:cs="Arial" w:eastAsia="Arial" w:hAnsi="Arial"/>
          <w:sz w:val="18"/>
          <w:szCs w:val="18"/>
          <w:color w:val="auto"/>
        </w:rPr>
        <w:t>The metrics used to define gainful employment in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rule are based on debt-to-earnings and loan repayment rates, but with changes from the proposed rule issued July 2010. Under the final rule, a program leads to gainful employment in a recognized occupation if it meets one of the following metrics:</w:t>
      </w:r>
    </w:p>
    <w:p>
      <w:pPr>
        <w:spacing w:after="0" w:line="146" w:lineRule="exact"/>
        <w:rPr>
          <w:rFonts w:ascii="Arial" w:cs="Arial" w:eastAsia="Arial" w:hAnsi="Arial"/>
          <w:sz w:val="18"/>
          <w:szCs w:val="18"/>
          <w:b w:val="1"/>
          <w:bCs w:val="1"/>
          <w:color w:val="auto"/>
        </w:rPr>
      </w:pPr>
    </w:p>
    <w:p>
      <w:pPr>
        <w:ind w:left="2260" w:right="179" w:hanging="375"/>
        <w:spacing w:after="0" w:line="276" w:lineRule="auto"/>
        <w:tabs>
          <w:tab w:leader="none" w:pos="2260"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Loan Repayment Rate — at least 35 percent of former students are repaying their loans. The repayment rate generally is measured using the student’s third and fourth year of repayment, with a few exceptions. If there are 30 or fewer borrowers in a two-year period, the repayment rate period will be expanded to include borrowers in the third, fourth, fifth and sixth years. If there are still fewer than 30 borrowers after that point, the program is considered to have passed the metric.</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left="2260" w:right="219" w:hanging="375"/>
        <w:spacing w:after="0" w:line="289" w:lineRule="auto"/>
        <w:tabs>
          <w:tab w:leader="none" w:pos="22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Debt to Earnings Ratio — either (a) the estimated annual loan repayment of a typical graduate does not exceed 30 percent of his or her discretionary income (income above 150% of the poverty level), or (b) the estimated annual loan payment of a typical graduate does not exceed 12 percent of his or her total earnings. The ratios generally will be based upon students in their third and fourth years after graduation, with the same exceptions pertaining to small cohort programs described immediately above, for the repayment rate metric. Debt will be calculated based upon the program’s median debt, which will include private loans. Annual payments will be calculated based on a 10-year standard repayment plan for certificate and associates degree programs, 15 years for bachelor’s and master’s programs, and 20 years for graduate and professional programs. Debt incurred for living expenses is excluded from the calculation.</w:t>
      </w:r>
    </w:p>
    <w:p>
      <w:pPr>
        <w:spacing w:after="0" w:line="126" w:lineRule="exact"/>
        <w:rPr>
          <w:rFonts w:ascii="Arial" w:cs="Arial" w:eastAsia="Arial" w:hAnsi="Arial"/>
          <w:sz w:val="16"/>
          <w:szCs w:val="16"/>
          <w:b w:val="1"/>
          <w:bCs w:val="1"/>
          <w:color w:val="auto"/>
        </w:rPr>
      </w:pPr>
    </w:p>
    <w:p>
      <w:pPr>
        <w:ind w:left="2260" w:right="199" w:hanging="375"/>
        <w:spacing w:after="0" w:line="289" w:lineRule="auto"/>
        <w:tabs>
          <w:tab w:leader="none" w:pos="226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 xml:space="preserve">If a program fails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Loan Repayment and Debt to Earnings metrics, then (i) </w:t>
      </w:r>
      <w:r>
        <w:rPr>
          <w:rFonts w:ascii="Arial" w:cs="Arial" w:eastAsia="Arial" w:hAnsi="Arial"/>
          <w:sz w:val="16"/>
          <w:szCs w:val="16"/>
          <w:i w:val="1"/>
          <w:iCs w:val="1"/>
          <w:color w:val="auto"/>
        </w:rPr>
        <w:t>after one failure</w:t>
      </w:r>
      <w:r>
        <w:rPr>
          <w:rFonts w:ascii="Arial" w:cs="Arial" w:eastAsia="Arial" w:hAnsi="Arial"/>
          <w:sz w:val="16"/>
          <w:szCs w:val="16"/>
          <w:color w:val="auto"/>
        </w:rPr>
        <w:t xml:space="preserve">, the institution must provide a warning to students disclosing the amount by which the program missed minimal acceptable performance and the program’s plans for improvement and establish a three-day waiting period before a student can enroll, (ii) </w:t>
      </w:r>
      <w:r>
        <w:rPr>
          <w:rFonts w:ascii="Arial" w:cs="Arial" w:eastAsia="Arial" w:hAnsi="Arial"/>
          <w:sz w:val="16"/>
          <w:szCs w:val="16"/>
          <w:i w:val="1"/>
          <w:iCs w:val="1"/>
          <w:color w:val="auto"/>
        </w:rPr>
        <w:t>after two failures within three years</w:t>
      </w:r>
      <w:r>
        <w:rPr>
          <w:rFonts w:ascii="Arial" w:cs="Arial" w:eastAsia="Arial" w:hAnsi="Arial"/>
          <w:sz w:val="16"/>
          <w:szCs w:val="16"/>
          <w:color w:val="auto"/>
        </w:rPr>
        <w:t xml:space="preserve">, the institution must provide a warning to prospective and enrolled students in the failing program stating the plan it intends to take in response, the risks associated with enrolling or continuing in the program, that the student should “expect to have difficulty repaying” the loans, and if the school chooses to discontinue the program at this stage, the timeline for doing so, and (iii) </w:t>
      </w:r>
      <w:r>
        <w:rPr>
          <w:rFonts w:ascii="Arial" w:cs="Arial" w:eastAsia="Arial" w:hAnsi="Arial"/>
          <w:sz w:val="16"/>
          <w:szCs w:val="16"/>
          <w:i w:val="1"/>
          <w:iCs w:val="1"/>
          <w:color w:val="auto"/>
        </w:rPr>
        <w:t>after three failures within four years</w:t>
      </w:r>
      <w:r>
        <w:rPr>
          <w:rFonts w:ascii="Arial" w:cs="Arial" w:eastAsia="Arial" w:hAnsi="Arial"/>
          <w:sz w:val="16"/>
          <w:szCs w:val="16"/>
          <w:color w:val="auto"/>
        </w:rPr>
        <w:t>, the program loses eligibility for federal student aid. Institutions cannot then reestablish the program’s eligibility for at least three years.</w:t>
      </w:r>
    </w:p>
    <w:p>
      <w:pPr>
        <w:spacing w:after="0" w:line="126" w:lineRule="exact"/>
        <w:rPr>
          <w:sz w:val="20"/>
          <w:szCs w:val="20"/>
          <w:color w:val="auto"/>
        </w:rPr>
      </w:pPr>
    </w:p>
    <w:p>
      <w:pPr>
        <w:ind w:left="1880" w:right="159"/>
        <w:spacing w:after="0" w:line="269" w:lineRule="auto"/>
        <w:rPr>
          <w:sz w:val="20"/>
          <w:szCs w:val="20"/>
          <w:color w:val="auto"/>
        </w:rPr>
      </w:pPr>
      <w:r>
        <w:rPr>
          <w:rFonts w:ascii="Arial" w:cs="Arial" w:eastAsia="Arial" w:hAnsi="Arial"/>
          <w:sz w:val="17"/>
          <w:szCs w:val="17"/>
          <w:color w:val="auto"/>
        </w:rPr>
        <w:t>Although the final rules regarding gainful employment metrics provide opportunities to address program deficiencies before the loss of Title IV eligibility, the continuing eligibility of our educational programs for Title IV funding could be at risk due to factors beyond our control, such as changes in the actual or deemed income level of our graduates, changes in student borrowing levels, increases in interest rates, changes in the federal poverty income level relevant for calculating discretionary income, changes in the percentage of our former students who are current in repayment of their student loans, and other factors. In addition, even though deficiencies in the metrics may be correctible on a timely basis, the disclosure requirements to students following a failure to meet the standards may adversely impact enrollment in that program and may adversely impact the reputation of the University. The exposure to these external factors may reduce our ability to confidently offer or continue certain types of programs for which there is market demand, thus impacting our ability to maintain or grow our business.</w:t>
      </w:r>
    </w:p>
    <w:p>
      <w:pPr>
        <w:spacing w:after="0" w:line="156" w:lineRule="exact"/>
        <w:rPr>
          <w:sz w:val="20"/>
          <w:szCs w:val="20"/>
          <w:color w:val="auto"/>
        </w:rPr>
      </w:pPr>
    </w:p>
    <w:p>
      <w:pPr>
        <w:ind w:left="1880" w:right="239"/>
        <w:spacing w:after="0" w:line="255" w:lineRule="auto"/>
        <w:rPr>
          <w:sz w:val="20"/>
          <w:szCs w:val="20"/>
          <w:color w:val="auto"/>
        </w:rPr>
      </w:pPr>
      <w:r>
        <w:rPr>
          <w:rFonts w:ascii="Arial" w:cs="Arial" w:eastAsia="Arial" w:hAnsi="Arial"/>
          <w:sz w:val="18"/>
          <w:szCs w:val="18"/>
          <w:color w:val="auto"/>
        </w:rPr>
        <w:t>In addition, there are many open questions and interpretive issues related to the gainful employment metrics, including questions as to the ability of institutions to obtain and verify the information needed to calculate the applicable metrics. Due to the unavailability of data, we cannot predict with certainty which or how many of our programs of study will satisfy the gainful employment metrics. In addition, the continuing eligibility of our programs of study under Title IV Programs are at risk under the gainful employment metrics due to factors beyond our control, such as:</w:t>
      </w:r>
    </w:p>
    <w:p>
      <w:pPr>
        <w:spacing w:after="0" w:line="153" w:lineRule="exact"/>
        <w:rPr>
          <w:sz w:val="20"/>
          <w:szCs w:val="20"/>
          <w:color w:val="auto"/>
        </w:rPr>
      </w:pPr>
    </w:p>
    <w:p>
      <w:pPr>
        <w:ind w:left="2660" w:hanging="383"/>
        <w:spacing w:after="0"/>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changes in the income level of persons employed in specific occupations or sectors;</w:t>
      </w:r>
    </w:p>
    <w:p>
      <w:pPr>
        <w:spacing w:after="0" w:line="184" w:lineRule="exact"/>
        <w:rPr>
          <w:rFonts w:ascii="Arial" w:cs="Arial" w:eastAsia="Arial" w:hAnsi="Arial"/>
          <w:sz w:val="18"/>
          <w:szCs w:val="18"/>
          <w:b w:val="1"/>
          <w:bCs w:val="1"/>
          <w:color w:val="auto"/>
        </w:rPr>
      </w:pPr>
    </w:p>
    <w:p>
      <w:pPr>
        <w:ind w:left="2660" w:right="819" w:hanging="383"/>
        <w:spacing w:after="0" w:line="277" w:lineRule="auto"/>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changes in student mix to persons requiring higher amounts of student loans to complete their programs;</w:t>
      </w:r>
    </w:p>
    <w:p>
      <w:pPr>
        <w:spacing w:after="0" w:line="143"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changes in student loan repayment rates, including the usage of deferments and forbearances;</w:t>
      </w:r>
    </w:p>
    <w:p>
      <w:pPr>
        <w:spacing w:after="0" w:line="196" w:lineRule="exact"/>
        <w:rPr>
          <w:rFonts w:ascii="Arial" w:cs="Arial" w:eastAsia="Arial" w:hAnsi="Arial"/>
          <w:sz w:val="17"/>
          <w:szCs w:val="17"/>
          <w:b w:val="1"/>
          <w:bCs w:val="1"/>
          <w:color w:val="auto"/>
        </w:rPr>
      </w:pPr>
    </w:p>
    <w:p>
      <w:pPr>
        <w:ind w:left="2660" w:hanging="383"/>
        <w:spacing w:after="0"/>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changes in student loan delinquency rates;</w:t>
      </w:r>
    </w:p>
    <w:p>
      <w:pPr>
        <w:spacing w:after="0" w:line="184" w:lineRule="exact"/>
        <w:rPr>
          <w:rFonts w:ascii="Arial" w:cs="Arial" w:eastAsia="Arial" w:hAnsi="Arial"/>
          <w:sz w:val="18"/>
          <w:szCs w:val="18"/>
          <w:b w:val="1"/>
          <w:bCs w:val="1"/>
          <w:color w:val="auto"/>
        </w:rPr>
      </w:pPr>
    </w:p>
    <w:p>
      <w:pPr>
        <w:ind w:left="2660" w:right="559" w:hanging="383"/>
        <w:spacing w:after="0" w:line="277" w:lineRule="auto"/>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changes in the nation’s economy, which may affect graduate employment, graduate earnings and, therefore, the ability of graduates to repay their student loans;</w:t>
      </w:r>
    </w:p>
    <w:p>
      <w:pPr>
        <w:spacing w:after="0" w:line="143"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personal employment decisions made by our students;</w:t>
      </w:r>
    </w:p>
    <w:p>
      <w:pPr>
        <w:spacing w:after="0" w:line="184" w:lineRule="exact"/>
        <w:rPr>
          <w:rFonts w:ascii="Arial" w:cs="Arial" w:eastAsia="Arial" w:hAnsi="Arial"/>
          <w:sz w:val="18"/>
          <w:szCs w:val="18"/>
          <w:b w:val="1"/>
          <w:bCs w:val="1"/>
          <w:color w:val="auto"/>
        </w:rPr>
      </w:pPr>
    </w:p>
    <w:p>
      <w:pPr>
        <w:ind w:left="2660" w:hanging="383"/>
        <w:spacing w:after="0"/>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increases in interest rates;</w:t>
      </w:r>
    </w:p>
    <w:p>
      <w:pPr>
        <w:spacing w:after="0" w:line="184" w:lineRule="exact"/>
        <w:rPr>
          <w:rFonts w:ascii="Arial" w:cs="Arial" w:eastAsia="Arial" w:hAnsi="Arial"/>
          <w:sz w:val="18"/>
          <w:szCs w:val="18"/>
          <w:b w:val="1"/>
          <w:bCs w:val="1"/>
          <w:color w:val="auto"/>
        </w:rPr>
      </w:pPr>
    </w:p>
    <w:p>
      <w:pPr>
        <w:ind w:left="2660" w:right="439" w:hanging="383"/>
        <w:spacing w:after="0" w:line="342" w:lineRule="auto"/>
        <w:tabs>
          <w:tab w:leader="none" w:pos="2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changes in the Department’s interpretation of any element of the gainful employment requirements that result in a more expansive or harsher enforcement than is currently presented; and</w:t>
      </w:r>
    </w:p>
    <w:p>
      <w:pPr>
        <w:spacing w:after="0" w:line="96" w:lineRule="exact"/>
        <w:rPr>
          <w:rFonts w:ascii="Arial" w:cs="Arial" w:eastAsia="Arial" w:hAnsi="Arial"/>
          <w:sz w:val="16"/>
          <w:szCs w:val="16"/>
          <w:b w:val="1"/>
          <w:bCs w:val="1"/>
          <w:color w:val="auto"/>
        </w:rPr>
      </w:pPr>
    </w:p>
    <w:p>
      <w:pPr>
        <w:ind w:left="2660" w:hanging="383"/>
        <w:spacing w:after="0"/>
        <w:tabs>
          <w:tab w:leader="none" w:pos="2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other factors.</w:t>
      </w:r>
    </w:p>
    <w:p>
      <w:pPr>
        <w:spacing w:after="0" w:line="185" w:lineRule="exact"/>
        <w:rPr>
          <w:sz w:val="20"/>
          <w:szCs w:val="20"/>
          <w:color w:val="auto"/>
        </w:rPr>
      </w:pPr>
    </w:p>
    <w:p>
      <w:pPr>
        <w:ind w:left="1880" w:right="479"/>
        <w:spacing w:after="0" w:line="277" w:lineRule="auto"/>
        <w:rPr>
          <w:sz w:val="20"/>
          <w:szCs w:val="20"/>
          <w:color w:val="auto"/>
        </w:rPr>
      </w:pPr>
      <w:r>
        <w:rPr>
          <w:rFonts w:ascii="Arial" w:cs="Arial" w:eastAsia="Arial" w:hAnsi="Arial"/>
          <w:sz w:val="18"/>
          <w:szCs w:val="18"/>
          <w:color w:val="auto"/>
        </w:rPr>
        <w:t>In addition, providing debt warnings to current and prospective students could have an adverse impact on the level of interest and enrollment in those programs of study.</w:t>
      </w:r>
    </w:p>
    <w:p>
      <w:pPr>
        <w:spacing w:after="0" w:line="130" w:lineRule="exact"/>
        <w:rPr>
          <w:sz w:val="20"/>
          <w:szCs w:val="20"/>
          <w:color w:val="auto"/>
        </w:rPr>
      </w:pPr>
    </w:p>
    <w:p>
      <w:pPr>
        <w:ind w:left="1880" w:right="179"/>
        <w:spacing w:after="0" w:line="277" w:lineRule="auto"/>
        <w:rPr>
          <w:sz w:val="20"/>
          <w:szCs w:val="20"/>
          <w:color w:val="auto"/>
        </w:rPr>
      </w:pPr>
      <w:r>
        <w:rPr>
          <w:rFonts w:ascii="Arial" w:cs="Arial" w:eastAsia="Arial" w:hAnsi="Arial"/>
          <w:sz w:val="18"/>
          <w:szCs w:val="18"/>
          <w:color w:val="auto"/>
        </w:rPr>
        <w:t xml:space="preserve">The above description of the proposed gainful employment rules is qualified in its entirety by the text of the final rules and other information found at </w:t>
      </w:r>
      <w:r>
        <w:rPr>
          <w:rFonts w:ascii="Arial" w:cs="Arial" w:eastAsia="Arial" w:hAnsi="Arial"/>
          <w:sz w:val="18"/>
          <w:szCs w:val="18"/>
          <w:u w:val="single" w:color="auto"/>
          <w:color w:val="auto"/>
        </w:rPr>
        <w:t>http://ifap.ed.gov/GainfulEmploymentInfo/index.html</w:t>
      </w:r>
      <w:r>
        <w:rPr>
          <w:rFonts w:ascii="Arial" w:cs="Arial" w:eastAsia="Arial" w:hAnsi="Arial"/>
          <w:sz w:val="18"/>
          <w:szCs w:val="18"/>
          <w:color w:val="auto"/>
        </w:rPr>
        <w:t>.</w:t>
      </w:r>
    </w:p>
    <w:p>
      <w:pPr>
        <w:sectPr>
          <w:pgSz w:w="11900" w:h="16838" w:orient="portrait"/>
          <w:cols w:equalWidth="0" w:num="1">
            <w:col w:w="10219"/>
          </w:cols>
          <w:pgMar w:left="240" w:top="419" w:right="1440" w:bottom="852"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52"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98" w:lineRule="exact"/>
        <w:rPr>
          <w:sz w:val="20"/>
          <w:szCs w:val="20"/>
          <w:color w:val="auto"/>
        </w:rPr>
      </w:pPr>
    </w:p>
    <w:p>
      <w:pPr>
        <w:ind w:left="340" w:right="1640" w:firstLine="389"/>
        <w:spacing w:after="0" w:line="271" w:lineRule="auto"/>
        <w:rPr>
          <w:sz w:val="20"/>
          <w:szCs w:val="20"/>
          <w:color w:val="auto"/>
        </w:rPr>
      </w:pPr>
      <w:r>
        <w:rPr>
          <w:rFonts w:ascii="Arial" w:cs="Arial" w:eastAsia="Arial" w:hAnsi="Arial"/>
          <w:sz w:val="17"/>
          <w:szCs w:val="17"/>
          <w:color w:val="auto"/>
        </w:rPr>
        <w:t>On August 16, 2010, our Board of Directors adopted a stock repurchase program, pursuant to which we are authorized to repurchase up to $25.0 million of shares of common stock, from time to time, depending on market conditions and other considerations. The expiration date on the repurchase authorization is September 30, 2011 and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quarter ended June 30, 2011, we purchased 612,000 shares of common stock at an aggregate cost of $8.2 million and for an average price of $13.33 per share. At June 30, 2011, there remains $1.8 million available under our current share repurchase authorization.</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second quarter of fiscal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Maximum Dollar</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Value of Shares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That May Yet Be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Total Number of</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32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6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5"/>
              </w:rPr>
              <w:t>Purchased Under</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Shares Purchased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32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the Program</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2011 — April 30, 2011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10,007,000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May 1, 2011 — May 31, 2011</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312,200</w:t>
            </w:r>
          </w:p>
        </w:tc>
        <w:tc>
          <w:tcPr>
            <w:tcW w:w="920" w:type="dxa"/>
            <w:vAlign w:val="bottom"/>
          </w:tcPr>
          <w:p>
            <w:pPr>
              <w:jc w:val="right"/>
              <w:spacing w:after="0"/>
              <w:rPr>
                <w:sz w:val="20"/>
                <w:szCs w:val="20"/>
                <w:color w:val="auto"/>
              </w:rPr>
            </w:pPr>
            <w:r>
              <w:rPr>
                <w:rFonts w:ascii="Arial" w:cs="Arial" w:eastAsia="Arial" w:hAnsi="Arial"/>
                <w:sz w:val="18"/>
                <w:szCs w:val="18"/>
                <w:color w:val="auto"/>
              </w:rPr>
              <w:t>13.29</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312,200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5,859,000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2011 — June 30, 2011</w:t>
            </w:r>
          </w:p>
        </w:tc>
        <w:tc>
          <w:tcPr>
            <w:tcW w:w="1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299,800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299,800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1,849,000</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tcPr>
          <w:p>
            <w:pPr>
              <w:spacing w:after="0"/>
              <w:rPr>
                <w:sz w:val="20"/>
                <w:szCs w:val="20"/>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auto"/>
              </w:rPr>
              <w:t>612,000</w:t>
            </w:r>
          </w:p>
        </w:tc>
        <w:tc>
          <w:tcPr>
            <w:tcW w:w="920" w:type="dxa"/>
            <w:vAlign w:val="bottom"/>
          </w:tcPr>
          <w:p>
            <w:pPr>
              <w:jc w:val="right"/>
              <w:spacing w:after="0"/>
              <w:rPr>
                <w:sz w:val="20"/>
                <w:szCs w:val="20"/>
                <w:color w:val="auto"/>
              </w:rPr>
            </w:pPr>
            <w:r>
              <w:rPr>
                <w:rFonts w:ascii="Arial" w:cs="Arial" w:eastAsia="Arial" w:hAnsi="Arial"/>
                <w:sz w:val="18"/>
                <w:szCs w:val="18"/>
                <w:color w:val="auto"/>
              </w:rPr>
              <w:t>13.33</w:t>
            </w:r>
          </w:p>
        </w:tc>
        <w:tc>
          <w:tcPr>
            <w:tcW w:w="2060" w:type="dxa"/>
            <w:vAlign w:val="bottom"/>
            <w:gridSpan w:val="3"/>
          </w:tcPr>
          <w:p>
            <w:pPr>
              <w:jc w:val="right"/>
              <w:ind w:right="180"/>
              <w:spacing w:after="0"/>
              <w:rPr>
                <w:sz w:val="20"/>
                <w:szCs w:val="20"/>
                <w:color w:val="auto"/>
              </w:rPr>
            </w:pPr>
            <w:r>
              <w:rPr>
                <w:rFonts w:ascii="Arial" w:cs="Arial" w:eastAsia="Arial" w:hAnsi="Arial"/>
                <w:sz w:val="18"/>
                <w:szCs w:val="18"/>
                <w:color w:val="auto"/>
              </w:rPr>
              <w:t>612,000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1,849,000</w:t>
            </w:r>
          </w:p>
        </w:tc>
        <w:tc>
          <w:tcPr>
            <w:tcW w:w="1360" w:type="dxa"/>
            <w:vAlign w:val="bottom"/>
          </w:tcPr>
          <w:p>
            <w:pPr>
              <w:spacing w:after="0"/>
              <w:rPr>
                <w:sz w:val="20"/>
                <w:szCs w:val="20"/>
                <w:color w:val="auto"/>
              </w:rPr>
            </w:pPr>
          </w:p>
        </w:tc>
      </w:tr>
      <w:tr>
        <w:trPr>
          <w:trHeight w:val="373"/>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w w:val="89"/>
              </w:rPr>
              <w:t>Defaults Upon Senior Securities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324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Reserved</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3240" w:type="dxa"/>
            <w:vAlign w:val="bottom"/>
            <w:gridSpan w:val="2"/>
          </w:tcPr>
          <w:p>
            <w:pPr>
              <w:ind w:left="380"/>
              <w:spacing w:after="0"/>
              <w:rPr>
                <w:sz w:val="20"/>
                <w:szCs w:val="20"/>
                <w:color w:val="auto"/>
              </w:rPr>
            </w:pPr>
            <w:r>
              <w:rPr>
                <w:rFonts w:ascii="Arial" w:cs="Arial" w:eastAsia="Arial" w:hAnsi="Arial"/>
                <w:sz w:val="18"/>
                <w:szCs w:val="18"/>
                <w:color w:val="auto"/>
              </w:rPr>
              <w:t>None.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83"/>
        </w:trPr>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41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Description</w:t>
            </w:r>
          </w:p>
        </w:tc>
        <w:tc>
          <w:tcPr>
            <w:tcW w:w="320" w:type="dxa"/>
            <w:vAlign w:val="bottom"/>
          </w:tcPr>
          <w:p>
            <w:pPr>
              <w:spacing w:after="0"/>
              <w:rPr>
                <w:sz w:val="20"/>
                <w:szCs w:val="20"/>
                <w:color w:val="auto"/>
              </w:rPr>
            </w:pPr>
          </w:p>
        </w:tc>
        <w:tc>
          <w:tcPr>
            <w:tcW w:w="40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92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w w:val="99"/>
              </w:rPr>
              <w:t>Amended and Restated Certificate of Incorporation.</w:t>
            </w:r>
          </w:p>
        </w:tc>
        <w:tc>
          <w:tcPr>
            <w:tcW w:w="32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9"/>
              </w:rPr>
              <w:t>No. 6 to the University’s Registration Statement on</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Second Amended and Restated Bylaws.</w:t>
            </w: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rPr>
              <w:t>Incorporated by reference to Exhibit 3.1 to the</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4"/>
              </w:rPr>
              <w:t>University’s Current Report on Form 8-K filed with the</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rPr>
              <w:t>SEC on August 2, 2010.</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Specimen of Stock Certificate.</w:t>
            </w: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9"/>
              </w:rPr>
              <w:t>No. 2 to the University’s Registration Statement on</w:t>
            </w:r>
          </w:p>
        </w:tc>
      </w:tr>
      <w:tr>
        <w:trPr>
          <w:trHeight w:val="230"/>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360" w:type="dxa"/>
            <w:vAlign w:val="bottom"/>
            <w:gridSpan w:val="2"/>
          </w:tcPr>
          <w:p>
            <w:pPr>
              <w:ind w:left="320"/>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Amended and Restated Investor Rights Agreement,</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88"/>
              </w:rPr>
              <w:t>dated September 17, 2008, by and among Grand Canyon</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8"/>
              </w:rPr>
              <w:t>Education, Inc. and the other parties named therein.</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440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6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6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r>
    </w:tbl>
    <w:p>
      <w:pPr>
        <w:spacing w:after="0" w:line="20" w:lineRule="exact"/>
        <w:rPr>
          <w:sz w:val="20"/>
          <w:szCs w:val="20"/>
          <w:color w:val="auto"/>
        </w:rPr>
      </w:pPr>
      <w:r>
        <w:rPr>
          <w:sz w:val="20"/>
          <w:szCs w:val="20"/>
          <w:color w:val="auto"/>
        </w:rPr>
        <w:br w:type="column"/>
      </w:r>
    </w:p>
    <w:p>
      <w:pPr>
        <w:ind w:right="199"/>
        <w:spacing w:after="0" w:line="312" w:lineRule="auto"/>
        <w:rPr>
          <w:sz w:val="20"/>
          <w:szCs w:val="20"/>
          <w:color w:val="auto"/>
        </w:rPr>
      </w:pPr>
      <w:r>
        <w:rPr>
          <w:rFonts w:ascii="Arial" w:cs="Arial" w:eastAsia="Arial" w:hAnsi="Arial"/>
          <w:sz w:val="16"/>
          <w:szCs w:val="16"/>
          <w:color w:val="auto"/>
        </w:rPr>
        <w:t>Incorporated by reference to Exhibit 4.2 to Amendment No. 2 to the University’s Registration Statement on Form S-1 filed with the SEC on September 29,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660" w:space="360"/>
            <w:col w:w="4199"/>
          </w:cols>
          <w:pgMar w:left="240" w:top="419" w:right="1440" w:bottom="1440" w:gutter="0" w:footer="0" w:header="0"/>
          <w:type w:val="continuous"/>
        </w:sectPr>
      </w:pP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6"/>
              </w:rPr>
              <w:t>Rules 13a-14(a) and 15d-14(a), as adopted pursuant to</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Section 302 of the Sarbanes-Oxley Act of 2002.</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4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w:t>
            </w:r>
          </w:p>
        </w:tc>
        <w:tc>
          <w:tcPr>
            <w:tcW w:w="1260" w:type="dxa"/>
            <w:vAlign w:val="bottom"/>
          </w:tcPr>
          <w:p>
            <w:pPr>
              <w:ind w:left="180"/>
              <w:spacing w:after="0"/>
              <w:rPr>
                <w:sz w:val="20"/>
                <w:szCs w:val="20"/>
                <w:color w:val="auto"/>
              </w:rPr>
            </w:pPr>
            <w:r>
              <w:rPr>
                <w:rFonts w:ascii="Arial" w:cs="Arial" w:eastAsia="Arial" w:hAnsi="Arial"/>
                <w:sz w:val="18"/>
                <w:szCs w:val="18"/>
                <w:color w:val="auto"/>
                <w:w w:val="90"/>
              </w:rPr>
              <w:t>Filed herewith.</w:t>
            </w:r>
          </w:p>
        </w:tc>
      </w:tr>
      <w:tr>
        <w:trPr>
          <w:trHeight w:val="216"/>
        </w:trPr>
        <w:tc>
          <w:tcPr>
            <w:tcW w:w="620" w:type="dxa"/>
            <w:vAlign w:val="bottom"/>
          </w:tcPr>
          <w:p>
            <w:pPr>
              <w:spacing w:after="0"/>
              <w:rPr>
                <w:sz w:val="18"/>
                <w:szCs w:val="18"/>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w w:val="92"/>
              </w:rPr>
              <w:t>U.S.C. Section 1350, as adopted pursuant to Section 906</w:t>
            </w:r>
          </w:p>
        </w:tc>
        <w:tc>
          <w:tcPr>
            <w:tcW w:w="12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580" w:type="dxa"/>
            <w:vAlign w:val="bottom"/>
          </w:tcPr>
          <w:p>
            <w:pPr>
              <w:ind w:left="320"/>
              <w:spacing w:after="0"/>
              <w:rPr>
                <w:sz w:val="20"/>
                <w:szCs w:val="20"/>
                <w:color w:val="auto"/>
              </w:rPr>
            </w:pPr>
            <w:r>
              <w:rPr>
                <w:rFonts w:ascii="Arial" w:cs="Arial" w:eastAsia="Arial" w:hAnsi="Arial"/>
                <w:sz w:val="18"/>
                <w:szCs w:val="18"/>
                <w:color w:val="auto"/>
              </w:rPr>
              <w:t>of the Sarbanes-Oxley Act of 2002. †</w:t>
            </w:r>
          </w:p>
        </w:tc>
        <w:tc>
          <w:tcPr>
            <w:tcW w:w="1260" w:type="dxa"/>
            <w:vAlign w:val="bottom"/>
          </w:tcPr>
          <w:p>
            <w:pPr>
              <w:spacing w:after="0"/>
              <w:rPr>
                <w:sz w:val="20"/>
                <w:szCs w:val="20"/>
                <w:color w:val="auto"/>
              </w:rPr>
            </w:pPr>
          </w:p>
        </w:tc>
      </w:tr>
    </w:tbl>
    <w:p>
      <w:pPr>
        <w:spacing w:after="0" w:line="40" w:lineRule="exact"/>
        <w:rPr>
          <w:sz w:val="20"/>
          <w:szCs w:val="20"/>
          <w:color w:val="auto"/>
        </w:rPr>
      </w:pPr>
    </w:p>
    <w:p>
      <w:pPr>
        <w:ind w:left="720" w:right="419" w:hanging="388"/>
        <w:spacing w:after="0" w:line="286"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40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720" w:type="dxa"/>
            <w:vAlign w:val="bottom"/>
            <w:gridSpan w:val="2"/>
          </w:tcPr>
          <w:p>
            <w:pPr>
              <w:ind w:left="840"/>
              <w:spacing w:after="0"/>
              <w:rPr>
                <w:sz w:val="20"/>
                <w:szCs w:val="20"/>
                <w:color w:val="auto"/>
              </w:rPr>
            </w:pPr>
            <w:r>
              <w:rPr>
                <w:rFonts w:ascii="Arial" w:cs="Arial" w:eastAsia="Arial" w:hAnsi="Arial"/>
                <w:sz w:val="18"/>
                <w:szCs w:val="18"/>
                <w:b w:val="1"/>
                <w:bCs w:val="1"/>
                <w:color w:val="auto"/>
              </w:rPr>
              <w:t>GRAND CANYON EDUCATION, INC.</w:t>
            </w:r>
          </w:p>
        </w:tc>
        <w:tc>
          <w:tcPr>
            <w:tcW w:w="2660" w:type="dxa"/>
            <w:vAlign w:val="bottom"/>
          </w:tcPr>
          <w:p>
            <w:pPr>
              <w:spacing w:after="0"/>
              <w:rPr>
                <w:sz w:val="20"/>
                <w:szCs w:val="20"/>
                <w:color w:val="auto"/>
              </w:rPr>
            </w:pPr>
          </w:p>
        </w:tc>
      </w:tr>
      <w:tr>
        <w:trPr>
          <w:trHeight w:val="432"/>
        </w:trPr>
        <w:tc>
          <w:tcPr>
            <w:tcW w:w="3040" w:type="dxa"/>
            <w:vAlign w:val="bottom"/>
          </w:tcPr>
          <w:p>
            <w:pPr>
              <w:ind w:left="340"/>
              <w:spacing w:after="0"/>
              <w:rPr>
                <w:sz w:val="20"/>
                <w:szCs w:val="20"/>
                <w:color w:val="auto"/>
              </w:rPr>
            </w:pPr>
            <w:r>
              <w:rPr>
                <w:rFonts w:ascii="Arial" w:cs="Arial" w:eastAsia="Arial" w:hAnsi="Arial"/>
                <w:sz w:val="18"/>
                <w:szCs w:val="18"/>
                <w:color w:val="auto"/>
              </w:rPr>
              <w:t>Date: November 14, 2011</w:t>
            </w:r>
          </w:p>
        </w:tc>
        <w:tc>
          <w:tcPr>
            <w:tcW w:w="5720" w:type="dxa"/>
            <w:vAlign w:val="bottom"/>
            <w:gridSpan w:val="2"/>
          </w:tcPr>
          <w:p>
            <w:pPr>
              <w:ind w:left="840"/>
              <w:spacing w:after="0"/>
              <w:rPr>
                <w:sz w:val="20"/>
                <w:szCs w:val="20"/>
                <w:color w:val="auto"/>
              </w:rPr>
            </w:pPr>
            <w:r>
              <w:rPr>
                <w:rFonts w:ascii="Arial" w:cs="Arial" w:eastAsia="Arial" w:hAnsi="Arial"/>
                <w:sz w:val="18"/>
                <w:szCs w:val="18"/>
                <w:color w:val="auto"/>
              </w:rPr>
              <w:t>By: /s/ Daniel E. Bachus</w:t>
            </w:r>
          </w:p>
        </w:tc>
        <w:tc>
          <w:tcPr>
            <w:tcW w:w="2660" w:type="dxa"/>
            <w:vAlign w:val="bottom"/>
          </w:tcPr>
          <w:p>
            <w:pPr>
              <w:spacing w:after="0"/>
              <w:rPr>
                <w:sz w:val="24"/>
                <w:szCs w:val="24"/>
                <w:color w:val="auto"/>
              </w:rPr>
            </w:pPr>
          </w:p>
        </w:tc>
      </w:tr>
      <w:tr>
        <w:trPr>
          <w:trHeight w:val="195"/>
        </w:trPr>
        <w:tc>
          <w:tcPr>
            <w:tcW w:w="3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66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66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660" w:type="dxa"/>
            <w:vAlign w:val="bottom"/>
          </w:tcPr>
          <w:p>
            <w:pPr>
              <w:spacing w:after="0"/>
              <w:rPr>
                <w:sz w:val="20"/>
                <w:szCs w:val="20"/>
                <w:color w:val="auto"/>
              </w:rPr>
            </w:pPr>
          </w:p>
        </w:tc>
      </w:tr>
      <w:tr>
        <w:trPr>
          <w:trHeight w:val="783"/>
        </w:trPr>
        <w:tc>
          <w:tcPr>
            <w:tcW w:w="3040" w:type="dxa"/>
            <w:vAlign w:val="bottom"/>
          </w:tcPr>
          <w:p>
            <w:pPr>
              <w:spacing w:after="0"/>
              <w:rPr>
                <w:sz w:val="24"/>
                <w:szCs w:val="24"/>
                <w:color w:val="auto"/>
              </w:rPr>
            </w:pPr>
          </w:p>
        </w:tc>
        <w:tc>
          <w:tcPr>
            <w:tcW w:w="5720" w:type="dxa"/>
            <w:vAlign w:val="bottom"/>
            <w:gridSpan w:val="2"/>
          </w:tcPr>
          <w:p>
            <w:pPr>
              <w:jc w:val="right"/>
              <w:ind w:right="3390"/>
              <w:spacing w:after="0"/>
              <w:rPr>
                <w:sz w:val="20"/>
                <w:szCs w:val="20"/>
                <w:color w:val="auto"/>
              </w:rPr>
            </w:pPr>
            <w:r>
              <w:rPr>
                <w:rFonts w:ascii="Arial" w:cs="Arial" w:eastAsia="Arial" w:hAnsi="Arial"/>
                <w:sz w:val="18"/>
                <w:szCs w:val="18"/>
                <w:color w:val="auto"/>
              </w:rPr>
              <w:t>34</w:t>
            </w:r>
          </w:p>
        </w:tc>
        <w:tc>
          <w:tcPr>
            <w:tcW w:w="2660" w:type="dxa"/>
            <w:vAlign w:val="bottom"/>
          </w:tcPr>
          <w:p>
            <w:pPr>
              <w:spacing w:after="0"/>
              <w:rPr>
                <w:sz w:val="24"/>
                <w:szCs w:val="24"/>
                <w:color w:val="auto"/>
              </w:rPr>
            </w:pPr>
          </w:p>
        </w:tc>
      </w:tr>
      <w:tr>
        <w:trPr>
          <w:trHeight w:val="226"/>
        </w:trPr>
        <w:tc>
          <w:tcPr>
            <w:tcW w:w="30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0219"/>
          </w:cols>
          <w:pgMar w:left="240" w:top="419" w:right="1440" w:bottom="1440" w:gutter="0" w:footer="0" w:header="0"/>
        </w:sectPr>
      </w:pP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0"/>
                <w:szCs w:val="20"/>
                <w:color w:val="auto"/>
              </w:rPr>
            </w:pPr>
          </w:p>
        </w:tc>
        <w:tc>
          <w:tcPr>
            <w:tcW w:w="41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9"/>
              </w:rPr>
              <w:t>Amended and Restated Certificate of Incorporation.</w:t>
            </w:r>
          </w:p>
        </w:tc>
      </w:tr>
      <w:tr>
        <w:trPr>
          <w:trHeight w:val="85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Second Amended and Restated Bylaws.</w:t>
            </w:r>
          </w:p>
        </w:tc>
      </w:tr>
      <w:tr>
        <w:trPr>
          <w:trHeight w:val="864"/>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Specimen of Stock Certificate.</w:t>
            </w:r>
          </w:p>
        </w:tc>
      </w:tr>
      <w:tr>
        <w:trPr>
          <w:trHeight w:val="850"/>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99"/>
              </w:rPr>
              <w:t>Amended and Restated Investor Rights Agreement,</w:t>
            </w:r>
          </w:p>
        </w:tc>
      </w:tr>
      <w:tr>
        <w:trPr>
          <w:trHeight w:val="216"/>
        </w:trPr>
        <w:tc>
          <w:tcPr>
            <w:tcW w:w="9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89"/>
              </w:rPr>
              <w:t>dated September 17, 2008, by and among Grand Canyon</w:t>
            </w:r>
          </w:p>
        </w:tc>
      </w:tr>
      <w:tr>
        <w:trPr>
          <w:trHeight w:val="230"/>
        </w:trPr>
        <w:tc>
          <w:tcPr>
            <w:tcW w:w="92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98"/>
              </w:rPr>
              <w:t>Education, Inc. and the other parties named therein.</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Executive Officer pursuant to</w:t>
            </w:r>
          </w:p>
        </w:tc>
      </w:tr>
      <w:tr>
        <w:trPr>
          <w:trHeight w:val="216"/>
        </w:trPr>
        <w:tc>
          <w:tcPr>
            <w:tcW w:w="9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92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Certification of Chief Financial Officer pursuant to</w:t>
            </w:r>
          </w:p>
        </w:tc>
      </w:tr>
      <w:tr>
        <w:trPr>
          <w:trHeight w:val="216"/>
        </w:trPr>
        <w:tc>
          <w:tcPr>
            <w:tcW w:w="9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92"/>
              </w:rPr>
              <w:t>Rules 13a-14(a) and 15d-14(a), as adopted pursuant to</w:t>
            </w:r>
          </w:p>
        </w:tc>
      </w:tr>
      <w:tr>
        <w:trPr>
          <w:trHeight w:val="230"/>
        </w:trPr>
        <w:tc>
          <w:tcPr>
            <w:tcW w:w="92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96"/>
              </w:rPr>
              <w:t>Certification of Chief Executive Officer pursuant to 18</w:t>
            </w:r>
          </w:p>
        </w:tc>
      </w:tr>
      <w:tr>
        <w:trPr>
          <w:trHeight w:val="216"/>
        </w:trPr>
        <w:tc>
          <w:tcPr>
            <w:tcW w:w="920" w:type="dxa"/>
            <w:vAlign w:val="bottom"/>
          </w:tcPr>
          <w:p>
            <w:pPr>
              <w:spacing w:after="0"/>
              <w:rPr>
                <w:sz w:val="18"/>
                <w:szCs w:val="18"/>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w w:val="89"/>
              </w:rPr>
              <w:t>U.S.C. Section 1350, as adopted pursuant to Section 906</w:t>
            </w:r>
          </w:p>
        </w:tc>
      </w:tr>
      <w:tr>
        <w:trPr>
          <w:trHeight w:val="230"/>
        </w:trPr>
        <w:tc>
          <w:tcPr>
            <w:tcW w:w="920" w:type="dxa"/>
            <w:vAlign w:val="bottom"/>
          </w:tcPr>
          <w:p>
            <w:pPr>
              <w:spacing w:after="0"/>
              <w:rPr>
                <w:sz w:val="20"/>
                <w:szCs w:val="20"/>
                <w:color w:val="auto"/>
              </w:rPr>
            </w:pPr>
          </w:p>
        </w:tc>
        <w:tc>
          <w:tcPr>
            <w:tcW w:w="4440" w:type="dxa"/>
            <w:vAlign w:val="bottom"/>
            <w:gridSpan w:val="2"/>
          </w:tcPr>
          <w:p>
            <w:pPr>
              <w:ind w:left="320"/>
              <w:spacing w:after="0"/>
              <w:rPr>
                <w:sz w:val="20"/>
                <w:szCs w:val="20"/>
                <w:color w:val="auto"/>
              </w:rPr>
            </w:pPr>
            <w:r>
              <w:rPr>
                <w:rFonts w:ascii="Arial" w:cs="Arial" w:eastAsia="Arial" w:hAnsi="Arial"/>
                <w:sz w:val="18"/>
                <w:szCs w:val="18"/>
                <w:color w:val="auto"/>
              </w:rPr>
              <w:t>of the Sarbanes-Oxley Act of 2002. †</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Method of Filing</w:t>
      </w:r>
    </w:p>
    <w:p>
      <w:pPr>
        <w:spacing w:after="0" w:line="27" w:lineRule="exact"/>
        <w:rPr>
          <w:sz w:val="20"/>
          <w:szCs w:val="20"/>
          <w:color w:val="auto"/>
        </w:rPr>
      </w:pPr>
    </w:p>
    <w:p>
      <w:pPr>
        <w:ind w:right="199"/>
        <w:spacing w:after="0" w:line="311" w:lineRule="auto"/>
        <w:rPr>
          <w:sz w:val="20"/>
          <w:szCs w:val="20"/>
          <w:color w:val="auto"/>
        </w:rPr>
      </w:pPr>
      <w:r>
        <w:rPr>
          <w:rFonts w:ascii="Arial" w:cs="Arial" w:eastAsia="Arial" w:hAnsi="Arial"/>
          <w:sz w:val="16"/>
          <w:szCs w:val="16"/>
          <w:color w:val="auto"/>
        </w:rPr>
        <w:t>Incorporated by reference to Exhibit 3.1 to Amendment No. 6 to the University’s Registration Statement on Form S-1 filed with the SEC on November 12,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-453390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28"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Incorporated by reference to Exhibit 3.1 to the University’s Current Report on Form 8-K filed with the SEC on August 2, 2010.</w:t>
      </w:r>
    </w:p>
    <w:p>
      <w:pPr>
        <w:spacing w:after="0" w:line="181" w:lineRule="exact"/>
        <w:rPr>
          <w:sz w:val="20"/>
          <w:szCs w:val="20"/>
          <w:color w:val="auto"/>
        </w:rPr>
      </w:pPr>
    </w:p>
    <w:p>
      <w:pPr>
        <w:ind w:right="199"/>
        <w:spacing w:after="0" w:line="312" w:lineRule="auto"/>
        <w:rPr>
          <w:sz w:val="20"/>
          <w:szCs w:val="20"/>
          <w:color w:val="auto"/>
        </w:rPr>
      </w:pPr>
      <w:r>
        <w:rPr>
          <w:rFonts w:ascii="Arial" w:cs="Arial" w:eastAsia="Arial" w:hAnsi="Arial"/>
          <w:sz w:val="16"/>
          <w:szCs w:val="16"/>
          <w:color w:val="auto"/>
        </w:rPr>
        <w:t>Incorporated by reference to Exhibit 4.1 to Amendment No. 2 to the University’s Registration Statement on Form S-1 filed with the SEC on September 29, 2008.</w:t>
      </w:r>
    </w:p>
    <w:p>
      <w:pPr>
        <w:spacing w:after="0" w:line="147" w:lineRule="exact"/>
        <w:rPr>
          <w:sz w:val="20"/>
          <w:szCs w:val="20"/>
          <w:color w:val="auto"/>
        </w:rPr>
      </w:pPr>
    </w:p>
    <w:p>
      <w:pPr>
        <w:ind w:right="199"/>
        <w:spacing w:after="0" w:line="312" w:lineRule="auto"/>
        <w:rPr>
          <w:sz w:val="20"/>
          <w:szCs w:val="20"/>
          <w:color w:val="auto"/>
        </w:rPr>
      </w:pPr>
      <w:r>
        <w:rPr>
          <w:rFonts w:ascii="Arial" w:cs="Arial" w:eastAsia="Arial" w:hAnsi="Arial"/>
          <w:sz w:val="16"/>
          <w:szCs w:val="16"/>
          <w:color w:val="auto"/>
        </w:rPr>
        <w:t>Incorporated by reference to Exhibit 4.2 to Amendment No. 2 to the University’s Registration Statement on Form S-1 filed with the SEC on September 29,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5700" w:space="320"/>
            <w:col w:w="4199"/>
          </w:cols>
          <w:pgMar w:left="240" w:top="419" w:right="1440" w:bottom="1440" w:gutter="0" w:footer="0" w:header="0"/>
          <w:type w:val="continuous"/>
        </w:sectPr>
      </w:pPr>
    </w:p>
    <w:p>
      <w:pPr>
        <w:spacing w:after="0" w:line="2" w:lineRule="exact"/>
        <w:rPr>
          <w:sz w:val="20"/>
          <w:szCs w:val="20"/>
          <w:color w:val="auto"/>
        </w:rPr>
      </w:pPr>
    </w:p>
    <w:p>
      <w:pPr>
        <w:ind w:left="640"/>
        <w:spacing w:after="0"/>
        <w:tabs>
          <w:tab w:leader="none" w:pos="1560" w:val="left"/>
          <w:tab w:leader="none" w:pos="60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18</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U.S.C. Section 1350, as adopted pursuant to Section 906</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of the Sarbanes-Oxley Act of 2002. †</w:t>
      </w:r>
    </w:p>
    <w:p>
      <w:pPr>
        <w:spacing w:after="0" w:line="49" w:lineRule="exact"/>
        <w:rPr>
          <w:sz w:val="20"/>
          <w:szCs w:val="20"/>
          <w:color w:val="auto"/>
        </w:rPr>
      </w:pPr>
    </w:p>
    <w:p>
      <w:pPr>
        <w:ind w:left="720" w:right="419" w:hanging="388"/>
        <w:spacing w:after="0" w:line="286"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19" w:right="1440" w:bottom="1440" w:gutter="0" w:footer="0" w:header="0"/>
          <w:type w:val="continuous"/>
        </w:sectPr>
      </w:pPr>
    </w:p>
    <w:bookmarkStart w:id="39" w:name="page40"/>
    <w:bookmarkEnd w:id="39"/>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560" w:hanging="179"/>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June 30,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Date: November 14,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560" w:hanging="179"/>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ending June 30, 2011 of Grand Canyon Education, Inc.;</w:t>
      </w:r>
    </w:p>
    <w:p>
      <w:pPr>
        <w:spacing w:after="0" w:line="207" w:lineRule="exact"/>
        <w:rPr>
          <w:rFonts w:ascii="Arial" w:cs="Arial" w:eastAsia="Arial" w:hAnsi="Arial"/>
          <w:sz w:val="16"/>
          <w:szCs w:val="16"/>
          <w:color w:val="auto"/>
        </w:rPr>
      </w:pPr>
    </w:p>
    <w:p>
      <w:pPr>
        <w:jc w:val="both"/>
        <w:ind w:right="459" w:firstLine="381"/>
        <w:spacing w:after="0" w:line="264" w:lineRule="auto"/>
        <w:tabs>
          <w:tab w:leader="none" w:pos="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339" w:firstLine="381"/>
        <w:spacing w:after="0" w:line="264" w:lineRule="auto"/>
        <w:tabs>
          <w:tab w:leader="none" w:pos="5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5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right="479" w:firstLine="770"/>
        <w:spacing w:after="0" w:line="312" w:lineRule="auto"/>
        <w:tabs>
          <w:tab w:leader="none" w:pos="96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299" w:firstLine="770"/>
        <w:spacing w:after="0" w:line="286" w:lineRule="auto"/>
        <w:tabs>
          <w:tab w:leader="none" w:pos="97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299" w:firstLine="770"/>
        <w:spacing w:after="0" w:line="264" w:lineRule="auto"/>
        <w:tabs>
          <w:tab w:leader="none" w:pos="9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770"/>
        <w:spacing w:after="0" w:line="286" w:lineRule="auto"/>
        <w:tabs>
          <w:tab w:leader="none" w:pos="97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right="219" w:firstLine="381"/>
        <w:spacing w:after="0" w:line="264" w:lineRule="auto"/>
        <w:tabs>
          <w:tab w:leader="none" w:pos="56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right="179" w:firstLine="770"/>
        <w:spacing w:after="0" w:line="264" w:lineRule="auto"/>
        <w:tabs>
          <w:tab w:leader="none" w:pos="9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59" w:firstLine="770"/>
        <w:spacing w:after="0" w:line="277" w:lineRule="auto"/>
        <w:tabs>
          <w:tab w:leader="none" w:pos="9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14, 2011</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7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7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19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June 30, 2011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470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21" w:right="1440" w:bottom="1440" w:gutter="0" w:footer="0" w:header="0"/>
        </w:sectPr>
      </w:pPr>
    </w:p>
    <w:bookmarkStart w:id="42" w:name="page43"/>
    <w:bookmarkEnd w:id="42"/>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 PURSUANT TO18 U.S.C. SECTION 1350,</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left="8" w:right="259" w:firstLine="389"/>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“University”) for the quarter ended June 30, 2011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146" w:lineRule="exact"/>
        <w:rPr>
          <w:sz w:val="20"/>
          <w:szCs w:val="20"/>
          <w:color w:val="auto"/>
        </w:rPr>
      </w:pPr>
    </w:p>
    <w:p>
      <w:pPr>
        <w:ind w:left="388" w:right="299" w:hanging="388"/>
        <w:spacing w:after="0" w:line="277"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388" w:right="299" w:hanging="388"/>
        <w:spacing w:after="0" w:line="277"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University.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November 14, 2011</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87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2019-12-11T06:37:45Z</dcterms:created>
  <dcterms:modified xsi:type="dcterms:W3CDTF">2019-12-11T06:37:45Z</dcterms:modified>
</cp:coreProperties>
</file>