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80"/>
        <w:spacing w:after="0"/>
        <w:tabs>
          <w:tab w:leader="none" w:pos="6700" w:val="left"/>
          <w:tab w:leader="none" w:pos="79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2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700" w:type="dxa"/>
        <w:tblCellMar>
          <w:top w:w="0" w:type="dxa"/>
          <w:left w:w="0" w:type="dxa"/>
          <w:bottom w:w="0" w:type="dxa"/>
          <w:right w:w="0" w:type="dxa"/>
        </w:tblCellMar>
      </w:tblPr>
      <w:tr>
        <w:trPr>
          <w:trHeight w:val="185"/>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Grand</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(Title of Each Class)</w:t>
            </w:r>
          </w:p>
        </w:tc>
        <w:tc>
          <w:tcPr>
            <w:tcW w:w="3680" w:type="dxa"/>
            <w:vAlign w:val="bottom"/>
          </w:tcPr>
          <w:p>
            <w:pPr>
              <w:spacing w:after="0"/>
              <w:rPr>
                <w:sz w:val="16"/>
                <w:szCs w:val="16"/>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49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Canyon Education, Inc.</w:t>
            </w:r>
          </w:p>
        </w:tc>
        <w:tc>
          <w:tcPr>
            <w:tcW w:w="29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6"/>
              </w:rPr>
              <w:t>The NASDAQ Global Market</w:t>
            </w:r>
          </w:p>
        </w:tc>
        <w:tc>
          <w:tcPr>
            <w:tcW w:w="0" w:type="dxa"/>
            <w:vAlign w:val="bottom"/>
          </w:tcPr>
          <w:p>
            <w:pPr>
              <w:spacing w:after="0"/>
              <w:rPr>
                <w:sz w:val="1"/>
                <w:szCs w:val="1"/>
                <w:color w:val="auto"/>
              </w:rPr>
            </w:pPr>
          </w:p>
        </w:tc>
      </w:tr>
      <w:tr>
        <w:trPr>
          <w:trHeight w:val="234"/>
        </w:trPr>
        <w:tc>
          <w:tcPr>
            <w:tcW w:w="55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 stock, $.01 par value</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9" w:lineRule="exact"/>
        <w:rPr>
          <w:sz w:val="20"/>
          <w:szCs w:val="20"/>
          <w:color w:val="auto"/>
        </w:rPr>
      </w:pPr>
    </w:p>
    <w:p>
      <w:pPr>
        <w:sectPr>
          <w:pgSz w:w="11900" w:h="16838" w:orient="portrait"/>
          <w:cols w:equalWidth="0" w:num="5">
            <w:col w:w="8920" w:space="160"/>
            <w:col w:w="280" w:space="80"/>
            <w:col w:w="160" w:space="180"/>
            <w:col w:w="220" w:space="100"/>
            <w:col w:w="1320"/>
          </w:cols>
          <w:pgMar w:left="240" w:top="91" w:right="239" w:bottom="1440" w:gutter="0" w:footer="0" w:header="0"/>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060" w:space="180"/>
            <w:col w:w="260" w:space="100"/>
            <w:col w:w="160" w:space="180"/>
            <w:col w:w="220" w:space="80"/>
            <w:col w:w="1180"/>
          </w:cols>
          <w:pgMar w:left="240" w:top="91" w:right="239" w:bottom="1440" w:gutter="0" w:footer="0" w:header="0"/>
          <w:type w:val="continuous"/>
        </w:sectPr>
      </w:pPr>
    </w:p>
    <w:p>
      <w:pPr>
        <w:spacing w:after="0" w:line="37" w:lineRule="exact"/>
        <w:rPr>
          <w:sz w:val="20"/>
          <w:szCs w:val="20"/>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91"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91"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400" w:space="160"/>
            <w:col w:w="280" w:space="80"/>
            <w:col w:w="160" w:space="180"/>
            <w:col w:w="220" w:space="100"/>
            <w:col w:w="840"/>
          </w:cols>
          <w:pgMar w:left="240" w:top="9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February 13, 2014 was 46,049,380.</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June 28, 2013, the last business day of the registrant’s most recently completed second fiscal quarter, the registrant’s common stock was listed on the NASDAQ Global Market. As of June 28, 2013, the aggregate market value of the registrant’s common stock held by non-affiliates was approximately $1.5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Certain portions of the registrant’s Definitive Proxy Statement for its 2014 Annual Meeting of Stockholders (which is expected to be filed with the Commission within 120 days after the end of the registrant’s 2013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11"/>
          </w:tcPr>
          <w:p>
            <w:pPr>
              <w:jc w:val="center"/>
              <w:ind w:right="3500"/>
              <w:spacing w:after="0"/>
              <w:rPr>
                <w:sz w:val="20"/>
                <w:szCs w:val="20"/>
                <w:color w:val="auto"/>
              </w:rPr>
            </w:pPr>
            <w:r>
              <w:rPr>
                <w:rFonts w:ascii="Arial" w:cs="Arial" w:eastAsia="Arial" w:hAnsi="Arial"/>
                <w:sz w:val="18"/>
                <w:szCs w:val="18"/>
                <w:color w:val="auto"/>
                <w:w w:val="98"/>
              </w:rPr>
              <w:t>GRAND CANYON EDUCATION,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7"/>
          </w:tcPr>
          <w:p>
            <w:pPr>
              <w:jc w:val="center"/>
              <w:ind w:right="4820"/>
              <w:spacing w:after="0"/>
              <w:rPr>
                <w:sz w:val="20"/>
                <w:szCs w:val="20"/>
                <w:color w:val="auto"/>
              </w:rPr>
            </w:pPr>
            <w:r>
              <w:rPr>
                <w:rFonts w:ascii="Arial" w:cs="Arial" w:eastAsia="Arial" w:hAnsi="Arial"/>
                <w:sz w:val="18"/>
                <w:szCs w:val="18"/>
                <w:color w:val="auto"/>
                <w:w w:val="95"/>
              </w:rPr>
              <w:t>FORM 10-K</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6"/>
          </w:tcPr>
          <w:p>
            <w:pPr>
              <w:jc w:val="center"/>
              <w:ind w:right="5000"/>
              <w:spacing w:after="0"/>
              <w:rPr>
                <w:sz w:val="20"/>
                <w:szCs w:val="20"/>
                <w:color w:val="auto"/>
              </w:rPr>
            </w:pPr>
            <w:r>
              <w:rPr>
                <w:rFonts w:ascii="Arial" w:cs="Arial" w:eastAsia="Arial" w:hAnsi="Arial"/>
                <w:sz w:val="18"/>
                <w:szCs w:val="18"/>
                <w:color w:val="auto"/>
              </w:rPr>
              <w:t>INDEX</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0420" w:type="dxa"/>
            <w:vAlign w:val="bottom"/>
            <w:gridSpan w:val="26"/>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10420" w:type="dxa"/>
            <w:vAlign w:val="bottom"/>
            <w:gridSpan w:val="26"/>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9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Special Note Regarding Forward-Looking Statements</w:t>
              </w:r>
            </w:hyperlink>
          </w:p>
        </w:tc>
        <w:tc>
          <w:tcPr>
            <w:tcW w:w="71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906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1B. 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79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3. Legal Proceedings</w:t>
              </w:r>
            </w:hyperlink>
          </w:p>
        </w:tc>
        <w:tc>
          <w:tcPr>
            <w:tcW w:w="876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Item 4. Mine Safety Disclosures</w:t>
              </w:r>
            </w:hyperlink>
          </w:p>
        </w:tc>
        <w:tc>
          <w:tcPr>
            <w:tcW w:w="83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5. 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680" w:type="dxa"/>
            <w:vAlign w:val="bottom"/>
            <w:tcBorders>
              <w:top w:val="single" w:sz="8" w:color="0000EE"/>
            </w:tcBorders>
            <w:gridSpan w:val="2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6. Selected Consolidated Financial and Other Data</w:t>
              </w:r>
            </w:hyperlink>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7.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8. Consolidated 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70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Item 9. 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Item 9A. Controls and Procedures</w:t>
              </w:r>
            </w:hyperlink>
          </w:p>
        </w:tc>
        <w:tc>
          <w:tcPr>
            <w:tcW w:w="81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Item 9B. Other Information</w:t>
              </w:r>
            </w:hyperlink>
          </w:p>
        </w:tc>
        <w:tc>
          <w:tcPr>
            <w:tcW w:w="866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10280" w:type="dxa"/>
            <w:vAlign w:val="bottom"/>
            <w:gridSpan w:val="23"/>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10. 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24"/>
                <w:szCs w:val="24"/>
                <w:color w:val="auto"/>
              </w:rPr>
            </w:pPr>
          </w:p>
        </w:tc>
        <w:tc>
          <w:tcPr>
            <w:tcW w:w="59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12. 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7940" w:type="dxa"/>
            <w:vAlign w:val="bottom"/>
            <w:tcBorders>
              <w:top w:val="single" w:sz="8" w:color="0000EE"/>
            </w:tcBorders>
            <w:gridSpan w:val="2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13. Certain Relationships and Related Transactions, and Director Independence</w:t>
              </w:r>
            </w:hyperlink>
          </w:p>
        </w:tc>
        <w:tc>
          <w:tcPr>
            <w:tcW w:w="27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100" w:type="dxa"/>
            <w:vAlign w:val="bottom"/>
            <w:tcBorders>
              <w:top w:val="single" w:sz="8" w:color="0000EE"/>
            </w:tcBorders>
            <w:gridSpan w:val="2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14. Principal Accounting Fees and Services</w:t>
              </w:r>
            </w:hyperlink>
          </w:p>
        </w:tc>
        <w:tc>
          <w:tcPr>
            <w:tcW w:w="4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15. Exhibits and Consolidated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060" w:type="dxa"/>
            <w:vAlign w:val="bottom"/>
            <w:gridSpan w:val="14"/>
            <w:shd w:val="clear" w:color="auto" w:fill="0000EE"/>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8"/>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45"/>
        </w:trPr>
        <w:tc>
          <w:tcPr>
            <w:tcW w:w="11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Exhibit Index</w:t>
            </w:r>
          </w:p>
        </w:tc>
        <w:tc>
          <w:tcPr>
            <w:tcW w:w="9920" w:type="dxa"/>
            <w:vAlign w:val="bottom"/>
            <w:gridSpan w:val="22"/>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60" w:type="dxa"/>
            <w:vAlign w:val="bottom"/>
            <w:gridSpan w:val="23"/>
          </w:tcPr>
          <w:p>
            <w:pPr>
              <w:jc w:val="center"/>
              <w:ind w:left="4870"/>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This Annual Report on Form 10-K, including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contains certain “forward-looking statements,” which include information relating to future events,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hanging="446"/>
        <w:spacing w:after="0" w:line="34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80" w:right="54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76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28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133 acre traditional campus in Phoenix, Arizona, and onsite at facilities we lease and at facilities owned by third party employers. We are committed to providing an academically rigorous educational experience with a focus on professionally relevant programs that meet the objectives of our students. We utilize an integrated, innovative approach to marketing, recruiting, and retaining both traditional aged students attending on our campus in Phoenix, Arizona and working adult students attending on our campus or at off-site locations in cohorts (referred to by us as professional studies students) or online, which has enabled us to increase enrollment to approximately 59,700 students at December 31, 2013. At December 31, 2013, 83.1% of our students were enrolled in our online programs, and, of our working adult students (online and professional studies students), 43.5% were pursuing masters or doctoral degrees.</w:t>
      </w:r>
    </w:p>
    <w:p>
      <w:pPr>
        <w:spacing w:after="0" w:line="166"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2013, approximately 87.8%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finance their education, more readily recognize the benefits of a postsecondary degree, and have higher persistence and completion rates than students generally.</w:t>
      </w:r>
    </w:p>
    <w:p>
      <w:pPr>
        <w:spacing w:after="0" w:line="15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2013, we continued to increase the number of students in attendance at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to those of a state funded university. We plan to increase enrollment growth for our traditional campus over the next few years, and seek to have 15,000 traditional ground students in attendance at the beginning of our 2016-2017 academic year. 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experienced significant growth in enrollment, net revenue, and operating income over the last several years. Our enrollment at December 31, 2013 was approximately 59,700, representing an increase of approximately 14.1% over our enrollment at December 31, 2012. Our net revenue and operating income for the year ended December 31, 2013 were $598.3 million and $143.3 million, respectively, representing increases of 17.0% and 25.6%, respectively, over the year ended December 31, 2012. Our net revenue and operating income for the year ended December 31, 2012 were $511.3 million and $114.1 million, respectively, representing increases of 19.8% and 38.8%, respectively, over the year ended December 31, 2011. We seek to achieve continued growth in a manner that reinforces our reputation for providing academically rigorous, professionally relevant educational programs that advance the educations and careers of our students.</w:t>
      </w:r>
    </w:p>
    <w:p>
      <w:pPr>
        <w:spacing w:after="0" w:line="189"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have been regionally accredited by the Higher Learning Commission of the North Central Association of Colleges and Schools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the Arizona Department of Education for Institutional Recommendation Programs and the Arizona Board of Nursing. In addition, we have specialized accreditations for certain programs from the Accreditation Council for Business Schools and Programs, the Commission on Collegiate Nursing Education, and the Commission on Accreditation of Athletic Training Education. In addition, we are a candidate for accreditation by the National Council for Accreditation of Teacher Education (NCATE).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an interdenominational Christian university.</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a group of investors acquired the assets of the school and converted the school into a for-profit institution.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31" w:lineRule="exact"/>
        <w:rPr>
          <w:sz w:val="20"/>
          <w:szCs w:val="20"/>
          <w:color w:val="auto"/>
        </w:rPr>
      </w:pPr>
    </w:p>
    <w:p>
      <w:pPr>
        <w:ind w:left="1480" w:right="20" w:hanging="446"/>
        <w:spacing w:after="0" w:line="255"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Academically rigorous, professionally relevant curricula. </w:t>
      </w:r>
      <w:r>
        <w:rPr>
          <w:rFonts w:ascii="Arial" w:cs="Arial" w:eastAsia="Arial" w:hAnsi="Arial"/>
          <w:sz w:val="18"/>
          <w:szCs w:val="18"/>
          <w:color w:val="auto"/>
        </w:rPr>
        <w:t>We create academically rigorous curricula that are designed to enable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to gain the foundational knowledge, professional competencies, and demonstrable skills required to be successful in their chosen fields. Our curriculum is designed and delivered by faculty and industry-specific subject-matter experts that are committed to high quality, rigorous education and professional preparedness. We design our curricula to address specific objectives that pre-career and working-adult students need and are seeking. Through this combination, we believe that we produce graduates that can compete with integrity and become leaders in their chosen fields.</w:t>
      </w:r>
    </w:p>
    <w:p>
      <w:pPr>
        <w:spacing w:after="0" w:line="98" w:lineRule="exact"/>
        <w:rPr>
          <w:rFonts w:ascii="Arial" w:cs="Arial" w:eastAsia="Arial" w:hAnsi="Arial"/>
          <w:sz w:val="18"/>
          <w:szCs w:val="18"/>
          <w:color w:val="auto"/>
        </w:rPr>
      </w:pPr>
    </w:p>
    <w:p>
      <w:pPr>
        <w:ind w:left="1480" w:right="200" w:hanging="446"/>
        <w:spacing w:after="0" w:line="293"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qualified faculty with relevant practical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Substantially all of our current faculty members hold at least a master’s degree in their respective fields and approximately 36% of our faculty members are doctorate prepared. Faculty members are able to integrate pertinent and useful experiences from their professional careers into the courses they teach. We invest in the professional development of our faculty members by providing online and ground pedagogical training along with hosting events that encourage the development and sharing of best practices. Additionally, we also monitor and evaluate teaching effectiveness through assessment, peer reviews, and student evaluations.</w:t>
      </w:r>
    </w:p>
    <w:p>
      <w:pPr>
        <w:spacing w:after="0" w:line="70" w:lineRule="exact"/>
        <w:rPr>
          <w:rFonts w:ascii="Arial" w:cs="Arial" w:eastAsia="Arial" w:hAnsi="Arial"/>
          <w:sz w:val="16"/>
          <w:szCs w:val="16"/>
          <w:color w:val="auto"/>
        </w:rPr>
      </w:pPr>
    </w:p>
    <w:p>
      <w:pPr>
        <w:ind w:left="1480" w:right="20" w:hanging="446"/>
        <w:spacing w:after="0" w:line="25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program design and curriculum development. </w:t>
      </w:r>
      <w:r>
        <w:rPr>
          <w:rFonts w:ascii="Arial" w:cs="Arial" w:eastAsia="Arial" w:hAnsi="Arial"/>
          <w:sz w:val="18"/>
          <w:szCs w:val="18"/>
          <w:color w:val="auto"/>
        </w:rPr>
        <w:t>We employ a college driven highly collaboratively designed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 to ensure a consistent learning experience. We thereafter continuously review our programs in an effort to ensure that they remain consistent, up-to-date, relevant, and effective in producing the desired learning outcomes. We also regularly review programmatic assessment results, mission based competency results, graduation rates, retention rates and constituency surveys to identify opportunities for course modifications and upgrades.</w:t>
      </w:r>
    </w:p>
    <w:p>
      <w:pPr>
        <w:spacing w:after="0" w:line="93" w:lineRule="exact"/>
        <w:rPr>
          <w:rFonts w:ascii="Arial" w:cs="Arial" w:eastAsia="Arial" w:hAnsi="Arial"/>
          <w:sz w:val="18"/>
          <w:szCs w:val="18"/>
          <w:color w:val="auto"/>
        </w:rPr>
      </w:pPr>
    </w:p>
    <w:p>
      <w:pPr>
        <w:ind w:left="1480" w:right="100" w:hanging="446"/>
        <w:spacing w:after="0" w:line="255"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Effective student services. </w:t>
      </w:r>
      <w:r>
        <w:rPr>
          <w:rFonts w:ascii="Arial" w:cs="Arial" w:eastAsia="Arial" w:hAnsi="Arial"/>
          <w:sz w:val="18"/>
          <w:szCs w:val="18"/>
          <w:color w:val="auto"/>
        </w:rPr>
        <w:t>We establish teams comprised of admissions and student services advisor personnel that act as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contact point for each of our students, beginning at the application stage and continuing through graduation. We also continually focus on improving the technology used to support student learning, including delivering a new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convenient to them.</w:t>
      </w:r>
    </w:p>
    <w:p>
      <w:pPr>
        <w:spacing w:after="0" w:line="98" w:lineRule="exact"/>
        <w:rPr>
          <w:rFonts w:ascii="Arial" w:cs="Arial" w:eastAsia="Arial" w:hAnsi="Arial"/>
          <w:sz w:val="18"/>
          <w:szCs w:val="18"/>
          <w:color w:val="auto"/>
        </w:rPr>
      </w:pPr>
    </w:p>
    <w:p>
      <w:pPr>
        <w:ind w:left="1480" w:right="20" w:hanging="446"/>
        <w:spacing w:after="0" w:line="254"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Continual academic oversight. </w:t>
      </w:r>
      <w:r>
        <w:rPr>
          <w:rFonts w:ascii="Arial" w:cs="Arial" w:eastAsia="Arial" w:hAnsi="Arial"/>
          <w:sz w:val="18"/>
          <w:szCs w:val="18"/>
          <w:color w:val="auto"/>
        </w:rPr>
        <w:t>We have centralized the support functions of assessment for all of our programs through our Office of</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While the Colleges continuously evaluate the desired learning outcomes for each of our programs, the Office of Assessment provides data collection and analysis support. We continuously assess outcomes data to determine whether our students graduate with the knowledge, competencies, and skills that are necessary to succeed in the workplace. The Office of Assessment also initiates and manages periodic examinations of the mission-based competencies in our curricula by full-time and adjunct reviewers to evaluate and verify mission-based competency attainment. Based on these processes and student feedback from both programmatic and mission-based assessment, we determine whether to modify or discontinue programs that do not meet our standards or market needs, or to create new programs.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131" w:lineRule="exact"/>
        <w:rPr>
          <w:sz w:val="20"/>
          <w:szCs w:val="20"/>
          <w:color w:val="auto"/>
        </w:rPr>
      </w:pPr>
    </w:p>
    <w:p>
      <w:pPr>
        <w:ind w:left="1480" w:hanging="446"/>
        <w:spacing w:after="0" w:line="255"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Flexibility in program delivery. </w:t>
      </w:r>
      <w:r>
        <w:rPr>
          <w:rFonts w:ascii="Arial" w:cs="Arial" w:eastAsia="Arial" w:hAnsi="Arial"/>
          <w:sz w:val="18"/>
          <w:szCs w:val="18"/>
          <w:color w:val="auto"/>
        </w:rPr>
        <w:t>We seek to meet market demands by providing students with the flexibility to take courses exclusively</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97"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Small class size. </w:t>
      </w:r>
      <w:r>
        <w:rPr>
          <w:rFonts w:ascii="Arial" w:cs="Arial" w:eastAsia="Arial" w:hAnsi="Arial"/>
          <w:sz w:val="16"/>
          <w:szCs w:val="16"/>
          <w:color w:val="auto"/>
        </w:rPr>
        <w:t>At December 31, 2013, 96.7% of our online and professional studies classes had 25 or fewer students. Our average class</w:t>
      </w:r>
      <w:r>
        <w:rPr>
          <w:rFonts w:ascii="Arial" w:cs="Arial" w:eastAsia="Arial" w:hAnsi="Arial"/>
          <w:sz w:val="16"/>
          <w:szCs w:val="16"/>
          <w:i w:val="1"/>
          <w:iCs w:val="1"/>
          <w:color w:val="auto"/>
        </w:rPr>
        <w:t xml:space="preserve"> </w:t>
      </w:r>
      <w:r>
        <w:rPr>
          <w:rFonts w:ascii="Arial" w:cs="Arial" w:eastAsia="Arial" w:hAnsi="Arial"/>
          <w:sz w:val="16"/>
          <w:szCs w:val="16"/>
          <w:color w:val="auto"/>
        </w:rPr>
        <w:t>size on our ground traditional campus is 27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 and Program Approvals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believe that the quality of our academic programs is evidenced by our college- and program-specific accreditations and approvals. Grand Canyon University has been continuously accredited by the Higher Learning Commission and its predecessor since 1968, most recently obtaining reaccreditation in 2007 for the ten-year period through 2017. We are licensed in Arizona by the Arizona State Board for Private Postsecondary Education. In addition, we have obtained the following specialized accreditations and approvals for our core program offerings: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32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2"/>
              </w:rPr>
              <w:t>Specialized Accreditations and Program</w:t>
            </w:r>
          </w:p>
        </w:tc>
        <w:tc>
          <w:tcPr>
            <w:tcW w:w="2100" w:type="dxa"/>
            <w:vAlign w:val="bottom"/>
          </w:tcPr>
          <w:p>
            <w:pPr>
              <w:spacing w:after="0"/>
              <w:rPr>
                <w:sz w:val="14"/>
                <w:szCs w:val="14"/>
                <w:color w:val="auto"/>
              </w:rPr>
            </w:pPr>
          </w:p>
        </w:tc>
      </w:tr>
      <w:tr>
        <w:trPr>
          <w:trHeight w:val="185"/>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College</w:t>
            </w: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60" w:type="dxa"/>
            <w:vAlign w:val="bottom"/>
            <w:gridSpan w:val="2"/>
          </w:tcPr>
          <w:p>
            <w:pPr>
              <w:jc w:val="center"/>
              <w:ind w:right="2380"/>
              <w:spacing w:after="0"/>
              <w:rPr>
                <w:sz w:val="20"/>
                <w:szCs w:val="20"/>
                <w:color w:val="auto"/>
              </w:rPr>
            </w:pPr>
            <w:r>
              <w:rPr>
                <w:rFonts w:ascii="Arial" w:cs="Arial" w:eastAsia="Arial" w:hAnsi="Arial"/>
                <w:sz w:val="14"/>
                <w:szCs w:val="14"/>
                <w:b w:val="1"/>
                <w:bCs w:val="1"/>
                <w:color w:val="auto"/>
                <w:w w:val="93"/>
              </w:rPr>
              <w:t>Approvals</w:t>
            </w:r>
          </w:p>
        </w:tc>
        <w:tc>
          <w:tcPr>
            <w:tcW w:w="2100" w:type="dxa"/>
            <w:vAlign w:val="bottom"/>
          </w:tcPr>
          <w:p>
            <w:pPr>
              <w:ind w:left="580"/>
              <w:spacing w:after="0"/>
              <w:rPr>
                <w:sz w:val="20"/>
                <w:szCs w:val="20"/>
                <w:color w:val="auto"/>
              </w:rPr>
            </w:pPr>
            <w:r>
              <w:rPr>
                <w:rFonts w:ascii="Arial" w:cs="Arial" w:eastAsia="Arial" w:hAnsi="Arial"/>
                <w:sz w:val="14"/>
                <w:szCs w:val="14"/>
                <w:b w:val="1"/>
                <w:bCs w:val="1"/>
                <w:color w:val="auto"/>
              </w:rPr>
              <w:t>Current Period</w:t>
            </w:r>
          </w:p>
        </w:tc>
      </w:tr>
      <w:tr>
        <w:trPr>
          <w:trHeight w:val="195"/>
        </w:trPr>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w w:val="72"/>
              </w:rPr>
              <w:t>College</w:t>
            </w:r>
          </w:p>
        </w:tc>
        <w:tc>
          <w:tcPr>
            <w:tcW w:w="3520" w:type="dxa"/>
            <w:vAlign w:val="bottom"/>
          </w:tcPr>
          <w:p>
            <w:pPr>
              <w:ind w:left="160"/>
              <w:spacing w:after="0" w:line="195" w:lineRule="exact"/>
              <w:rPr>
                <w:sz w:val="20"/>
                <w:szCs w:val="20"/>
                <w:color w:val="auto"/>
              </w:rPr>
            </w:pPr>
            <w:r>
              <w:rPr>
                <w:rFonts w:ascii="Arial" w:cs="Arial" w:eastAsia="Arial" w:hAnsi="Arial"/>
                <w:sz w:val="18"/>
                <w:szCs w:val="18"/>
                <w:i w:val="1"/>
                <w:iCs w:val="1"/>
                <w:color w:val="auto"/>
              </w:rPr>
              <w:t>of Nursing and Health Care Professions</w:t>
            </w: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4880" w:type="dxa"/>
            <w:vAlign w:val="bottom"/>
            <w:tcBorders>
              <w:top w:val="single" w:sz="8" w:color="auto"/>
            </w:tcBorders>
            <w:gridSpan w:val="4"/>
          </w:tcPr>
          <w:p>
            <w:pPr>
              <w:ind w:left="20"/>
              <w:spacing w:after="0" w:line="195" w:lineRule="exact"/>
              <w:rPr>
                <w:sz w:val="20"/>
                <w:szCs w:val="20"/>
                <w:color w:val="auto"/>
              </w:rPr>
            </w:pPr>
            <w:r>
              <w:rPr>
                <w:rFonts w:ascii="Arial" w:cs="Arial" w:eastAsia="Arial" w:hAnsi="Arial"/>
                <w:sz w:val="18"/>
                <w:szCs w:val="18"/>
                <w:color w:val="auto"/>
                <w:w w:val="95"/>
              </w:rPr>
              <w:t>The Commission on Collegiate Nursing Education accredits our</w:t>
            </w:r>
          </w:p>
        </w:tc>
        <w:tc>
          <w:tcPr>
            <w:tcW w:w="10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2006 – 2016 (B.S.)</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6"/>
              </w:rPr>
              <w:t>Bachelor of Science in Nursing and Master of Science in Nursing</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2011 – 2021 (M.S.)</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degree programs.</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rPr>
              <w:t>The Arizona State Board of Nursing approves our Bachelor of</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2006 – 2016 (B.S.)</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Science in Nursing and Master of Science in Nursing degree</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2011 – 2021 (M.S.)</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programs.</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7"/>
              </w:rPr>
              <w:t>The Commission on Accreditation of Athletic Training Education</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2008 – 2018</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accredits our Athletic Training Program.</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College of Education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9"/>
              </w:rPr>
              <w:t>The Arizona State Board of Education approves our College of</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2010 – 2014 (teacher)</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Education to offer Institutional Recommendations for the</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2010 – 2014 (principal)</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certification of elementary, secondary, and special education</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teachers (B.S./M.Ed.) and school principals (M.Ed.).</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7"/>
              </w:rPr>
              <w:t>Our College of Education is a candidate for accreditation by the</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2011 – 2016</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4"/>
              </w:rPr>
              <w:t>National Council for Accreditation of Teacher Education (NCATE),</w:t>
            </w:r>
          </w:p>
        </w:tc>
        <w:tc>
          <w:tcPr>
            <w:tcW w:w="210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80" w:type="dxa"/>
            <w:vAlign w:val="bottom"/>
            <w:gridSpan w:val="5"/>
          </w:tcPr>
          <w:p>
            <w:pPr>
              <w:spacing w:after="0" w:line="190" w:lineRule="exact"/>
              <w:rPr>
                <w:sz w:val="20"/>
                <w:szCs w:val="20"/>
                <w:color w:val="auto"/>
              </w:rPr>
            </w:pPr>
            <w:r>
              <w:rPr>
                <w:rFonts w:ascii="Arial" w:cs="Arial" w:eastAsia="Arial" w:hAnsi="Arial"/>
                <w:sz w:val="18"/>
                <w:szCs w:val="18"/>
                <w:color w:val="auto"/>
              </w:rPr>
              <w:t>www.ncate.org. Candidacy status means that the College of</w:t>
            </w:r>
          </w:p>
        </w:tc>
        <w:tc>
          <w:tcPr>
            <w:tcW w:w="2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Education has met preconditions for accreditation but is not</w:t>
            </w:r>
          </w:p>
        </w:tc>
        <w:tc>
          <w:tcPr>
            <w:tcW w:w="2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3"/>
              </w:rPr>
              <w:t>accredited. NCATE has merged with another accrediting body and</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7"/>
              </w:rPr>
              <w:t>is now the Council for the Accreditation of Educator Preparation</w:t>
            </w:r>
          </w:p>
        </w:tc>
        <w:tc>
          <w:tcPr>
            <w:tcW w:w="210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80" w:type="dxa"/>
            <w:vAlign w:val="bottom"/>
            <w:gridSpan w:val="5"/>
          </w:tcPr>
          <w:p>
            <w:pPr>
              <w:spacing w:after="0" w:line="190" w:lineRule="exact"/>
              <w:rPr>
                <w:sz w:val="20"/>
                <w:szCs w:val="20"/>
                <w:color w:val="auto"/>
              </w:rPr>
            </w:pPr>
            <w:r>
              <w:rPr>
                <w:rFonts w:ascii="Arial" w:cs="Arial" w:eastAsia="Arial" w:hAnsi="Arial"/>
                <w:sz w:val="18"/>
                <w:szCs w:val="18"/>
                <w:color w:val="auto"/>
              </w:rPr>
              <w:t>(CAEP), www.caepnet.org. We have maintained our NCATE</w:t>
            </w:r>
          </w:p>
        </w:tc>
        <w:tc>
          <w:tcPr>
            <w:tcW w:w="2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candidacy status and are proceeding through the CAEP</w:t>
            </w:r>
          </w:p>
        </w:tc>
        <w:tc>
          <w:tcPr>
            <w:tcW w:w="2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9"/>
              </w:rPr>
              <w:t>accreditation process. This candidacy covers our initial teacher</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0"/>
              </w:rPr>
              <w:t>preparation programs and advanced educator preparation programs.</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9"/>
              </w:rPr>
              <w:t>The Accreditation Council for Business Schools and Programs</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2007 – 2017</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4"/>
              </w:rPr>
              <w:t>accredits our Executive Master of Business Administration degree</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4"/>
              </w:rPr>
              <w:t>program, Master of Business Administration degree program, and</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w w:val="93"/>
              </w:rPr>
              <w:t>our Bachelor of Science degree programs in Accounting, Business</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Administration, Marketing, Finance and Economics,</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Entrepreneurial Studies, and Sports Management.</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College of Fine Arts and Production</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5"/>
          </w:tcPr>
          <w:p>
            <w:pPr>
              <w:ind w:left="20"/>
              <w:spacing w:after="0"/>
              <w:rPr>
                <w:sz w:val="20"/>
                <w:szCs w:val="20"/>
                <w:color w:val="auto"/>
              </w:rPr>
            </w:pPr>
            <w:r>
              <w:rPr>
                <w:rFonts w:ascii="Arial" w:cs="Arial" w:eastAsia="Arial" w:hAnsi="Arial"/>
                <w:sz w:val="18"/>
                <w:szCs w:val="18"/>
                <w:color w:val="auto"/>
                <w:w w:val="99"/>
              </w:rPr>
              <w:t>The Arizona State Board of Education approves the College of</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2012 – 2014</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80" w:type="dxa"/>
            <w:vAlign w:val="bottom"/>
            <w:gridSpan w:val="5"/>
          </w:tcPr>
          <w:p>
            <w:pPr>
              <w:spacing w:after="0"/>
              <w:rPr>
                <w:sz w:val="20"/>
                <w:szCs w:val="20"/>
                <w:color w:val="auto"/>
              </w:rPr>
            </w:pPr>
            <w:r>
              <w:rPr>
                <w:rFonts w:ascii="Arial" w:cs="Arial" w:eastAsia="Arial" w:hAnsi="Arial"/>
                <w:sz w:val="18"/>
                <w:szCs w:val="18"/>
                <w:color w:val="auto"/>
              </w:rPr>
              <w:t>Fine Arts and Production to offer programs leading to initial</w:t>
            </w:r>
          </w:p>
        </w:tc>
        <w:tc>
          <w:tcPr>
            <w:tcW w:w="2100" w:type="dxa"/>
            <w:vAlign w:val="bottom"/>
          </w:tcPr>
          <w:p>
            <w:pPr>
              <w:spacing w:after="0"/>
              <w:rPr>
                <w:sz w:val="20"/>
                <w:szCs w:val="20"/>
                <w:color w:val="auto"/>
              </w:rPr>
            </w:pPr>
          </w:p>
        </w:tc>
      </w:tr>
    </w:tbl>
    <w:p>
      <w:pPr>
        <w:ind w:left="4340"/>
        <w:spacing w:after="0"/>
        <w:rPr>
          <w:sz w:val="20"/>
          <w:szCs w:val="20"/>
          <w:color w:val="auto"/>
        </w:rPr>
      </w:pPr>
      <w:r>
        <w:rPr>
          <w:rFonts w:ascii="Arial" w:cs="Arial" w:eastAsia="Arial" w:hAnsi="Arial"/>
          <w:sz w:val="18"/>
          <w:szCs w:val="18"/>
          <w:color w:val="auto"/>
        </w:rPr>
        <w:t>teacher licensure in the area of arts education for the elementary</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and secondary levels.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offer the degrees of Doctor of Education, Doctor of Business Administration, Doctor of Philosophy, Master of Arts, Master of Education, Master of Business Administration and Executive Master of Business Administration, Master of Public Administration, Master of Public Health, Master of Science, Bachelor of Arts, and Bachelor of Science and a variety of programs leading to each of these degrees. Many of our degree programs also offer a selection of emphases. We also offer certificate programs, which consist of a series of courses focused on a particular area of study, for students who seek to enhance their skills and knowledge or achieve additional licensure.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academic programs through our seven distinct colleges:</w:t>
      </w:r>
    </w:p>
    <w:p>
      <w:pPr>
        <w:spacing w:after="0" w:line="131" w:lineRule="exact"/>
        <w:rPr>
          <w:sz w:val="20"/>
          <w:szCs w:val="20"/>
          <w:color w:val="auto"/>
        </w:rPr>
      </w:pPr>
    </w:p>
    <w:p>
      <w:pPr>
        <w:ind w:left="1480" w:right="140" w:hanging="446"/>
        <w:spacing w:after="0" w:line="259"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College of Nursing and Health Care Professions, which, as a result of, among other things, the strong pass rates of our Bachelor of Science in Nursing (pre-licensure) students on the National Council Licensure Examination (“NCLEX”), has a strong reputation within the Arizona nursing community and is the largest nursing program in Arizona when considering total college enrollment (bachelor and masters students);</w:t>
      </w:r>
    </w:p>
    <w:p>
      <w:pPr>
        <w:spacing w:after="0" w:line="92" w:lineRule="exact"/>
        <w:rPr>
          <w:rFonts w:ascii="Arial" w:cs="Arial" w:eastAsia="Arial" w:hAnsi="Arial"/>
          <w:sz w:val="18"/>
          <w:szCs w:val="18"/>
          <w:color w:val="auto"/>
        </w:rPr>
      </w:pPr>
    </w:p>
    <w:p>
      <w:pPr>
        <w:ind w:left="1480" w:right="60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51" w:lineRule="exact"/>
        <w:rPr>
          <w:rFonts w:ascii="Arial" w:cs="Arial" w:eastAsia="Arial" w:hAnsi="Arial"/>
          <w:sz w:val="17"/>
          <w:szCs w:val="17"/>
          <w:color w:val="auto"/>
        </w:rPr>
      </w:pPr>
    </w:p>
    <w:p>
      <w:pPr>
        <w:ind w:left="1480" w:right="1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College of Arts and Sciences, which develops and provides many of the general education course requirements in our other colleges and also serves as one of the vehicles through which we offer programs in additional targeted disciplines;</w:t>
      </w:r>
    </w:p>
    <w:p>
      <w:pPr>
        <w:spacing w:after="0" w:line="75" w:lineRule="exact"/>
        <w:rPr>
          <w:rFonts w:ascii="Arial" w:cs="Arial" w:eastAsia="Arial" w:hAnsi="Arial"/>
          <w:sz w:val="18"/>
          <w:szCs w:val="18"/>
          <w:color w:val="auto"/>
        </w:rPr>
      </w:pPr>
    </w:p>
    <w:p>
      <w:pPr>
        <w:ind w:left="1480" w:right="580" w:hanging="446"/>
        <w:spacing w:after="0" w:line="34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29" w:lineRule="exact"/>
        <w:rPr>
          <w:rFonts w:ascii="Arial" w:cs="Arial" w:eastAsia="Arial" w:hAnsi="Arial"/>
          <w:sz w:val="16"/>
          <w:szCs w:val="16"/>
          <w:color w:val="auto"/>
        </w:rPr>
      </w:pPr>
    </w:p>
    <w:p>
      <w:pPr>
        <w:jc w:val="both"/>
        <w:ind w:left="1480" w:right="420" w:hanging="446"/>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Ken Blanchard College of Business, which has a well-known brand among our target student population, an advisory board that includes nationally recognized business leaders, and a reputation for offering professionally relevant degree programs, including an Executive MBA and programs in leadership, business, and entrepreneurship;</w:t>
      </w:r>
    </w:p>
    <w:p>
      <w:pPr>
        <w:spacing w:after="0" w:line="86"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College of Fine Arts and Production, which was reintroduced in 2010 and which continues the long and highly regarded tradition that the University has in the Fine Arts; and</w:t>
      </w:r>
    </w:p>
    <w:p>
      <w:pPr>
        <w:spacing w:after="0" w:line="75" w:lineRule="exact"/>
        <w:rPr>
          <w:rFonts w:ascii="Arial" w:cs="Arial" w:eastAsia="Arial" w:hAnsi="Arial"/>
          <w:sz w:val="18"/>
          <w:szCs w:val="18"/>
          <w:color w:val="auto"/>
        </w:rPr>
      </w:pPr>
    </w:p>
    <w:p>
      <w:pPr>
        <w:ind w:left="1480" w:right="24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College of Theology, which was launched in 2012 and serves as one of the many vehicles through which the University affirms its Christian heritage.</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 and the name of Jerry Colangelo in connection with our Colangelo School of Sports Business that we operate within the business school.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 At December 31, 2013, we offered 121 academic degree program and emphasis combinations, as follows:</w:t>
      </w:r>
    </w:p>
    <w:p>
      <w:pPr>
        <w:sectPr>
          <w:pgSz w:w="11900" w:h="16838" w:orient="portrait"/>
          <w:cols w:equalWidth="0" w:num="1">
            <w:col w:w="11420"/>
          </w:cols>
          <w:pgMar w:left="240" w:top="459" w:right="239" w:bottom="1440" w:gutter="0" w:footer="0" w:header="0"/>
        </w:sectPr>
      </w:pP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Degree</w:t>
            </w:r>
          </w:p>
        </w:tc>
        <w:tc>
          <w:tcPr>
            <w:tcW w:w="4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Program</w:t>
            </w:r>
          </w:p>
        </w:tc>
        <w:tc>
          <w:tcPr>
            <w:tcW w:w="4440" w:type="dxa"/>
            <w:vAlign w:val="bottom"/>
          </w:tcPr>
          <w:p>
            <w:pPr>
              <w:ind w:left="1920"/>
              <w:spacing w:after="0"/>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w w:val="82"/>
              </w:rPr>
              <w:t>College</w:t>
            </w:r>
          </w:p>
        </w:tc>
        <w:tc>
          <w:tcPr>
            <w:tcW w:w="80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0" w:type="dxa"/>
            <w:vAlign w:val="bottom"/>
            <w:vMerge w:val="continue"/>
          </w:tcPr>
          <w:p>
            <w:pPr>
              <w:spacing w:after="0"/>
              <w:rPr>
                <w:sz w:val="15"/>
                <w:szCs w:val="15"/>
                <w:color w:val="auto"/>
              </w:rPr>
            </w:pPr>
          </w:p>
        </w:tc>
        <w:tc>
          <w:tcPr>
            <w:tcW w:w="5240" w:type="dxa"/>
            <w:vAlign w:val="bottom"/>
            <w:gridSpan w:val="2"/>
          </w:tcPr>
          <w:p>
            <w:pPr>
              <w:ind w:left="60"/>
              <w:spacing w:after="0" w:line="182" w:lineRule="exact"/>
              <w:rPr>
                <w:sz w:val="20"/>
                <w:szCs w:val="20"/>
                <w:color w:val="auto"/>
              </w:rPr>
            </w:pPr>
            <w:r>
              <w:rPr>
                <w:rFonts w:ascii="Arial" w:cs="Arial" w:eastAsia="Arial" w:hAnsi="Arial"/>
                <w:sz w:val="18"/>
                <w:szCs w:val="18"/>
                <w:b w:val="1"/>
                <w:bCs w:val="1"/>
                <w:color w:val="auto"/>
              </w:rPr>
              <w:t>of Arts and Sciences</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Master of</w:t>
            </w:r>
          </w:p>
        </w:tc>
        <w:tc>
          <w:tcPr>
            <w:tcW w:w="4440" w:type="dxa"/>
            <w:vAlign w:val="bottom"/>
          </w:tcPr>
          <w:p>
            <w:pPr>
              <w:spacing w:after="0"/>
              <w:rPr>
                <w:sz w:val="20"/>
                <w:szCs w:val="20"/>
                <w:color w:val="auto"/>
              </w:rPr>
            </w:pPr>
            <w:r>
              <w:rPr>
                <w:rFonts w:ascii="Arial" w:cs="Arial" w:eastAsia="Arial" w:hAnsi="Arial"/>
                <w:sz w:val="18"/>
                <w:szCs w:val="18"/>
                <w:color w:val="auto"/>
              </w:rPr>
              <w:t>• Addiction Counseling</w:t>
            </w: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Science</w:t>
            </w:r>
          </w:p>
        </w:tc>
        <w:tc>
          <w:tcPr>
            <w:tcW w:w="4440" w:type="dxa"/>
            <w:vAlign w:val="bottom"/>
          </w:tcPr>
          <w:p>
            <w:pPr>
              <w:spacing w:after="0"/>
              <w:rPr>
                <w:sz w:val="20"/>
                <w:szCs w:val="20"/>
                <w:color w:val="auto"/>
              </w:rPr>
            </w:pPr>
            <w:r>
              <w:rPr>
                <w:rFonts w:ascii="Arial" w:cs="Arial" w:eastAsia="Arial" w:hAnsi="Arial"/>
                <w:sz w:val="18"/>
                <w:szCs w:val="18"/>
                <w:color w:val="auto"/>
              </w:rPr>
              <w:t>• Criminal Justice — Law Enforcement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 Criminal Justice — Legal Studies</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 Professional Counseling</w:t>
            </w: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color w:val="auto"/>
        </w:rPr>
        <w:t>• Psychology — General Psychology</w:t>
      </w:r>
    </w:p>
    <w:p>
      <w:pPr>
        <w:spacing w:after="0" w:line="9" w:lineRule="exact"/>
        <w:rPr>
          <w:sz w:val="20"/>
          <w:szCs w:val="20"/>
          <w:color w:val="auto"/>
        </w:rPr>
      </w:pPr>
    </w:p>
    <w:p>
      <w:pPr>
        <w:ind w:right="240" w:firstLine="1351"/>
        <w:spacing w:after="0" w:line="258" w:lineRule="auto"/>
        <w:rPr>
          <w:sz w:val="20"/>
          <w:szCs w:val="20"/>
          <w:color w:val="auto"/>
        </w:rPr>
      </w:pPr>
      <w:r>
        <w:rPr>
          <w:rFonts w:ascii="Arial" w:cs="Arial" w:eastAsia="Arial" w:hAnsi="Arial"/>
          <w:sz w:val="18"/>
          <w:szCs w:val="18"/>
          <w:color w:val="auto"/>
        </w:rPr>
        <w:t>• Psychology — Industrial and Organizational Psychology Bachelor of Arts • Communications</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English Literature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History</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Bachelor of</w:t>
      </w:r>
      <w:r>
        <w:rPr>
          <w:sz w:val="20"/>
          <w:szCs w:val="20"/>
          <w:color w:val="auto"/>
        </w:rPr>
        <w:tab/>
      </w:r>
      <w:r>
        <w:rPr>
          <w:rFonts w:ascii="Arial" w:cs="Arial" w:eastAsia="Arial" w:hAnsi="Arial"/>
          <w:sz w:val="16"/>
          <w:szCs w:val="16"/>
          <w:color w:val="auto"/>
        </w:rPr>
        <w:t>• Counseling Addiction, Chemical Dependency, and</w:t>
      </w:r>
    </w:p>
    <w:p>
      <w:pPr>
        <w:spacing w:after="0" w:line="2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Science</w:t>
      </w:r>
      <w:r>
        <w:rPr>
          <w:sz w:val="20"/>
          <w:szCs w:val="20"/>
          <w:color w:val="auto"/>
        </w:rPr>
        <w:tab/>
      </w:r>
      <w:r>
        <w:rPr>
          <w:rFonts w:ascii="Arial" w:cs="Arial" w:eastAsia="Arial" w:hAnsi="Arial"/>
          <w:sz w:val="18"/>
          <w:szCs w:val="18"/>
          <w:color w:val="auto"/>
        </w:rPr>
        <w:t>Substance Abuse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Biology — Pre-Medicine*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Biology — Pre-Pharmacy*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Biology — Pre-Physical Therapy*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Biology — Pre-Physician Assistant*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Exercise Science — Health Education*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Exercise Science — Physical Education*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Exercise Science — Pre-Physical Therapy*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Forensic Science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Justice Studies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Psychology</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 Sociology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Doctoral Studies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Degree</w:t>
            </w:r>
          </w:p>
        </w:tc>
        <w:tc>
          <w:tcPr>
            <w:tcW w:w="458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College of Education</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Master of</w:t>
            </w:r>
          </w:p>
        </w:tc>
        <w:tc>
          <w:tcPr>
            <w:tcW w:w="4580" w:type="dxa"/>
            <w:vAlign w:val="bottom"/>
          </w:tcPr>
          <w:p>
            <w:pPr>
              <w:ind w:left="140"/>
              <w:spacing w:after="0"/>
              <w:rPr>
                <w:sz w:val="20"/>
                <w:szCs w:val="20"/>
                <w:color w:val="auto"/>
              </w:rPr>
            </w:pPr>
            <w:r>
              <w:rPr>
                <w:rFonts w:ascii="Arial" w:cs="Arial" w:eastAsia="Arial" w:hAnsi="Arial"/>
                <w:sz w:val="18"/>
                <w:szCs w:val="18"/>
                <w:color w:val="auto"/>
                <w:w w:val="91"/>
              </w:rPr>
              <w:t>• Teaching — Professional Learning Communities (AP/CPE)</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Arts</w:t>
            </w:r>
          </w:p>
        </w:tc>
        <w:tc>
          <w:tcPr>
            <w:tcW w:w="4580" w:type="dxa"/>
            <w:vAlign w:val="bottom"/>
          </w:tcPr>
          <w:p>
            <w:pPr>
              <w:ind w:left="140"/>
              <w:spacing w:after="0"/>
              <w:rPr>
                <w:sz w:val="20"/>
                <w:szCs w:val="20"/>
                <w:color w:val="auto"/>
              </w:rPr>
            </w:pPr>
            <w:r>
              <w:rPr>
                <w:rFonts w:ascii="Arial" w:cs="Arial" w:eastAsia="Arial" w:hAnsi="Arial"/>
                <w:sz w:val="18"/>
                <w:szCs w:val="18"/>
                <w:color w:val="auto"/>
              </w:rPr>
              <w:t>• Teaching —Teacher Leadership (AP/CPE)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 Curriculum and Instruction: Reading — Elementary</w:t>
            </w:r>
          </w:p>
        </w:tc>
        <w:tc>
          <w:tcPr>
            <w:tcW w:w="0" w:type="dxa"/>
            <w:vAlign w:val="bottom"/>
          </w:tcPr>
          <w:p>
            <w:pPr>
              <w:spacing w:after="0"/>
              <w:rPr>
                <w:sz w:val="1"/>
                <w:szCs w:val="1"/>
                <w:color w:val="auto"/>
              </w:rPr>
            </w:pPr>
          </w:p>
        </w:tc>
      </w:tr>
      <w:tr>
        <w:trPr>
          <w:trHeight w:val="216"/>
        </w:trPr>
        <w:tc>
          <w:tcPr>
            <w:tcW w:w="880" w:type="dxa"/>
            <w:vAlign w:val="bottom"/>
            <w:gridSpan w:val="2"/>
          </w:tcPr>
          <w:p>
            <w:pPr>
              <w:spacing w:after="0"/>
              <w:rPr>
                <w:sz w:val="20"/>
                <w:szCs w:val="20"/>
                <w:color w:val="auto"/>
              </w:rPr>
            </w:pPr>
            <w:r>
              <w:rPr>
                <w:rFonts w:ascii="Arial" w:cs="Arial" w:eastAsia="Arial" w:hAnsi="Arial"/>
                <w:sz w:val="18"/>
                <w:szCs w:val="18"/>
                <w:color w:val="auto"/>
              </w:rPr>
              <w:t>Master of</w:t>
            </w:r>
          </w:p>
        </w:tc>
        <w:tc>
          <w:tcPr>
            <w:tcW w:w="4580" w:type="dxa"/>
            <w:vAlign w:val="bottom"/>
          </w:tcPr>
          <w:p>
            <w:pPr>
              <w:ind w:left="320"/>
              <w:spacing w:after="0"/>
              <w:rPr>
                <w:sz w:val="20"/>
                <w:szCs w:val="20"/>
                <w:color w:val="auto"/>
              </w:rPr>
            </w:pPr>
            <w:r>
              <w:rPr>
                <w:rFonts w:ascii="Arial" w:cs="Arial" w:eastAsia="Arial" w:hAnsi="Arial"/>
                <w:sz w:val="18"/>
                <w:szCs w:val="18"/>
                <w:color w:val="auto"/>
              </w:rPr>
              <w:t>(AP/CPE)</w:t>
            </w:r>
          </w:p>
        </w:tc>
        <w:tc>
          <w:tcPr>
            <w:tcW w:w="0" w:type="dxa"/>
            <w:vAlign w:val="bottom"/>
          </w:tcPr>
          <w:p>
            <w:pPr>
              <w:spacing w:after="0"/>
              <w:rPr>
                <w:sz w:val="1"/>
                <w:szCs w:val="1"/>
                <w:color w:val="auto"/>
              </w:rPr>
            </w:pPr>
          </w:p>
        </w:tc>
      </w:tr>
      <w:tr>
        <w:trPr>
          <w:trHeight w:val="232"/>
        </w:trPr>
        <w:tc>
          <w:tcPr>
            <w:tcW w:w="8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580" w:type="dxa"/>
            <w:vAlign w:val="bottom"/>
          </w:tcPr>
          <w:p>
            <w:pPr>
              <w:ind w:left="140"/>
              <w:spacing w:after="0"/>
              <w:rPr>
                <w:sz w:val="20"/>
                <w:szCs w:val="20"/>
                <w:color w:val="auto"/>
              </w:rPr>
            </w:pPr>
            <w:r>
              <w:rPr>
                <w:rFonts w:ascii="Arial" w:cs="Arial" w:eastAsia="Arial" w:hAnsi="Arial"/>
                <w:sz w:val="18"/>
                <w:szCs w:val="18"/>
                <w:color w:val="auto"/>
              </w:rPr>
              <w:t>• Curriculum and Instruction: Reading — Secondary</w:t>
            </w:r>
          </w:p>
        </w:tc>
        <w:tc>
          <w:tcPr>
            <w:tcW w:w="0" w:type="dxa"/>
            <w:vAlign w:val="bottom"/>
          </w:tcPr>
          <w:p>
            <w:pPr>
              <w:spacing w:after="0"/>
              <w:rPr>
                <w:sz w:val="1"/>
                <w:szCs w:val="1"/>
                <w:color w:val="auto"/>
              </w:rPr>
            </w:pPr>
          </w:p>
        </w:tc>
      </w:tr>
    </w:tbl>
    <w:p>
      <w:pPr>
        <w:ind w:left="1200"/>
        <w:spacing w:after="0"/>
        <w:rPr>
          <w:sz w:val="20"/>
          <w:szCs w:val="20"/>
          <w:color w:val="auto"/>
        </w:rPr>
      </w:pPr>
      <w:r>
        <w:rPr>
          <w:rFonts w:ascii="Arial" w:cs="Arial" w:eastAsia="Arial" w:hAnsi="Arial"/>
          <w:sz w:val="18"/>
          <w:szCs w:val="18"/>
          <w:color w:val="auto"/>
        </w:rPr>
        <w:t>(AP/CPE)</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Curriculum and Instruction: Technology (AP/CPE)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Early Childhood Education (IP/ TL)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Early Childhood Education (IP/Non-TL)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Educational Administration (AP/PL)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Educational Leadership (AP/CPE)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Elementary Education (IP/ TL)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Elementary Education (IP/ Non-TL)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Secondary Education (IP/ TL)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Secondary Education (IP/ Non-TL)</w:t>
      </w:r>
    </w:p>
    <w:p>
      <w:pPr>
        <w:spacing w:after="0" w:line="9" w:lineRule="exact"/>
        <w:rPr>
          <w:sz w:val="20"/>
          <w:szCs w:val="20"/>
          <w:color w:val="auto"/>
        </w:rPr>
      </w:pPr>
    </w:p>
    <w:p>
      <w:pPr>
        <w:ind w:left="1200" w:right="760" w:hanging="179"/>
        <w:spacing w:after="0" w:line="250" w:lineRule="auto"/>
        <w:rPr>
          <w:sz w:val="20"/>
          <w:szCs w:val="20"/>
          <w:color w:val="auto"/>
        </w:rPr>
      </w:pPr>
      <w:r>
        <w:rPr>
          <w:rFonts w:ascii="Arial" w:cs="Arial" w:eastAsia="Arial" w:hAnsi="Arial"/>
          <w:sz w:val="18"/>
          <w:szCs w:val="18"/>
          <w:color w:val="auto"/>
        </w:rPr>
        <w:t>• Special Education for Certified Special Educators (AP/CPE)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Special Education: Cross Categorical (IP/ TL)</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Special Education: Cross-Categorical (IP/Non-TL)</w:t>
      </w:r>
    </w:p>
    <w:p>
      <w:pPr>
        <w:spacing w:after="0" w:line="9" w:lineRule="exact"/>
        <w:rPr>
          <w:sz w:val="20"/>
          <w:szCs w:val="20"/>
          <w:color w:val="auto"/>
        </w:rPr>
      </w:pPr>
    </w:p>
    <w:p>
      <w:pPr>
        <w:ind w:left="1200" w:right="740" w:hanging="179"/>
        <w:spacing w:after="0" w:line="261" w:lineRule="auto"/>
        <w:rPr>
          <w:sz w:val="20"/>
          <w:szCs w:val="20"/>
          <w:color w:val="auto"/>
        </w:rPr>
      </w:pPr>
      <w:r>
        <w:rPr>
          <w:rFonts w:ascii="Arial" w:cs="Arial" w:eastAsia="Arial" w:hAnsi="Arial"/>
          <w:sz w:val="18"/>
          <w:szCs w:val="18"/>
          <w:color w:val="auto"/>
        </w:rPr>
        <w:t>• Teaching English to Speakers of Other Languages (AP/CPE)</w:t>
      </w:r>
    </w:p>
    <w:p>
      <w:pPr>
        <w:spacing w:after="0" w:line="670" w:lineRule="exact"/>
        <w:rPr>
          <w:sz w:val="20"/>
          <w:szCs w:val="20"/>
          <w:color w:val="auto"/>
        </w:rPr>
      </w:pPr>
    </w:p>
    <w:p>
      <w:pPr>
        <w:sectPr>
          <w:pgSz w:w="11900" w:h="16838" w:orient="portrait"/>
          <w:cols w:equalWidth="0" w:num="2">
            <w:col w:w="5800" w:space="160"/>
            <w:col w:w="54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Doctor of</w:t>
            </w:r>
          </w:p>
        </w:tc>
        <w:tc>
          <w:tcPr>
            <w:tcW w:w="4640" w:type="dxa"/>
            <w:vAlign w:val="bottom"/>
          </w:tcPr>
          <w:p>
            <w:pPr>
              <w:ind w:left="140"/>
              <w:spacing w:after="0"/>
              <w:rPr>
                <w:sz w:val="20"/>
                <w:szCs w:val="20"/>
                <w:color w:val="auto"/>
              </w:rPr>
            </w:pPr>
            <w:r>
              <w:rPr>
                <w:rFonts w:ascii="Arial" w:cs="Arial" w:eastAsia="Arial" w:hAnsi="Arial"/>
                <w:sz w:val="18"/>
                <w:szCs w:val="18"/>
                <w:color w:val="auto"/>
              </w:rPr>
              <w:t>• Organizational Leadership — Behavioral Health</w:t>
            </w:r>
          </w:p>
        </w:tc>
        <w:tc>
          <w:tcPr>
            <w:tcW w:w="1040" w:type="dxa"/>
            <w:vAlign w:val="bottom"/>
          </w:tcPr>
          <w:p>
            <w:pPr>
              <w:ind w:left="100"/>
              <w:spacing w:after="0"/>
              <w:rPr>
                <w:sz w:val="20"/>
                <w:szCs w:val="20"/>
                <w:color w:val="auto"/>
              </w:rPr>
            </w:pPr>
            <w:r>
              <w:rPr>
                <w:rFonts w:ascii="Arial" w:cs="Arial" w:eastAsia="Arial" w:hAnsi="Arial"/>
                <w:sz w:val="18"/>
                <w:szCs w:val="18"/>
                <w:color w:val="auto"/>
              </w:rPr>
              <w:t>Bachelor of</w:t>
            </w:r>
          </w:p>
        </w:tc>
        <w:tc>
          <w:tcPr>
            <w:tcW w:w="3460" w:type="dxa"/>
            <w:vAlign w:val="bottom"/>
          </w:tcPr>
          <w:p>
            <w:pPr>
              <w:ind w:left="80"/>
              <w:spacing w:after="0"/>
              <w:rPr>
                <w:sz w:val="20"/>
                <w:szCs w:val="20"/>
                <w:color w:val="auto"/>
              </w:rPr>
            </w:pPr>
            <w:r>
              <w:rPr>
                <w:rFonts w:ascii="Arial" w:cs="Arial" w:eastAsia="Arial" w:hAnsi="Arial"/>
                <w:sz w:val="18"/>
                <w:szCs w:val="18"/>
                <w:color w:val="auto"/>
              </w:rPr>
              <w:t>• Early Childhood Education</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Education</w:t>
            </w:r>
          </w:p>
        </w:tc>
        <w:tc>
          <w:tcPr>
            <w:tcW w:w="4640" w:type="dxa"/>
            <w:vAlign w:val="bottom"/>
          </w:tcPr>
          <w:p>
            <w:pPr>
              <w:ind w:left="140"/>
              <w:spacing w:after="0"/>
              <w:rPr>
                <w:sz w:val="20"/>
                <w:szCs w:val="20"/>
                <w:color w:val="auto"/>
              </w:rPr>
            </w:pPr>
            <w:r>
              <w:rPr>
                <w:rFonts w:ascii="Arial" w:cs="Arial" w:eastAsia="Arial" w:hAnsi="Arial"/>
                <w:sz w:val="18"/>
                <w:szCs w:val="18"/>
                <w:color w:val="auto"/>
              </w:rPr>
              <w:t>• Organizational Leadership — Christian Ministry</w:t>
            </w:r>
          </w:p>
        </w:tc>
        <w:tc>
          <w:tcPr>
            <w:tcW w:w="1040" w:type="dxa"/>
            <w:vAlign w:val="bottom"/>
          </w:tcPr>
          <w:p>
            <w:pPr>
              <w:ind w:left="100"/>
              <w:spacing w:after="0"/>
              <w:rPr>
                <w:sz w:val="20"/>
                <w:szCs w:val="20"/>
                <w:color w:val="auto"/>
              </w:rPr>
            </w:pPr>
            <w:r>
              <w:rPr>
                <w:rFonts w:ascii="Arial" w:cs="Arial" w:eastAsia="Arial" w:hAnsi="Arial"/>
                <w:sz w:val="18"/>
                <w:szCs w:val="18"/>
                <w:color w:val="auto"/>
              </w:rPr>
              <w:t>Science</w:t>
            </w:r>
          </w:p>
        </w:tc>
        <w:tc>
          <w:tcPr>
            <w:tcW w:w="3460" w:type="dxa"/>
            <w:vAlign w:val="bottom"/>
          </w:tcPr>
          <w:p>
            <w:pPr>
              <w:ind w:left="80"/>
              <w:spacing w:after="0"/>
              <w:rPr>
                <w:sz w:val="20"/>
                <w:szCs w:val="20"/>
                <w:color w:val="auto"/>
              </w:rPr>
            </w:pPr>
            <w:r>
              <w:rPr>
                <w:rFonts w:ascii="Arial" w:cs="Arial" w:eastAsia="Arial" w:hAnsi="Arial"/>
                <w:sz w:val="18"/>
                <w:szCs w:val="18"/>
                <w:color w:val="auto"/>
              </w:rPr>
              <w:t>• Elementary Education — English</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 Organizational Leadership — Effective Schools</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Elementary Education — Math</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w w:val="96"/>
              </w:rPr>
              <w:t>• Organizational Leadership — Health Care Administration</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Elementary Education — Science</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w w:val="93"/>
              </w:rPr>
              <w:t>• Organizational Leadership — Higher Education Leadership</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Elementary/Special Education</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 Organizational Leadership — Instructional Leadership</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Secondary Education — Biology*</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 Organizational Leadership — K-12 Leadership</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w w:val="91"/>
              </w:rPr>
              <w:t>• Secondary Education — Business Education</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w w:val="94"/>
              </w:rPr>
              <w:t>• Organizational Leadership — Organizational Development</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Secondary Education — Chemistry*</w:t>
            </w: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 Organizational Leadership — Special Education</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Secondary Education — English</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Doctor of</w:t>
            </w:r>
          </w:p>
        </w:tc>
        <w:tc>
          <w:tcPr>
            <w:tcW w:w="4640" w:type="dxa"/>
            <w:vAlign w:val="bottom"/>
          </w:tcPr>
          <w:p>
            <w:pPr>
              <w:ind w:left="140"/>
              <w:spacing w:after="0"/>
              <w:rPr>
                <w:sz w:val="20"/>
                <w:szCs w:val="20"/>
                <w:color w:val="auto"/>
              </w:rPr>
            </w:pPr>
            <w:r>
              <w:rPr>
                <w:rFonts w:ascii="Arial" w:cs="Arial" w:eastAsia="Arial" w:hAnsi="Arial"/>
                <w:sz w:val="18"/>
                <w:szCs w:val="18"/>
                <w:color w:val="auto"/>
              </w:rPr>
              <w:t>• Management</w:t>
            </w: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Secondary Education — Math</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Business</w:t>
            </w:r>
          </w:p>
        </w:tc>
        <w:tc>
          <w:tcPr>
            <w:tcW w:w="4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w w:val="90"/>
              </w:rPr>
              <w:t>• Secondary Education — Physical Education*</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Administration</w:t>
            </w:r>
          </w:p>
        </w:tc>
        <w:tc>
          <w:tcPr>
            <w:tcW w:w="4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60" w:type="dxa"/>
            <w:vAlign w:val="bottom"/>
          </w:tcPr>
          <w:p>
            <w:pPr>
              <w:ind w:left="80"/>
              <w:spacing w:after="0"/>
              <w:rPr>
                <w:sz w:val="20"/>
                <w:szCs w:val="20"/>
                <w:color w:val="auto"/>
              </w:rPr>
            </w:pPr>
            <w:r>
              <w:rPr>
                <w:rFonts w:ascii="Arial" w:cs="Arial" w:eastAsia="Arial" w:hAnsi="Arial"/>
                <w:sz w:val="18"/>
                <w:szCs w:val="18"/>
                <w:color w:val="auto"/>
              </w:rPr>
              <w:t>• Secondary Education — Social Studies</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Doctor of</w:t>
            </w:r>
          </w:p>
        </w:tc>
        <w:tc>
          <w:tcPr>
            <w:tcW w:w="4640" w:type="dxa"/>
            <w:vAlign w:val="bottom"/>
          </w:tcPr>
          <w:p>
            <w:pPr>
              <w:ind w:left="140"/>
              <w:spacing w:after="0"/>
              <w:rPr>
                <w:sz w:val="20"/>
                <w:szCs w:val="20"/>
                <w:color w:val="auto"/>
              </w:rPr>
            </w:pPr>
            <w:r>
              <w:rPr>
                <w:rFonts w:ascii="Arial" w:cs="Arial" w:eastAsia="Arial" w:hAnsi="Arial"/>
                <w:sz w:val="18"/>
                <w:szCs w:val="18"/>
                <w:color w:val="auto"/>
              </w:rPr>
              <w:t>• General Psychology — Cognition and Instruction</w:t>
            </w:r>
          </w:p>
        </w:tc>
        <w:tc>
          <w:tcPr>
            <w:tcW w:w="10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Philosophy</w:t>
            </w:r>
          </w:p>
        </w:tc>
        <w:tc>
          <w:tcPr>
            <w:tcW w:w="4640" w:type="dxa"/>
            <w:vAlign w:val="bottom"/>
          </w:tcPr>
          <w:p>
            <w:pPr>
              <w:ind w:left="140"/>
              <w:spacing w:after="0"/>
              <w:rPr>
                <w:sz w:val="20"/>
                <w:szCs w:val="20"/>
                <w:color w:val="auto"/>
              </w:rPr>
            </w:pPr>
            <w:r>
              <w:rPr>
                <w:rFonts w:ascii="Arial" w:cs="Arial" w:eastAsia="Arial" w:hAnsi="Arial"/>
                <w:sz w:val="18"/>
                <w:szCs w:val="18"/>
                <w:color w:val="auto"/>
              </w:rPr>
              <w:t>• General Psychology — Industrial and Organizational</w:t>
            </w:r>
          </w:p>
        </w:tc>
        <w:tc>
          <w:tcPr>
            <w:tcW w:w="10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Psychology</w:t>
            </w:r>
          </w:p>
        </w:tc>
        <w:tc>
          <w:tcPr>
            <w:tcW w:w="10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w w:val="95"/>
              </w:rPr>
              <w:t>• General Psychology — Integrating Technology, Learning,</w:t>
            </w:r>
          </w:p>
        </w:tc>
        <w:tc>
          <w:tcPr>
            <w:tcW w:w="10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640" w:type="dxa"/>
            <w:vAlign w:val="bottom"/>
          </w:tcPr>
          <w:p>
            <w:pPr>
              <w:ind w:left="320"/>
              <w:spacing w:after="0"/>
              <w:rPr>
                <w:sz w:val="20"/>
                <w:szCs w:val="20"/>
                <w:color w:val="auto"/>
              </w:rPr>
            </w:pPr>
            <w:r>
              <w:rPr>
                <w:rFonts w:ascii="Arial" w:cs="Arial" w:eastAsia="Arial" w:hAnsi="Arial"/>
                <w:sz w:val="18"/>
                <w:szCs w:val="18"/>
                <w:color w:val="auto"/>
              </w:rPr>
              <w:t>and Psychology</w:t>
            </w:r>
          </w:p>
        </w:tc>
        <w:tc>
          <w:tcPr>
            <w:tcW w:w="10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 General Psychology — Performance Psychology</w:t>
            </w:r>
          </w:p>
        </w:tc>
        <w:tc>
          <w:tcPr>
            <w:tcW w:w="10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4640" w:type="dxa"/>
            <w:vAlign w:val="bottom"/>
          </w:tcPr>
          <w:p>
            <w:pPr>
              <w:ind w:left="4440"/>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Degree</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Program</w:t>
            </w:r>
          </w:p>
        </w:tc>
        <w:tc>
          <w:tcPr>
            <w:tcW w:w="4220" w:type="dxa"/>
            <w:vAlign w:val="bottom"/>
          </w:tcPr>
          <w:p>
            <w:pPr>
              <w:ind w:left="1800"/>
              <w:spacing w:after="0"/>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w w:val="82"/>
              </w:rPr>
              <w:t>College</w:t>
            </w:r>
          </w:p>
        </w:tc>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83"/>
              </w:rPr>
              <w:t>of Fine Arts</w:t>
            </w:r>
          </w:p>
        </w:tc>
        <w:tc>
          <w:tcPr>
            <w:tcW w:w="4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rPr>
              <w:t>and Production</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Bachelor of Arts</w:t>
            </w:r>
          </w:p>
        </w:tc>
        <w:tc>
          <w:tcPr>
            <w:tcW w:w="4220" w:type="dxa"/>
            <w:vAlign w:val="bottom"/>
          </w:tcPr>
          <w:p>
            <w:pPr>
              <w:spacing w:after="0"/>
              <w:rPr>
                <w:sz w:val="20"/>
                <w:szCs w:val="20"/>
                <w:color w:val="auto"/>
              </w:rPr>
            </w:pPr>
            <w:r>
              <w:rPr>
                <w:rFonts w:ascii="Arial" w:cs="Arial" w:eastAsia="Arial" w:hAnsi="Arial"/>
                <w:sz w:val="18"/>
                <w:szCs w:val="18"/>
                <w:color w:val="auto"/>
              </w:rPr>
              <w:t>• Dance Education*</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Digital Design — Animation*</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Digital Design — Web Design*</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 Digital Film — Production</w:t>
            </w:r>
          </w:p>
        </w:tc>
        <w:tc>
          <w:tcPr>
            <w:tcW w:w="0" w:type="dxa"/>
            <w:vAlign w:val="bottom"/>
          </w:tcPr>
          <w:p>
            <w:pPr>
              <w:spacing w:after="0"/>
              <w:rPr>
                <w:sz w:val="1"/>
                <w:szCs w:val="1"/>
                <w:color w:val="auto"/>
              </w:rPr>
            </w:pPr>
          </w:p>
        </w:tc>
      </w:tr>
    </w:tbl>
    <w:p>
      <w:pPr>
        <w:ind w:left="1480"/>
        <w:spacing w:after="0"/>
        <w:rPr>
          <w:sz w:val="20"/>
          <w:szCs w:val="20"/>
          <w:color w:val="auto"/>
        </w:rPr>
      </w:pPr>
      <w:r>
        <w:rPr>
          <w:rFonts w:ascii="Arial" w:cs="Arial" w:eastAsia="Arial" w:hAnsi="Arial"/>
          <w:sz w:val="18"/>
          <w:szCs w:val="18"/>
          <w:color w:val="auto"/>
        </w:rPr>
        <w:t>• Digital Film — Screenwriting</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Music Education*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Music Education — Instrumental*</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Music — Piano*</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Music — Voice*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Theatre and Drama*</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Theatre Education*</w:t>
      </w:r>
    </w:p>
    <w:p>
      <w:pPr>
        <w:spacing w:after="0" w:line="112" w:lineRule="exact"/>
        <w:rPr>
          <w:sz w:val="20"/>
          <w:szCs w:val="20"/>
          <w:color w:val="auto"/>
        </w:rPr>
      </w:pPr>
    </w:p>
    <w:p>
      <w:pPr>
        <w:ind w:right="2020"/>
        <w:spacing w:after="0" w:line="293" w:lineRule="auto"/>
        <w:rPr>
          <w:sz w:val="20"/>
          <w:szCs w:val="20"/>
          <w:color w:val="auto"/>
        </w:rPr>
      </w:pPr>
      <w:r>
        <w:rPr>
          <w:rFonts w:ascii="Arial" w:cs="Arial" w:eastAsia="Arial" w:hAnsi="Arial"/>
          <w:sz w:val="16"/>
          <w:szCs w:val="16"/>
          <w:b w:val="1"/>
          <w:bCs w:val="1"/>
          <w:color w:val="auto"/>
        </w:rPr>
        <w:t xml:space="preserve">College of Nursing and Health Care Professions </w:t>
      </w:r>
      <w:r>
        <w:rPr>
          <w:rFonts w:ascii="Arial" w:cs="Arial" w:eastAsia="Arial" w:hAnsi="Arial"/>
          <w:sz w:val="16"/>
          <w:szCs w:val="16"/>
          <w:color w:val="auto"/>
        </w:rPr>
        <w:t>Master of Science • Health Care Administration</w:t>
      </w:r>
    </w:p>
    <w:p>
      <w:pPr>
        <w:spacing w:after="0" w:line="1" w:lineRule="exact"/>
        <w:rPr>
          <w:sz w:val="20"/>
          <w:szCs w:val="20"/>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Care Informatics</w:t>
      </w:r>
    </w:p>
    <w:p>
      <w:pPr>
        <w:spacing w:after="0" w:line="9" w:lineRule="exact"/>
        <w:rPr>
          <w:rFonts w:ascii="Arial" w:cs="Arial" w:eastAsia="Arial" w:hAnsi="Arial"/>
          <w:sz w:val="18"/>
          <w:szCs w:val="18"/>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Nursing — Acute Care Nurse Practitioner</w:t>
      </w:r>
    </w:p>
    <w:p>
      <w:pPr>
        <w:spacing w:after="0" w:line="9" w:lineRule="exact"/>
        <w:rPr>
          <w:rFonts w:ascii="Arial" w:cs="Arial" w:eastAsia="Arial" w:hAnsi="Arial"/>
          <w:sz w:val="18"/>
          <w:szCs w:val="18"/>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Nursing — Clinical Nurse Specialist*</w:t>
      </w:r>
    </w:p>
    <w:p>
      <w:pPr>
        <w:spacing w:after="0" w:line="9" w:lineRule="exact"/>
        <w:rPr>
          <w:rFonts w:ascii="Arial" w:cs="Arial" w:eastAsia="Arial" w:hAnsi="Arial"/>
          <w:sz w:val="18"/>
          <w:szCs w:val="18"/>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Nursing — Family Nurse Practitioner*</w:t>
      </w:r>
    </w:p>
    <w:p>
      <w:pPr>
        <w:spacing w:after="0" w:line="22" w:lineRule="exact"/>
        <w:rPr>
          <w:rFonts w:ascii="Arial" w:cs="Arial" w:eastAsia="Arial" w:hAnsi="Arial"/>
          <w:sz w:val="18"/>
          <w:szCs w:val="18"/>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Nursing — Health Care Informatics</w:t>
      </w:r>
    </w:p>
    <w:p>
      <w:pPr>
        <w:spacing w:after="0" w:line="9" w:lineRule="exact"/>
        <w:rPr>
          <w:rFonts w:ascii="Arial" w:cs="Arial" w:eastAsia="Arial" w:hAnsi="Arial"/>
          <w:sz w:val="18"/>
          <w:szCs w:val="18"/>
          <w:color w:val="auto"/>
        </w:rPr>
      </w:pPr>
    </w:p>
    <w:p>
      <w:pPr>
        <w:ind w:left="1580" w:hanging="100"/>
        <w:spacing w:after="0"/>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Nursing — Nursing Leadership in Health Care Systems</w:t>
      </w:r>
    </w:p>
    <w:p>
      <w:pPr>
        <w:spacing w:after="0" w:line="32" w:lineRule="exact"/>
        <w:rPr>
          <w:rFonts w:ascii="Arial" w:cs="Arial" w:eastAsia="Arial" w:hAnsi="Arial"/>
          <w:sz w:val="16"/>
          <w:szCs w:val="16"/>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Nursing — Nursing Education</w:t>
      </w:r>
    </w:p>
    <w:p>
      <w:pPr>
        <w:spacing w:after="0" w:line="9" w:lineRule="exact"/>
        <w:rPr>
          <w:rFonts w:ascii="Arial" w:cs="Arial" w:eastAsia="Arial" w:hAnsi="Arial"/>
          <w:sz w:val="18"/>
          <w:szCs w:val="18"/>
          <w:color w:val="auto"/>
        </w:rPr>
      </w:pPr>
    </w:p>
    <w:p>
      <w:pPr>
        <w:ind w:left="1580" w:hanging="10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Nursing — Public Health</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Master of Public</w:t>
            </w:r>
          </w:p>
        </w:tc>
        <w:tc>
          <w:tcPr>
            <w:tcW w:w="224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Health</w:t>
            </w:r>
          </w:p>
        </w:tc>
        <w:tc>
          <w:tcPr>
            <w:tcW w:w="224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Bachelor of</w:t>
            </w:r>
          </w:p>
        </w:tc>
        <w:tc>
          <w:tcPr>
            <w:tcW w:w="2240" w:type="dxa"/>
            <w:vAlign w:val="bottom"/>
          </w:tcPr>
          <w:p>
            <w:pPr>
              <w:ind w:left="140"/>
              <w:spacing w:after="0"/>
              <w:rPr>
                <w:sz w:val="20"/>
                <w:szCs w:val="20"/>
                <w:color w:val="auto"/>
              </w:rPr>
            </w:pPr>
            <w:r>
              <w:rPr>
                <w:rFonts w:ascii="Arial" w:cs="Arial" w:eastAsia="Arial" w:hAnsi="Arial"/>
                <w:sz w:val="18"/>
                <w:szCs w:val="18"/>
                <w:color w:val="auto"/>
              </w:rPr>
              <w:t>• Athletic Training*</w:t>
            </w:r>
          </w:p>
        </w:tc>
      </w:tr>
      <w:tr>
        <w:trPr>
          <w:trHeight w:val="270"/>
        </w:trPr>
        <w:tc>
          <w:tcPr>
            <w:tcW w:w="1340" w:type="dxa"/>
            <w:vAlign w:val="bottom"/>
          </w:tcPr>
          <w:p>
            <w:pPr>
              <w:spacing w:after="0"/>
              <w:rPr>
                <w:sz w:val="20"/>
                <w:szCs w:val="20"/>
                <w:color w:val="auto"/>
              </w:rPr>
            </w:pPr>
            <w:r>
              <w:rPr>
                <w:rFonts w:ascii="Arial" w:cs="Arial" w:eastAsia="Arial" w:hAnsi="Arial"/>
                <w:sz w:val="18"/>
                <w:szCs w:val="18"/>
                <w:color w:val="auto"/>
              </w:rPr>
              <w:t>Science</w:t>
            </w:r>
          </w:p>
        </w:tc>
        <w:tc>
          <w:tcPr>
            <w:tcW w:w="2240" w:type="dxa"/>
            <w:vAlign w:val="bottom"/>
          </w:tcPr>
          <w:p>
            <w:pPr>
              <w:ind w:left="140"/>
              <w:spacing w:after="0"/>
              <w:rPr>
                <w:sz w:val="20"/>
                <w:szCs w:val="20"/>
                <w:color w:val="auto"/>
              </w:rPr>
            </w:pPr>
            <w:r>
              <w:rPr>
                <w:rFonts w:ascii="Arial" w:cs="Arial" w:eastAsia="Arial" w:hAnsi="Arial"/>
                <w:sz w:val="18"/>
                <w:szCs w:val="18"/>
                <w:color w:val="auto"/>
                <w:w w:val="91"/>
              </w:rPr>
              <w:t>• Health Care Administration</w:t>
            </w:r>
          </w:p>
        </w:tc>
      </w:tr>
    </w:tbl>
    <w:p>
      <w:pPr>
        <w:ind w:left="1660" w:right="720" w:hanging="180"/>
        <w:spacing w:after="0" w:line="250" w:lineRule="auto"/>
        <w:tabs>
          <w:tab w:leader="none" w:pos="1588" w:val="left"/>
        </w:tabs>
        <w:numPr>
          <w:ilvl w:val="1"/>
          <w:numId w:val="9"/>
        </w:numPr>
        <w:rPr>
          <w:rFonts w:ascii="Arial" w:cs="Arial" w:eastAsia="Arial" w:hAnsi="Arial"/>
          <w:sz w:val="18"/>
          <w:szCs w:val="18"/>
          <w:color w:val="auto"/>
        </w:rPr>
      </w:pPr>
      <w:r>
        <w:rPr>
          <w:rFonts w:ascii="Arial" w:cs="Arial" w:eastAsia="Arial" w:hAnsi="Arial"/>
          <w:sz w:val="18"/>
          <w:szCs w:val="18"/>
          <w:color w:val="auto"/>
        </w:rPr>
        <w:t>Health Science: Professional Development and Advanced Patient Care</w:t>
      </w:r>
    </w:p>
    <w:p>
      <w:pPr>
        <w:ind w:left="1580" w:hanging="100"/>
        <w:spacing w:after="0"/>
        <w:tabs>
          <w:tab w:leader="none" w:pos="1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Nursing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program is offered on ground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jc w:val="center"/>
              <w:ind w:left="22"/>
              <w:spacing w:after="0"/>
              <w:rPr>
                <w:sz w:val="20"/>
                <w:szCs w:val="20"/>
                <w:color w:val="auto"/>
              </w:rPr>
            </w:pPr>
            <w:r>
              <w:rPr>
                <w:rFonts w:ascii="Arial" w:cs="Arial" w:eastAsia="Arial" w:hAnsi="Arial"/>
                <w:sz w:val="14"/>
                <w:szCs w:val="14"/>
                <w:b w:val="1"/>
                <w:bCs w:val="1"/>
                <w:color w:val="auto"/>
                <w:w w:val="88"/>
              </w:rPr>
              <w:t>Degree</w:t>
            </w:r>
          </w:p>
        </w:tc>
        <w:tc>
          <w:tcPr>
            <w:tcW w:w="432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4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Program</w:t>
            </w:r>
          </w:p>
        </w:tc>
        <w:tc>
          <w:tcPr>
            <w:tcW w:w="4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College of Theology</w:t>
            </w: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20"/>
                <w:szCs w:val="20"/>
                <w:color w:val="auto"/>
              </w:rPr>
            </w:pPr>
            <w:r>
              <w:rPr>
                <w:rFonts w:ascii="Arial" w:cs="Arial" w:eastAsia="Arial" w:hAnsi="Arial"/>
                <w:sz w:val="18"/>
                <w:szCs w:val="18"/>
                <w:color w:val="auto"/>
              </w:rPr>
              <w:t>Master of Arts</w:t>
            </w:r>
          </w:p>
        </w:tc>
        <w:tc>
          <w:tcPr>
            <w:tcW w:w="4320" w:type="dxa"/>
            <w:vAlign w:val="bottom"/>
          </w:tcPr>
          <w:p>
            <w:pPr>
              <w:ind w:left="220"/>
              <w:spacing w:after="0"/>
              <w:rPr>
                <w:sz w:val="20"/>
                <w:szCs w:val="20"/>
                <w:color w:val="auto"/>
              </w:rPr>
            </w:pPr>
            <w:r>
              <w:rPr>
                <w:rFonts w:ascii="Arial" w:cs="Arial" w:eastAsia="Arial" w:hAnsi="Arial"/>
                <w:sz w:val="18"/>
                <w:szCs w:val="18"/>
                <w:color w:val="auto"/>
              </w:rPr>
              <w:t>• Christian Studies — Christian Leadership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 Christian Studies — Pastoral Ministry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 Christian Studies — Urban Ministry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 Christian Studies — Youth Ministry</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Bachelor of Arts</w:t>
      </w:r>
      <w:r>
        <w:rPr>
          <w:sz w:val="20"/>
          <w:szCs w:val="20"/>
          <w:color w:val="auto"/>
        </w:rPr>
        <w:tab/>
      </w:r>
      <w:r>
        <w:rPr>
          <w:rFonts w:ascii="Arial" w:cs="Arial" w:eastAsia="Arial" w:hAnsi="Arial"/>
          <w:sz w:val="16"/>
          <w:szCs w:val="16"/>
          <w:color w:val="auto"/>
        </w:rPr>
        <w:t>• Christian Studies</w:t>
      </w:r>
    </w:p>
    <w:p>
      <w:pPr>
        <w:spacing w:after="0" w:line="23" w:lineRule="exact"/>
        <w:rPr>
          <w:sz w:val="20"/>
          <w:szCs w:val="20"/>
          <w:color w:val="auto"/>
        </w:rPr>
      </w:pPr>
    </w:p>
    <w:p>
      <w:pPr>
        <w:ind w:left="1580" w:hanging="106"/>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Christian Studies – Biblical Studies</w:t>
      </w:r>
    </w:p>
    <w:p>
      <w:pPr>
        <w:spacing w:after="0" w:line="9" w:lineRule="exact"/>
        <w:rPr>
          <w:rFonts w:ascii="Arial" w:cs="Arial" w:eastAsia="Arial" w:hAnsi="Arial"/>
          <w:sz w:val="18"/>
          <w:szCs w:val="18"/>
          <w:color w:val="auto"/>
        </w:rPr>
      </w:pPr>
    </w:p>
    <w:p>
      <w:pPr>
        <w:ind w:left="1580" w:hanging="106"/>
        <w:spacing w:after="0"/>
        <w:tabs>
          <w:tab w:leader="none" w:pos="1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Christian Studies – Youth Ministry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 Blanchard College of Business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Ken Blanchard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MBA</w:t>
      </w:r>
    </w:p>
    <w:p>
      <w:pPr>
        <w:spacing w:after="0" w:line="14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Master of</w:t>
      </w:r>
      <w:r>
        <w:rPr>
          <w:sz w:val="20"/>
          <w:szCs w:val="20"/>
          <w:color w:val="auto"/>
        </w:rPr>
        <w:tab/>
      </w:r>
      <w:r>
        <w:rPr>
          <w:rFonts w:ascii="Arial" w:cs="Arial" w:eastAsia="Arial" w:hAnsi="Arial"/>
          <w:sz w:val="16"/>
          <w:szCs w:val="16"/>
          <w:color w:val="auto"/>
        </w:rPr>
        <w:t>• Accounting</w:t>
      </w:r>
    </w:p>
    <w:p>
      <w:pPr>
        <w:spacing w:after="0" w:line="2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Business</w:t>
      </w:r>
      <w:r>
        <w:rPr>
          <w:sz w:val="20"/>
          <w:szCs w:val="20"/>
          <w:color w:val="auto"/>
        </w:rPr>
        <w:tab/>
      </w:r>
      <w:r>
        <w:rPr>
          <w:rFonts w:ascii="Arial" w:cs="Arial" w:eastAsia="Arial" w:hAnsi="Arial"/>
          <w:sz w:val="18"/>
          <w:szCs w:val="18"/>
          <w:color w:val="auto"/>
        </w:rPr>
        <w:t>• Finance</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Administration</w:t>
      </w:r>
      <w:r>
        <w:rPr>
          <w:sz w:val="20"/>
          <w:szCs w:val="20"/>
          <w:color w:val="auto"/>
        </w:rPr>
        <w:tab/>
      </w:r>
      <w:r>
        <w:rPr>
          <w:rFonts w:ascii="Arial" w:cs="Arial" w:eastAsia="Arial" w:hAnsi="Arial"/>
          <w:sz w:val="18"/>
          <w:szCs w:val="18"/>
          <w:color w:val="auto"/>
        </w:rPr>
        <w:t>• Health Systems Management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Leadership</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Marketing</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Strategic Human Resources Management</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Master of Public</w:t>
      </w:r>
      <w:r>
        <w:rPr>
          <w:sz w:val="20"/>
          <w:szCs w:val="20"/>
          <w:color w:val="auto"/>
        </w:rPr>
        <w:tab/>
      </w:r>
      <w:r>
        <w:rPr>
          <w:rFonts w:ascii="Arial" w:cs="Arial" w:eastAsia="Arial" w:hAnsi="Arial"/>
          <w:sz w:val="16"/>
          <w:szCs w:val="16"/>
          <w:color w:val="auto"/>
        </w:rPr>
        <w:t>• Government and Policy</w:t>
      </w:r>
    </w:p>
    <w:p>
      <w:pPr>
        <w:spacing w:after="0" w:line="2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Administration</w:t>
      </w:r>
      <w:r>
        <w:rPr>
          <w:sz w:val="20"/>
          <w:szCs w:val="20"/>
          <w:color w:val="auto"/>
        </w:rPr>
        <w:tab/>
      </w:r>
      <w:r>
        <w:rPr>
          <w:rFonts w:ascii="Arial" w:cs="Arial" w:eastAsia="Arial" w:hAnsi="Arial"/>
          <w:sz w:val="18"/>
          <w:szCs w:val="18"/>
          <w:color w:val="auto"/>
        </w:rPr>
        <w:t>• Health Care Management</w:t>
      </w:r>
    </w:p>
    <w:p>
      <w:pPr>
        <w:spacing w:after="0" w:line="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Master of Science</w:t>
      </w:r>
      <w:r>
        <w:rPr>
          <w:sz w:val="20"/>
          <w:szCs w:val="20"/>
          <w:color w:val="auto"/>
        </w:rPr>
        <w:tab/>
      </w:r>
      <w:r>
        <w:rPr>
          <w:rFonts w:ascii="Arial" w:cs="Arial" w:eastAsia="Arial" w:hAnsi="Arial"/>
          <w:sz w:val="16"/>
          <w:szCs w:val="16"/>
          <w:color w:val="auto"/>
        </w:rPr>
        <w:t>• Accounting</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Leadership</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 Leadership — Disaster Preparedness &amp; Executive Fire</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Leadership</w:t>
      </w:r>
    </w:p>
    <w:p>
      <w:pPr>
        <w:spacing w:after="0" w:line="11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Bachelor of</w:t>
      </w:r>
      <w:r>
        <w:rPr>
          <w:sz w:val="20"/>
          <w:szCs w:val="20"/>
          <w:color w:val="auto"/>
        </w:rPr>
        <w:tab/>
      </w:r>
      <w:r>
        <w:rPr>
          <w:rFonts w:ascii="Arial" w:cs="Arial" w:eastAsia="Arial" w:hAnsi="Arial"/>
          <w:sz w:val="16"/>
          <w:szCs w:val="16"/>
          <w:color w:val="auto"/>
        </w:rPr>
        <w:t>• Accounting</w:t>
      </w:r>
    </w:p>
    <w:p>
      <w:pPr>
        <w:spacing w:after="0" w:line="2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Science</w:t>
      </w:r>
      <w:r>
        <w:rPr>
          <w:sz w:val="20"/>
          <w:szCs w:val="20"/>
          <w:color w:val="auto"/>
        </w:rPr>
        <w:tab/>
      </w:r>
      <w:r>
        <w:rPr>
          <w:rFonts w:ascii="Arial" w:cs="Arial" w:eastAsia="Arial" w:hAnsi="Arial"/>
          <w:sz w:val="18"/>
          <w:szCs w:val="18"/>
          <w:color w:val="auto"/>
        </w:rPr>
        <w:t>• Applied Management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Business Administration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Business Administration – Business Intelligence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Business Management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Entrepreneurial Studies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Finance and Economics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Marketing</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Public Safety and Emergency Management</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Public Safety Administration</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Sports Management</w:t>
      </w:r>
    </w:p>
    <w:p>
      <w:pPr>
        <w:spacing w:after="0" w:line="604" w:lineRule="exact"/>
        <w:rPr>
          <w:sz w:val="20"/>
          <w:szCs w:val="20"/>
          <w:color w:val="auto"/>
        </w:rPr>
      </w:pPr>
    </w:p>
    <w:p>
      <w:pPr>
        <w:sectPr>
          <w:pgSz w:w="11900" w:h="16838" w:orient="portrait"/>
          <w:cols w:equalWidth="0" w:num="2">
            <w:col w:w="5700" w:space="140"/>
            <w:col w:w="5580"/>
          </w:cols>
          <w:pgMar w:left="240" w:top="459" w:right="239" w:bottom="1440" w:gutter="0" w:footer="0" w:header="0"/>
          <w:type w:val="continuous"/>
        </w:sectPr>
      </w:pPr>
    </w:p>
    <w:p>
      <w:pPr>
        <w:spacing w:after="0" w:line="2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have established relationships with community colleges, health-care systems, school districts, and other employers through which we offer programs onsite to provide flexibility and convenience to students and their employers. For example, for our nursing programs, we offer clinical courses onsite at hospitals and other health-care centers with which we have partnerships, and also arrange to allow these students to complete their clinical work onsite.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currently offer our ground-based programs to traditional students through three 15-week semesters in a calendar year and to online students in five, seven or eight week courses throughout the calendar year. Traditional students generally enroll in three or four courses per semester while online students typically concentrate on one course at a time. We require our online students to be actively engaged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investigate market demand and review proposals developed by faculty, staff, students, alumni, or partners to aid us in the identification of potentially new degree programs or emphasis areas. We then perform an analysis of the consistency of the proposed program or emphasis with our mission, long-term demand, and development costs. If, following this analysis, the University Development Committee decides to proceed with a new program, our college faculty and administrators approve subject-matter experts with whom our Curriculum Design and Development Team members, including instructional designers, curriculum developers, librarians, and editors, work to design the program competencies so that it is consistent with our academically rigorous, professionally oriented program standards. The program is then reviewed by the dean of the applicable college, the Program Standards and Evaluation Committee, the Academic Affairs Committee, and finally, our Provost and Chief Academic Officer. Upon accreditation and regulatory approval, the subject matter experts develop course syllabi,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Office of Assessment serves as our central resource for measuring learning outcomes and student satisfaction and driving systematically engineered and data-driven continuous-improvement cycles for updating our curricula.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faculty includes full-time faculty and adjunct faculty whom we employ to teach on a course-by-course basis for a specified fee. During our Fall 2013 semester, 56.0% of the seats on our ground traditional campus were taught by full-time faculty with the remaining seats taught by adjunct faculty. In the fourth quarter of 2012, 23.2% of our students in online classes were taught by full-time faculty. This increased to 31.0% in the fourth quarter of 2013. The remaining courses are primarily taught by adjunct faculty. Our current faculty members hold at least a master’s degree in their respective fields and approximately 36% of our teaching faculty hold doctorate degrees.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Support Services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the success of our business. We focus on developing and providing resources that simplify the student enrollment process, acclimate students to our programs and our online environment, support the student educational experience,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73"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 for Learning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Advancement offers research services, writing services, and other tutoring services.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apply for financial aid, pay their tuition, order their transcripts online, and apply for graduation. We believe this online accessibility provides the convenience and self-service capabilities that our students value. Our student services advisors provide personalized online and telephonic support to our students.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the requirements set by relevant accrediting bodies for us to offer undergraduate, master’s, and doctoral programs.</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 support, including resume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18 hours per day during the week and 17 hours per day on weekends to help our</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remedy technology-related issues. We also provide online tutorials and “Frequently Asked Questions” for students who are new to online coursework.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Admissions and Retention</w:t>
      </w:r>
    </w:p>
    <w:p>
      <w:pPr>
        <w:spacing w:after="0" w:line="121"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professionally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our leased facilities or at their employer’s facility. In marketing our programs to prospective students, we emphasize the value of the educational experience and the academic rigor and professional relevancy of the programs, as well as the cost of the program. We believe this approach reinforces the qualities that we want associated with our brand and also attracts students who tend to be more persistent in starting and finishing their programs.</w:t>
      </w:r>
    </w:p>
    <w:p>
      <w:pPr>
        <w:spacing w:after="0" w:line="17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Recruitment. </w:t>
      </w:r>
      <w:r>
        <w:rPr>
          <w:rFonts w:ascii="Arial" w:cs="Arial" w:eastAsia="Arial" w:hAnsi="Arial"/>
          <w:sz w:val="18"/>
          <w:szCs w:val="18"/>
          <w:color w:val="auto"/>
        </w:rPr>
        <w:t>Once a prospective student has indicated an interest in enrolling in one of our programs, our lead management system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directs an admissions advisor to initiate immediate communication. The admissions advisor serves as the primary, direct contact for the prospective student and the advisor’s goal is to help that individual gain sufficient knowledge and understanding of our programs so that he or she can assess whether there is a good match between our offerings and the prospective student’s goals. Upon the prospective student’s submission of an application, the admissions advisor, together with our student services personnel, works with the applicant to gain acceptance, arrange financial aid, if needed, register for courses, and prepare for matriculation.</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Admissions. </w:t>
      </w:r>
      <w:r>
        <w:rPr>
          <w:rFonts w:ascii="Arial" w:cs="Arial" w:eastAsia="Arial" w:hAnsi="Arial"/>
          <w:sz w:val="17"/>
          <w:szCs w:val="17"/>
          <w:color w:val="auto"/>
        </w:rPr>
        <w:t>Admission to Grand Canyon University is available to qualified students who are at least 16 years of age. Undergraduate applicants may</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in various ways, including by having a high school diploma, certain minimum grade point average levels, a composite score of 920 or above (1,600 point scale) or 1,380 or above (2,400 point scale) on the Scholastic Aptitude Test, a composite score of 19 or greater on the ACT test, or a passing cumulative score of 2,750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an accredited college, university, or program. In addition, some students who do not meet the qualifications for admission may be accepted with specification.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8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recruitment and enhanced student services results in increased retention due to our systematic approach to contacting students at key milestones during their enrollment, providing encouragement and highlighting their achievements. Our student services advisors proactively assist each student with the student’s selection of an appropriate payment option, and monitor the student’s progress and account balance to ensure a smooth financial aid experience and to help ensure our students are well prepared for the financial obligations they incur. These advisors also assist students with their academic schedules and regularly monitor “triggering events,” such as the failure to participate in the classroom or failure to matriculate in a timely manner, which signal that a student may be at-risk for dropping out. Upon identifying an at-risk student, these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student services advisors and students are a key component to our retention strategy.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At December 31, 2013, we had 59,658 students enrolled in our courses, of which 49,580, or 83.1%, were enrolled in our online programs, and 10,078, or 16.9%, were enrolled in our ground programs. Of our students in online programs, which were geographically distributed throughout all 50 states of the United States, and Canada, and in professional studies programs, 87.8% were age 25 or older. Of our traditional on-campus students, 88.5% were under age 25 and, although we draw students from throughout the United States, a majority were from Arizona.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following is a summary of our student enrollment at December 31, 2013 and December 31, 2012 by degree type and by instructional delivery method: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December 31, 2013</w:t>
            </w:r>
            <w:r>
              <w:rPr>
                <w:rFonts w:ascii="Arial" w:cs="Arial" w:eastAsia="Arial" w:hAnsi="Arial"/>
                <w:sz w:val="12"/>
                <w:szCs w:val="12"/>
                <w:b w:val="1"/>
                <w:bCs w:val="1"/>
                <w:color w:val="auto"/>
              </w:rPr>
              <w:t>(1)</w:t>
            </w: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2012</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Graduate degree </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37,182</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62.3%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32,897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52,292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December 31, 2013</w:t>
            </w:r>
            <w:r>
              <w:rPr>
                <w:rFonts w:ascii="Arial" w:cs="Arial" w:eastAsia="Arial" w:hAnsi="Arial"/>
                <w:sz w:val="12"/>
                <w:szCs w:val="12"/>
                <w:b w:val="1"/>
                <w:bCs w:val="1"/>
                <w:color w:val="auto"/>
              </w:rPr>
              <w:t>(1)</w:t>
            </w: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2012</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10,078</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16.9%</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7,602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52,292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88"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Enrollment at December 31, 2013 and 2012 represents individual students who attended a course during the last two months of the calendar quarter. Included in enrollment at December 31, 2013 and 2012 are students pursuing non-degree certificates of 487 and 440, respectively. The December 31, 2012 amount also included 229 high school dual credit students. We are no longer including these students in our enrollment.</w:t>
      </w: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4,285 and 3,065 students pursuing doctoral degrees at December 31, 2013 and 2012, respectively.</w:t>
      </w:r>
    </w:p>
    <w:p>
      <w:pPr>
        <w:spacing w:after="0" w:line="9" w:lineRule="exact"/>
        <w:rPr>
          <w:rFonts w:ascii="Arial" w:cs="Arial" w:eastAsia="Arial" w:hAnsi="Arial"/>
          <w:sz w:val="15"/>
          <w:szCs w:val="15"/>
          <w:color w:val="auto"/>
        </w:rPr>
      </w:pPr>
    </w:p>
    <w:p>
      <w:pPr>
        <w:ind w:left="460" w:right="440" w:hanging="452"/>
        <w:spacing w:after="0" w:line="25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of December 31, 2013 and 2012, 43.5% and 41.9%, respectively, of our working adult students (online and professional studies students) were pursuing graduate or doctoral degrees.</w:t>
      </w: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12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For the 2012-13 and 2013-14 academic years (the academic year begins in May), our prices per credit hour range from $350 to $465 for undergraduate online and professional studies courses, $495 to $600 for graduate online courses, $630 for doctoral online programs, and $688 for undergraduate courses for ground students. For our active duty military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w:t>
      </w:r>
    </w:p>
    <w:p>
      <w:pPr>
        <w:spacing w:after="0" w:line="5" w:lineRule="exact"/>
        <w:rPr>
          <w:sz w:val="20"/>
          <w:szCs w:val="20"/>
          <w:color w:val="auto"/>
        </w:rPr>
      </w:pPr>
    </w:p>
    <w:p>
      <w:pPr>
        <w:jc w:val="both"/>
        <w:ind w:right="20" w:firstLine="8"/>
        <w:spacing w:after="0" w:line="255" w:lineRule="auto"/>
        <w:tabs>
          <w:tab w:leader="none" w:pos="2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19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$17,340 and $24,480 for an online master’s program, between $42,000 and $55,800 for a full four-year online bachelor’s program, $37,800 and $39,700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example, the average student on our ground traditional campus will pay less than $8,000 in tuition in the 2013-14 school year after scholarships. Thus, based on the number of transfer credits and the scholarships they receive it is likely that a student will pay less than $30,000 in tuition for a bachelor’s degree on our ground campus. For the years ended December 31, 2013, 2012 and 2011, our revenue was reduced by approximately $111.8 million, $94.3 million and $73.6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8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working adult modality, generally if a student drops or withdraws from a course before the course begins,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All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15-week courses, generally if a student withdraws before the course begins,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but all fees are non-refundable. If a student drops during the third week of a course, 50% of the tuition charges are refunded and during or after the fourth week, there are no refunds for tuition charges.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ectPr>
          <w:pgSz w:w="11900" w:h="16838" w:orient="portrait"/>
          <w:cols w:equalWidth="0" w:num="1">
            <w:col w:w="11400"/>
          </w:cols>
          <w:pgMar w:left="240" w:top="459" w:right="259" w:bottom="144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fiscal 2013 and 2012, we derived approximately 78.5% and 80.3%, respectively, of our net revenues (calculated on a cash basis in accordance with Department of Education standards currently in effect) from tuition financed under the Title IV programs. The primary Title IV programs that our students receive funding from are the Federal Direct Loan program or FDL Program, and the Federal Pell Grant, or Pell, Program.</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Student loans administered through the FDL Program are currently the most significant source of U.S. federal student aid. There are two types of federal student loans: subsidized loans, which are based on the U.S. federal statutory calculation of student need, and unsubsidized loans, which are not need-based. Neither type of student loan is based on creditworthiness although annual and aggregate loan limits apply based on a student’s grade level. Students are not responsible for interest on subsidized loans while the student is enrolled in school. However, the interest subsidy has been temporarily eliminated for those students who received a direct Stafford loan with a first disbursement made on or after July 1, 2012 and before July 1, 2014.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2013, federal student loans (both subsidized and unsubsidized) represented approximately 84.6% of the gross Title IV funds that we received.</w:t>
      </w:r>
    </w:p>
    <w:p>
      <w:pPr>
        <w:spacing w:after="0" w:line="182"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Grants under the Pell Program (Pell Grants) are awarded based on need and only to undergraduate students who have not earned a bachelor’s or professional degree. Unlike loans, Pell Grants are not repayable. During fiscal year 2013, Pell Grants represented approximately 14.4% of the gross Title IV funds that we received. For the 2012-2013 award year, the maximum amount available under Pell Grants was maintained but the maximum income that makes an applicant for Title IV Program funds eligible for an automatic zero Expected Family Contribution was reduced from $32,000 to $23,000. For the 2013-14 award year, the maximum amount available under Pell Grants was minimally increased and the maximum income that makes an applicant for Title IV Program funds eligible for an automatic zero Expected Family Contribution increased from $23,000 to $24,000.</w:t>
      </w:r>
    </w:p>
    <w:p>
      <w:pPr>
        <w:spacing w:after="0" w:line="16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and the Teacher Education Assistance for College and Higher Education Grant Program.</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or receive support from other governmental sources. These include veterans educational benefits administered by the U.S. Department of Veterans Affairs and state financial aid programs. During fiscal 2013 and 2012, we derived an immaterial amount of our net revenue from tuition financed by such programs.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 of different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private loans at current market interest rates. Private loans are intended to fund a portion of students’ cost of education not covered by the Title IV programs and other financial aid. During fiscal 2013 and 2012, payments derived from private loans constituted less than 1% of our net revenues for each year,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 reimbursements.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Systems and Management</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we have established secure, reliable, scalable technology systems that provide a high quality online educational environment and that give us the capability to substantially grow our online and traditional programs and enrollment.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Online course delivery and management</w:t>
      </w:r>
      <w:r>
        <w:rPr>
          <w:rFonts w:ascii="Arial" w:cs="Arial" w:eastAsia="Arial" w:hAnsi="Arial"/>
          <w:sz w:val="18"/>
          <w:szCs w:val="18"/>
          <w:color w:val="auto"/>
        </w:rPr>
        <w:t>. In 2010, we entered into an agreement with an affiliated entity to develop a new learning management system</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use. Through this agreement, we prepaid perpetual license fees, acquired source code rights for the software developed, and prepaid maintenance and service fees for the first seven years of use, for an aggregate amount of $4.9 million. Through our modular implementation of this platform, called LoudCloud, we have a platform that can scale to support our growing student population. The platform provides in depth analytics that allows us to closely monitor student success and the quality of our instructional resources. All ground and online students receive online course delivery and resources through this learning management platform, called LoudCloud.</w:t>
      </w:r>
    </w:p>
    <w:p>
      <w:pPr>
        <w:spacing w:after="0" w:line="19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software package to distribute, manage, track, and report on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uses fully redundant SONET ring technology to ensure maximum uptime, bandwidth capacity and network performance while allowing the flexibility needed to bring on additional data centers and remote sites as needed. Student access is load balanced for maximum performance. Real-time monitoring provides current system status across server, network, and storage components.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own our ground campus, which is located on approximately 133 acres in the center of the Phoenix, Arizona metropolitan area, near downtown Phoenix. Our on-campus facilities currently consist of 5 classroom buildings, four lecture halls, a 300-seat theater, a newly renovated library, a media arts complex that provides communications students with audio and video equipment, a 55,000 square foot recreation center for both student-athletes and on-campus students, a 140,000 square foot/ 5,000 seat basketball and entertainment arena, a gymnasium, an activity center that contains a food court, a bowling alley and other student services, a student union which was recently remodeled and expanded, seven dormitories, apartments, two campus pools, athletic facilities and a parking garage with 1,629 parking spaces. Additionally, we have several office buildings used for administration, including a renovated office complex adjacent to our campus and in 2013 we completed the refurbishment of a building located less than two miles from our Phoenix, Arizona campus that is being used as office space for our employees. In 2013, in order to accommodate the continued growth of our traditional ground population, we started construction on an additional classroom building and a 1,000 bed apartment dormitory.</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22 intercollegiate athletic teams that currently compete in Division I of the National Collegiate Athletic Association (“NCAA”). Our athletic facilities include the University Arena (a 5,000 seat venue for all men’s and women’s basketball games plus select other GCU athletic competitions, concerts, speakers and other events), and a competition/practice gymnasium, which accommodates basketball, volleyball, and wrestling competitive events. In addition, the University’s 55,000 square foot student recreation center has state of the art training facilities for our 400 student-athletes plus practice space and locker rooms for men’s and women’s basketball and wrestling. Our baseball, softball, track and field and soccer programs utilize on-campus practice and competition sites. Golf, tennis, cross-country and swimming programs utilize off-campus sites for practice and competition. The University won the 2012-13 and 2011-12 Learfield Sports Directors Cup as the top overall NCAA Division II intercollegiate athletic program based on the combined success in all of the sports in which we competed. We advanced 16 of 22 programs into NCAA Championship competition and gained top 10 finishes in nine separate sports. In November 2012, we accepted an invitation to be a member of the NCAA Division I Western Athletic Conference beginning with the 2013-14 academic year and in September 2013 we began playing full Division I schedules. Our home men’s basketball games are televised locally and we have averaged over 4,000 fans at these games which is the second highest average attendance in our conference.</w:t>
      </w:r>
    </w:p>
    <w:p>
      <w:pPr>
        <w:spacing w:after="0" w:line="183" w:lineRule="exact"/>
        <w:rPr>
          <w:sz w:val="20"/>
          <w:szCs w:val="20"/>
          <w:color w:val="auto"/>
        </w:rPr>
      </w:pPr>
    </w:p>
    <w:p>
      <w:pPr>
        <w:jc w:val="both"/>
        <w:ind w:right="180" w:firstLine="456"/>
        <w:spacing w:after="0" w:line="276" w:lineRule="auto"/>
        <w:rPr>
          <w:sz w:val="20"/>
          <w:szCs w:val="20"/>
          <w:color w:val="auto"/>
        </w:rPr>
      </w:pPr>
      <w:r>
        <w:rPr>
          <w:rFonts w:ascii="Arial" w:cs="Arial" w:eastAsia="Arial" w:hAnsi="Arial"/>
          <w:sz w:val="17"/>
          <w:szCs w:val="17"/>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the mix of our online program with our traditional ground-based program with a greater than 60-year history and heritage differentiates us from other for-profit postsecondary education providers.</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continue to expand the size and enhance the profile and reputation of our ground campus by, among other things, adding faculty, excelling in the performance areas such as athletics, theatre, music and dance, expanding upon our campus infrastructure and technological capabilities, developing our campus in Mesa, Arizona, and potentially adding additional locations in the Southwest United States. These activities will require significant capital expenditures.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to our faculty, as of December 31, 2013, we employed approximately 3,100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Our ground program also competes with geographically proximate universities with similar religious heritages, including Azusa Pacific University, Baylor University, and Pepperdine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w:t>
      </w:r>
    </w:p>
    <w:p>
      <w:pPr>
        <w:spacing w:after="0" w:line="17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professionally relevant and accredited program offerings;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types of degrees offered and the marketability of those degrees;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of the ground campus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own or are licensed to use various intellectual property rights, including copyrights, trademarks, service marks, trade secrets and domain names. We license the right to utilize the name of Ken Blanchard in connection with our business school and Executive MBA programs and the name of Jerry Colangelo in connection with our Colangelo School of Sports Business that we operate within the business school, and we have spent significant resources in related branding efforts. The license agreement with Ken Blanchard has a current term that expires on December 31, 2016 while the license agreement with Jerry Colangelo has a minimum term that runs through June 30, 2016. While such intellectual property rights are important to us, we do not believe that the loss of any individual property right or group of related rights would have a material adverse effect on our overall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athletics and financial condition.</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Risk Officer, Vice President of Academic Affairs and General Counsel also provide oversight designed to ensure that we meet the requirements of our regulated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2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19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These state efforts were bolstered in 2010 by Department of Education regulation that required distance education programs to obtain permission to operate in every state in which they enroll at least one student. However, the U.S. Court of Appeals for the District of Columbia upheld a U.S. District Court ruling that vacated the requirement on procedural grounds and, in July 2012, the Department of Education announced that it would no longer enforce applicable state law requirements, although educational institutions will still need permission to operate in their home states and have to comply with state laws on authorization. See “Regulation of Federal Student Financial Aid Programs — State authorization.” State regulatory requirements for online education vary among the states, are not well developed in many states, are imprecise or unclear in some states, and can change frequently.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applicable state education agency in those states and we have obtained such licensure or authorization.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2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52" w:lineRule="exact"/>
        <w:rPr>
          <w:sz w:val="20"/>
          <w:szCs w:val="20"/>
          <w:color w:val="auto"/>
        </w:rPr>
      </w:pPr>
    </w:p>
    <w:p>
      <w:pPr>
        <w:ind w:left="1480" w:right="86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7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Care Professions is approved by the Arizona State Board of Nursing for the Bachelor of Science in Nursing and Master of Science in Nursing degrees.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been continuously accredited since 1968 by the Higher Learning Commission and its predecessor, each a regional accrediting commission recognized by the Department of Education. Our accreditation was reaffirmed in 2007 for a ten-year period,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93"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institutionally accredited by the Higher Learning Commission, we also have the following specialized accreditations:</w:t>
      </w:r>
    </w:p>
    <w:p>
      <w:pPr>
        <w:spacing w:after="0" w:line="77" w:lineRule="exact"/>
        <w:rPr>
          <w:sz w:val="20"/>
          <w:szCs w:val="20"/>
          <w:color w:val="auto"/>
        </w:rPr>
      </w:pPr>
    </w:p>
    <w:p>
      <w:pPr>
        <w:ind w:left="1480" w:right="420" w:hanging="446"/>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Accreditation Council for Business Schools and Programs accredits our Executive Master of Business Administration degree program, Master of Business Administration degree program and our Bachelor of Science degree programs in Accounting, Business Administration, Marketing, Sports Management and Entrepreneurship;</w:t>
      </w:r>
    </w:p>
    <w:p>
      <w:pPr>
        <w:spacing w:after="0" w:line="86"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in Nursing degree programs;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22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Regulatory changes. </w:t>
      </w:r>
      <w:r>
        <w:rPr>
          <w:rFonts w:ascii="Arial" w:cs="Arial" w:eastAsia="Arial" w:hAnsi="Arial"/>
          <w:sz w:val="18"/>
          <w:szCs w:val="18"/>
          <w:color w:val="auto"/>
        </w:rPr>
        <w:t>In October 2010 and June 2011, the U.S. Department of Education promulgated new rules related to Title IV program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issues. The most significant of these rules for our business are the following:</w:t>
      </w:r>
    </w:p>
    <w:p>
      <w:pPr>
        <w:spacing w:after="0" w:line="76" w:lineRule="exact"/>
        <w:rPr>
          <w:sz w:val="20"/>
          <w:szCs w:val="20"/>
          <w:color w:val="auto"/>
        </w:rPr>
      </w:pPr>
    </w:p>
    <w:p>
      <w:pPr>
        <w:ind w:left="1480" w:right="66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Modification of the standards relating to the prohibition on payment of incentive compensation to employees involved in student recruitment and enrollment;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standards for state authorization of institutions of higher education;</w:t>
      </w:r>
    </w:p>
    <w:p>
      <w:pPr>
        <w:spacing w:after="0" w:line="130" w:lineRule="exact"/>
        <w:rPr>
          <w:rFonts w:ascii="Arial" w:cs="Arial" w:eastAsia="Arial" w:hAnsi="Arial"/>
          <w:sz w:val="18"/>
          <w:szCs w:val="18"/>
          <w:color w:val="auto"/>
        </w:rPr>
      </w:pPr>
    </w:p>
    <w:p>
      <w:pPr>
        <w:ind w:left="1480" w:right="420" w:hanging="446"/>
        <w:spacing w:after="0" w:line="308" w:lineRule="auto"/>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Adoption of a definition of “gainful employment” for purposes of the requirement of Title IV student financial aid that a program of study offered by a proprietary institution prepare students for gainful employment in a recognized occupation; and</w:t>
      </w:r>
    </w:p>
    <w:p>
      <w:pPr>
        <w:spacing w:after="0" w:line="51" w:lineRule="exact"/>
        <w:rPr>
          <w:rFonts w:ascii="Arial" w:cs="Arial" w:eastAsia="Arial" w:hAnsi="Arial"/>
          <w:sz w:val="17"/>
          <w:szCs w:val="17"/>
          <w:color w:val="auto"/>
        </w:rPr>
      </w:pPr>
    </w:p>
    <w:p>
      <w:pPr>
        <w:ind w:left="1480" w:right="160" w:hanging="446"/>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definition of misrepresentation, relating to the Department’s authority to suspend or terminate an institution’s participation in Title IV programs if the institution engages in substantial misrepresentation about the nature of its educational program, its financial charges, or the employability of its graduates, and expansion of the sanctions that the Department may impose for engaging in a substantial misrepresentation.</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Most of the rules were effective in July 2011. In June 2012, however, the U.S. Court of Appeals for the District of Columbia upheld a U.S. District Court’s ruling vacating the rules requiring state authorization of distance education programs where an institution does not have a physical presence in a state, and also precluded enforcement by the Secretary of Education of violations of the expanded rules regarding misrepresentation. The rules regarding the metrics for determining whether an academic program prepares students for gainful employment were also vacated by the U.S. District Court for the District of Columbia in June 2012, as discussed further below.</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8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Since 2004, we had been certified on a provisional basis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166"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29"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30" w:lineRule="exact"/>
        <w:rPr>
          <w:rFonts w:ascii="Arial" w:cs="Arial" w:eastAsia="Arial" w:hAnsi="Arial"/>
          <w:sz w:val="18"/>
          <w:szCs w:val="18"/>
          <w:color w:val="auto"/>
        </w:rPr>
      </w:pPr>
    </w:p>
    <w:p>
      <w:pPr>
        <w:ind w:left="1480" w:right="300" w:hanging="446"/>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31"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3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 of financial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99"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Department of Education oversight. Our composite scores for our fiscal years ended December 31, 2012, 2011 and 2010 were 2.9, 2.2 and 2.5, respectively, and, therefore, we are considered financially responsible for purposes of these regulations. We have not yet submitted our consolidated financial statements to the Department of Education for our 2013 fiscal year, but have calculated that our composite score for the 2013 fiscal year will be 3.0. We have modeled our composite score for future years using, among other estimates, our estimated ground campus capital expenditures and believe that our composite score will remain at a financially responsible level for the foreseeable future.</w:t>
      </w:r>
    </w:p>
    <w:p>
      <w:pPr>
        <w:spacing w:after="0" w:line="18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w:t>
      </w:r>
      <w:r>
        <w:rPr>
          <w:rFonts w:ascii="Arial" w:cs="Arial" w:eastAsia="Arial" w:hAnsi="Arial"/>
          <w:sz w:val="16"/>
          <w:szCs w:val="16"/>
          <w:i w:val="1"/>
          <w:iCs w:val="1"/>
          <w:color w:val="auto"/>
        </w:rPr>
        <w:t xml:space="preserve"> </w:t>
      </w:r>
      <w:r>
        <w:rPr>
          <w:rFonts w:ascii="Arial" w:cs="Arial" w:eastAsia="Arial" w:hAnsi="Arial"/>
          <w:sz w:val="16"/>
          <w:szCs w:val="16"/>
          <w:color w:val="auto"/>
        </w:rPr>
        <w:t>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2012 (the most recent year for which we have completed a Title IV compliance audit), 2011 or 2010.</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A requirement of the Higher Education Act, commonly referred to as the “90/10 Rule,” that is applicable only to for-profit,</w:t>
      </w:r>
      <w:r>
        <w:rPr>
          <w:rFonts w:ascii="Arial" w:cs="Arial" w:eastAsia="Arial" w:hAnsi="Arial"/>
          <w:sz w:val="18"/>
          <w:szCs w:val="18"/>
          <w:i w:val="1"/>
          <w:iCs w:val="1"/>
          <w:color w:val="auto"/>
        </w:rPr>
        <w:t xml:space="preserve"> </w:t>
      </w:r>
      <w:r>
        <w:rPr>
          <w:rFonts w:ascii="Arial" w:cs="Arial" w:eastAsia="Arial" w:hAnsi="Arial"/>
          <w:sz w:val="18"/>
          <w:szCs w:val="18"/>
          <w:color w:val="auto"/>
        </w:rPr>
        <w:t>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9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2013, 2012, and 2011 fiscal years, we derived approximately 78.5%, 80.3%, and 80.2%, respectively, of our 90/10 Rule revenue from Title IV program funds.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to continue to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 xml:space="preserve">Student loan defaults. </w:t>
      </w:r>
      <w:r>
        <w:rPr>
          <w:rFonts w:ascii="Arial" w:cs="Arial" w:eastAsia="Arial" w:hAnsi="Arial"/>
          <w:sz w:val="17"/>
          <w:szCs w:val="17"/>
          <w:color w:val="auto"/>
        </w:rPr>
        <w:t>Under the Higher Education Act, an educational institution may lose its eligibility to participate in some or all of the Title IV</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if defaults by its students on the repayment of their federal student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a change which would be expected to increase cohort default rates for most if not all institutions. The Department of Education issued a final regulation indicating that it would implement this extended measurement period for the cohort default rates calculated for loans entering repayment in federal fiscal year 2009, which is the year that ended on September 30, 2009. The Department of Education included a transition period of three years during which it calculated two cohort default rates for each institution for each of federal fiscal years 2009, 2010 and 2011, with one such rate measured under the two-year method and the other such rate measured under the three-year method.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Department of Education applied different legal thresholds to measure an institution’s compliance under each set of rates. If the Department of Education notifies an institution that its cohort default rates exceeded 25%, as calculated under the two-year method, for each of its three most recent federal fiscal years, or exceeded 30%, as calculated under the three-year method,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Our cohort default rates, under the two-year method, on federal student loans for the 2011, 2010, and 2009 federal fiscal years, the three most recent years for which such rates have been calculated, were 12.5%, 12.0%, and 9.2%, respectively. Our cohort default rates, under the three-year method, on federal student loans for the 2010 and 2009 federal fiscal years the only years for which such rates have been calculated, were 19.5% and 15.1%, respectively.</w:t>
      </w:r>
    </w:p>
    <w:p>
      <w:pPr>
        <w:spacing w:after="0" w:line="14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 other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Under new rules effective July 1, 2011, the 12 safe harbors were eliminated. The restrictions of the incentive compensation rule, which extend to any third-party companies that an educational institution contracts with for student recruitment, admissions, or financial aid awarding services, increase the uncertainty about what constitutes incentive compensation and which employees are covered by the regulation. This makes the development of effective and compliant performance metrics more difficult to establish. As such, these changes limit our ability to compensate our employees based on their performance of their job responsibilities, which could make it more difficult to attract and retain highly-qualified employees.</w:t>
      </w:r>
    </w:p>
    <w:p>
      <w:pPr>
        <w:spacing w:after="0" w:line="19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in July 2010 and reviewed, and in some cases requested further information regarding, our records, practices and policies relating to, among other things, financial aid, enrollment, enrollment counselor compensation, program eligibility and other Title IV compliance matters.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related to allegedly: improper payment of incentive compensation to enrollment counselors, offering an ineligible program, and improper procedures related to conducting financial aid returns for students with non-passing grades. On September 27, 2013, the University and the Department of Education entered into an agreement that fully resolved the findings in the preliminary program review report and closed the program review. See “Management’s Discussion and Analysis of Financial Condition and Results of Operations.”</w:t>
      </w:r>
    </w:p>
    <w:p>
      <w:pPr>
        <w:spacing w:after="0" w:line="18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Privacy of student records. </w:t>
      </w:r>
      <w:r>
        <w:rPr>
          <w:rFonts w:ascii="Arial" w:cs="Arial" w:eastAsia="Arial" w:hAnsi="Arial"/>
          <w:sz w:val="17"/>
          <w:szCs w:val="17"/>
          <w:color w:val="auto"/>
        </w:rPr>
        <w:t>The Family Educational Rights and Privacy Act of 1974, or FERPA, and the Department of Education’s FERPA regulations,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Potential effect of regulatory violations. </w:t>
      </w:r>
      <w:r>
        <w:rPr>
          <w:rFonts w:ascii="Arial" w:cs="Arial" w:eastAsia="Arial" w:hAnsi="Arial"/>
          <w:sz w:val="16"/>
          <w:szCs w:val="16"/>
          <w:color w:val="auto"/>
        </w:rPr>
        <w:t>If we fail to comply with the regulatory standards governing the Title IV programs,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6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17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State authorization. </w:t>
      </w:r>
      <w:r>
        <w:rPr>
          <w:rFonts w:ascii="Arial" w:cs="Arial" w:eastAsia="Arial" w:hAnsi="Arial"/>
          <w:sz w:val="18"/>
          <w:szCs w:val="18"/>
          <w:color w:val="auto"/>
        </w:rPr>
        <w:t>States have the authority to assert jurisdiction, to the extent they so choose, over educational institutions offering online degree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 a state but that otherwise have no physical location or other presence in that state. On November 20, 2013, the Department of Education announced its intent to establish a negotiated rulemaking committee that will address state authorization of distance and correspondence learning programs, as well as authorization of foreign locations of institutions located in a State. The negotiated rulemaking process is expected to produce new regulations which will be published this fall and may be effective as soon as July 1, 2015.</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Approval of new programs. </w:t>
      </w:r>
      <w:r>
        <w:rPr>
          <w:rFonts w:ascii="Arial" w:cs="Arial" w:eastAsia="Arial" w:hAnsi="Arial"/>
          <w:sz w:val="18"/>
          <w:szCs w:val="18"/>
          <w:color w:val="auto"/>
        </w:rPr>
        <w:t>Department of Education rules effective July 1, 2011 imposed various requirements on an institution’s ability to add new</w:t>
      </w:r>
      <w:r>
        <w:rPr>
          <w:rFonts w:ascii="Arial" w:cs="Arial" w:eastAsia="Arial" w:hAnsi="Arial"/>
          <w:sz w:val="18"/>
          <w:szCs w:val="18"/>
          <w:i w:val="1"/>
          <w:iCs w:val="1"/>
          <w:color w:val="auto"/>
        </w:rPr>
        <w:t xml:space="preserve"> </w:t>
      </w:r>
      <w:r>
        <w:rPr>
          <w:rFonts w:ascii="Arial" w:cs="Arial" w:eastAsia="Arial" w:hAnsi="Arial"/>
          <w:sz w:val="18"/>
          <w:szCs w:val="18"/>
          <w:color w:val="auto"/>
        </w:rPr>
        <w:t>academic programs without prior approval of the Department of Education. While the U.S. District Court for the District of Columbia subsequently invalidated this requirement, we believe there remains some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Gainful employment rules. </w:t>
      </w:r>
      <w:r>
        <w:rPr>
          <w:rFonts w:ascii="Arial" w:cs="Arial" w:eastAsia="Arial" w:hAnsi="Arial"/>
          <w:sz w:val="18"/>
          <w:szCs w:val="18"/>
          <w:color w:val="auto"/>
        </w:rPr>
        <w:t>Under the Higher Education Act, proprietary schools are eligible to participate in Title IV programs in respect of educational</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that lead to “gainful employment in a recognized occupation,” with the limited exception of qualified programs leading to a bachelor’s degree in liberal arts. Historically, this concept has not been defined in detail. On December 13, 2013, the Department completed a series of negotiated rulemaking sessions through which it is seeking to adopt rules that will define this concept through application of debt-to-income tests and program level default rates, among other items.</w:t>
      </w:r>
    </w:p>
    <w:p>
      <w:pPr>
        <w:spacing w:after="0" w:line="188"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If rules regarding gainful employment metrics are promulgated by the Department, the continuing eligibility of our educational programs for Title IV funding would be at risk due to factors beyond our control, such as changes in the actual or deemed income level of our graduates, changes in student borrowing levels, increases in interest rates, changes in the federal poverty income level relevant for calculating discretionary income, s, and other factors. The exposure to these external factors could reduce our ability to confidently offer or continue certain types of programs for which there is market demand, and therefore would impact our ability to maintain or grow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Substantial misrepresentation. </w:t>
      </w:r>
      <w:r>
        <w:rPr>
          <w:rFonts w:ascii="Arial" w:cs="Arial" w:eastAsia="Arial" w:hAnsi="Arial"/>
          <w:sz w:val="16"/>
          <w:szCs w:val="16"/>
          <w:color w:val="auto"/>
        </w:rPr>
        <w:t>The Higher Education Act prohibits an institution that participates in Title IV programs from engaging in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misrepresentation” of the nature of its educational program, its financial charges, or the employability of its graduates. The Department of Education’s program integrity regulations effective July 1, 2011 expanded the definition of misrepresentation and expanded the sanctions that the Department may impose for engaging in a substantial misrepresentation. Under the new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21"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like Grand Canyon University, that is fully certified to participate in the Title IV programs is not required to obtain the Department of Education’s approval of additional programs that lead to an associate, bachelor’s, professional, or graduate degree at the same degree level as programs previously approved by the Department of Education, and, similarly,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and others only considering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Title IV program participation. </w:t>
      </w:r>
      <w:r>
        <w:rPr>
          <w:rFonts w:ascii="Arial" w:cs="Arial" w:eastAsia="Arial" w:hAnsi="Arial"/>
          <w:sz w:val="18"/>
          <w:szCs w:val="18"/>
          <w:color w:val="auto"/>
        </w:rPr>
        <w:t>Each institution must apply to the Department of Education for continued certification to participate in the Title IV</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18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or if a school undertakes another transaction that constitutes a change in control under Department of Education regulations, the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78"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Since 2004 we had been provisionally certified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16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i w:val="1"/>
          <w:iCs w:val="1"/>
          <w:color w:val="auto"/>
        </w:rPr>
        <w:t xml:space="preserve">Change in ownership resulting in a change in control. </w:t>
      </w:r>
      <w:r>
        <w:rPr>
          <w:rFonts w:ascii="Arial" w:cs="Arial" w:eastAsia="Arial" w:hAnsi="Arial"/>
          <w:sz w:val="17"/>
          <w:szCs w:val="17"/>
          <w:color w:val="auto"/>
        </w:rPr>
        <w:t>The Department of Education, as well as many accrediting commissions and states,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of higher education to report or obtain approval of certain changes in control and changes in other aspects of institutional organization or control. With respect to publicly 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7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9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 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including the related Notes to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r>
        <w:rPr>
          <w:rFonts w:ascii="Arial" w:cs="Arial" w:eastAsia="Arial" w:hAnsi="Arial"/>
          <w:sz w:val="18"/>
          <w:szCs w:val="18"/>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8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7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Since 2004 we had been provisionally certified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 See Item 1, </w:t>
      </w:r>
      <w:r>
        <w:rPr>
          <w:rFonts w:ascii="Arial" w:cs="Arial" w:eastAsia="Arial" w:hAnsi="Arial"/>
          <w:sz w:val="17"/>
          <w:szCs w:val="17"/>
          <w:i w:val="1"/>
          <w:iCs w:val="1"/>
          <w:color w:val="auto"/>
        </w:rPr>
        <w:t>Business — Regulation —</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of Federal Student Financial Aid Programs — Eligibility and certification procedures</w:t>
      </w:r>
      <w:r>
        <w:rPr>
          <w:rFonts w:ascii="Arial" w:cs="Arial" w:eastAsia="Arial" w:hAnsi="Arial"/>
          <w:sz w:val="17"/>
          <w:szCs w:val="17"/>
          <w:color w:val="auto"/>
        </w:rPr>
        <w:t>. There can be no assurance that the Department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Education will recertify us at that time or that it will not impose conditions or other restrictions on us as a condition of approving our application with respect to any future recertification. See Item 1A, </w:t>
      </w:r>
      <w:r>
        <w:rPr>
          <w:rFonts w:ascii="Arial" w:cs="Arial" w:eastAsia="Arial" w:hAnsi="Arial"/>
          <w:sz w:val="17"/>
          <w:szCs w:val="17"/>
          <w:i w:val="1"/>
          <w:iCs w:val="1"/>
          <w:color w:val="auto"/>
        </w:rPr>
        <w:t>Risk Factors — If any of the education regulatory agencies that regulate us do not approve or delay their approval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any transaction involving us that constitutes a “change in control,” our ability to operate or participate in the Title IV programs may be impaired. </w:t>
      </w:r>
      <w:r>
        <w:rPr>
          <w:rFonts w:ascii="Arial" w:cs="Arial" w:eastAsia="Arial" w:hAnsi="Arial"/>
          <w:sz w:val="17"/>
          <w:szCs w:val="17"/>
          <w:color w:val="auto"/>
        </w:rPr>
        <w:t>If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after our program participation agreement expires on September 30, 2017, in which case our certification would continue on a month-to-month basis. Any of these outcomes could have a material adverse effect on our enrollments and us.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Over the past few years, the U.S. Department of Education has regularly promulgated new regulations that impact our business. See “Item 1. Business —Regulation.”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regulations have increased our operating costs and in some cases required us to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the proprietary sector, could further negatively impact our business.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2013, the Department of Education established or announced the intent to establish three new negotiated rulemaking committees to address gainful employment, the implementation of changes to the Clery Act necessitated by the Violence Against Women Act of 2013 (“VAWA”), and certain other changes categorized as enhancing “Program Integrity and Improvement.” At this time, we cannot anticipate the impact that any rules promulgated through this process, when finalized, will have on us. We continue to monitor this activity for any impact to our business.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Department of Education rules require that, for each program leading to “gainful employment” in a recognized occupation, institutions must provide prospective students with information concerning the occupation that the program prepares students to enter, the program’s on-time graduation rate, and the tuition and fees it charges a student for completing the program within normal time, as well as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reporting and disclosure requirements have caused increased administrative burden and costs and may have a negative effect on our growth and enrollments.</w:t>
      </w:r>
    </w:p>
    <w:p>
      <w:pPr>
        <w:spacing w:after="0" w:line="17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spacing w:after="0" w:line="10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recent years, there has been increased focus by Congress on the role that proprietary educational institutions play in higher education. See “Item 1. Business – Regulation – Regulation of Federal Student Financial Aid – Congressional action.”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continued scrutiny in Congress of the proprietary education sector and the federal budget deficit increases the likelihood of legislation that will adversely impact our business.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would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0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6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institutional control,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could cause a significant decline in our total student enrollments, and could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finding that we violated the Department of Education’s substantial misrepresentation regulation could materially and adversely affect our business.</w:t>
      </w:r>
    </w:p>
    <w:p>
      <w:pPr>
        <w:spacing w:after="0" w:line="24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Higher Education Act prohibits an institution that participates in Title IV programs from engaging in “substantial misrepresentation” of the nature of its educational program, its financial charges, or the employability of its graduates. The Department of Education’s program integrity regulations effective July 1, 2011 expanded the definition of misrepresentation and expanded the sanctions that the Department may impose for engaging in a substantial misrepresentation. Under the new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 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7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See Item 1. </w:t>
      </w:r>
      <w:r>
        <w:rPr>
          <w:rFonts w:ascii="Arial" w:cs="Arial" w:eastAsia="Arial" w:hAnsi="Arial"/>
          <w:sz w:val="16"/>
          <w:szCs w:val="16"/>
          <w:i w:val="1"/>
          <w:iCs w:val="1"/>
          <w:color w:val="auto"/>
        </w:rPr>
        <w:t>Business — Regulation — Regulation of Federal Student Financial Aid Programs — State</w:t>
      </w:r>
      <w:r>
        <w:rPr>
          <w:rFonts w:ascii="Arial" w:cs="Arial" w:eastAsia="Arial" w:hAnsi="Arial"/>
          <w:sz w:val="16"/>
          <w:szCs w:val="16"/>
          <w:color w:val="auto"/>
        </w:rPr>
        <w:t xml:space="preserve"> </w:t>
      </w:r>
      <w:r>
        <w:rPr>
          <w:rFonts w:ascii="Arial" w:cs="Arial" w:eastAsia="Arial" w:hAnsi="Arial"/>
          <w:sz w:val="16"/>
          <w:szCs w:val="16"/>
          <w:i w:val="1"/>
          <w:iCs w:val="1"/>
          <w:color w:val="auto"/>
        </w:rPr>
        <w:t>authorization</w:t>
      </w:r>
      <w:r>
        <w:rPr>
          <w:rFonts w:ascii="Arial" w:cs="Arial" w:eastAsia="Arial" w:hAnsi="Arial"/>
          <w:sz w:val="16"/>
          <w:szCs w:val="16"/>
          <w:color w:val="auto"/>
        </w:rPr>
        <w:t>. Because state regulatory requirements for online education vary among the states, are not well developed in many states, are imprecise or</w:t>
      </w:r>
      <w:r>
        <w:rPr>
          <w:rFonts w:ascii="Arial" w:cs="Arial" w:eastAsia="Arial" w:hAnsi="Arial"/>
          <w:sz w:val="16"/>
          <w:szCs w:val="16"/>
          <w:i w:val="1"/>
          <w:iCs w:val="1"/>
          <w:color w:val="auto"/>
        </w:rPr>
        <w:t xml:space="preserve"> </w:t>
      </w:r>
      <w:r>
        <w:rPr>
          <w:rFonts w:ascii="Arial" w:cs="Arial" w:eastAsia="Arial" w:hAnsi="Arial"/>
          <w:sz w:val="16"/>
          <w:szCs w:val="16"/>
          <w:color w:val="auto"/>
        </w:rPr>
        <w:t>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In the future, states could coordinate their efforts in order to more aggressively attempt to regulate or restrict schools’ offering of online education.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to Arizona, we have determined that our activities in certain states constitute a presence requiring licensure or authorization under the requirements of the state education agency in those states, which we have obtained. In certain other states, we have obtained approvals to operate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8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8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which could negatively impact our future growth.</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24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24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6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2013, 2012, and 2011 fiscal years, we derived approximately 78.5%, 80.3%, and 80.2%, respectively, of our 90/10 Rule revenue from Title IV program funds.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22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w:t>
      </w:r>
    </w:p>
    <w:p>
      <w:pPr>
        <w:spacing w:after="0" w:line="267" w:lineRule="auto"/>
        <w:rPr>
          <w:sz w:val="20"/>
          <w:szCs w:val="20"/>
          <w:color w:val="auto"/>
        </w:rPr>
      </w:pPr>
      <w:r>
        <w:rPr>
          <w:rFonts w:ascii="Arial" w:cs="Arial" w:eastAsia="Arial" w:hAnsi="Arial"/>
          <w:sz w:val="17"/>
          <w:szCs w:val="17"/>
          <w:color w:val="auto"/>
        </w:rPr>
        <w:t>2008 reauthorization of the Higher Education Act extended by one year the period for which students’ defaults on their loans are included in the calculation of an institution’s default rate, a change that increased our cohort default rates. The new law also increased the threshold for an institution to lose its eligibility to participate in the relevant Title IV programs from 25% to 30% over three consecutive years, while leaving the threshold at 40% for a single year. These changes to the law took effect for institutions’ cohort default rates for federal fiscal year 2009, which were issued by the Department of Education in 2012. While our cohort default rates have historically been significantly below these levels, we cannot assure you that this will continue to be the case. For example, we believe our cohort default rates for the 2010 and 2011 federal fiscal year increased (although both remain below the Department of Education’s thresholds) due primarily to the impact of current economic conditions on our students and former students and our transition to a borrower-based, non-term financial aid system in the Fall of 2010. Our cohort default rates, under the two-year method, on federal student loans for the 2011, 2010, and 2009 federal fiscal years, the three most recent years for which such rates have been calculated, were 12.5%, 12.0%, 9.2%, respectively. Our cohort default rates, under the three-year method, for the 2010 and 2009 federal fiscal years, the only years for which such rates have been calculated were 19.5% and 15.1%,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 These “return to Title IV” regulations are the subject of a finding in our completed program review, which resulted in the University returning funds to the Department of Education. See “Management’s Discussion and Analysis of Financial Condition and Results of Operations.”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81"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In addition, if we were to determine erroneously that a new program did not need approval or that we had all required approvals, we could be liable for repayment of the Title IV program funds provided to students in that program or at that location.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adversely affect our business, prospects,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52"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ectPr>
          <w:pgSz w:w="11900" w:h="16838" w:orient="portrait"/>
          <w:cols w:equalWidth="0" w:num="1">
            <w:col w:w="11420"/>
          </w:cols>
          <w:pgMar w:left="240" w:top="459" w:right="239" w:bottom="798"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798"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rules and regulations as a result of our membership with the National Collegiate Athletic Association (NCAA) and any violations of such rules or regulations could adversely affect our reputation and operations.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Strict observance of rules and regulations contribute to the success of our athletic program. It is the responsibility of the University administration and the Athletic Department to adhere to all regulations created for the governance of intercollegiate athletics as set forth by the WAC Conference, NCAA, and Grand Canyon University. The move from Division II to Division I was effective July 1, 2013 and demonstrated our commitment to athletic excellence and has enhanced our visibility. Any violations of such rules and regulations could adversely affect our reputation and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economic conditions in the U.S. or abroad.</w:t>
      </w:r>
    </w:p>
    <w:p>
      <w:pPr>
        <w:spacing w:after="0" w:line="225"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The U.S. and many other industrialized countries are experiencing challenging economic circumstances, including high unemployment, uncertainty about financial markets and, in many cases, economic malaise or recession. We believe the economic circumstances in the U.S., in particular the continued high unemployment rate, has contributed to a portion of our increased enrollment growth as an increasing number of working adults seek to continue to advance their education to improve job security or new employment prospects. This effect cannot be quantified. However, to the extent that the economic circumstances and high unemployment have increased demands for our programs, an improving economy and increased employment may negate this effect and reduce such demand as fewer students seek to advance their education in favor of participating in the workforce. This decline could have a material adverse effect on our business, financial condition, results of operations and cash flows. Alternatively, a worsening of economic and employment conditions may reduce the ability of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From time to time, students, including former students, may carry balances on portions of their education expense not covered by financial aid programs. Students may also carry balances related to financial aid funds we have advanced to them that are in excess of the student’s cost and related fees.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Due primarily to the ongoing economic conditions, we believe that the level of motivation that former students have to pay off their balances due to us, based on such factors as being able to receive transcripts or protecting their credit, has lessened over time. If the United States continues to experience reduced economic activity and high unemployment, it could continue to have an adverse effect on the ability or willingness of our former students to repay amounts due to us.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225"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postsecondary education market is highly fragmented and competitive. We compete for students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including massive open online courses (MOOCs) offered worldwide without charge by traditional educational institutions and other direct-to-consumer education services. Each of these competitors may develop platforms or other technologies, including technologies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4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83"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In particular, we license the right to utilize the name of Ken Blanchard in connection with our business school and Executive MBA programs, and the name of Jerry Colangelo in connection with our Colangelo School of Sports Business that we operate within our business school, and we have spent significant resources in related branding efforts. Nevertheless, these license agreements may terminate or expire, or otherwise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may restrict our operations and our ability to complete certain transactions.</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loan agreement, which we entered into in December 2012, imposes certain operating restrictions on us, including limitations on our ability to incur additional debt or make certain investments, and requires us to maintain compliance with certain applicable regulatory standards. In addition, the loan agreement requires us to maintain a maximum leverage ratio, a minimum fixed charge coverage ratio and a minimum tangible net worth,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23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actions, errors, or instances of regulatory noncompliance of third party vendors upon which our institutions rely may negatively impact our business.</w:t>
      </w:r>
    </w:p>
    <w:p>
      <w:pPr>
        <w:spacing w:after="0" w:line="26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engage third party vendors to provide, among other services, marketing and recruiting activities. Although we require that the work done by such third parties maintains quality assurance and compliance with applicable regulations, we may be ultimately responsible for any errors on instances of regulatory noncompliance, some of which could adversely impact our reputation, business, prospects, financial condition, cash flows,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93"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success and future growth depend on the continued growth in users seeking educational services on the Internet.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76"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number of potential students seeking educational services on the Internet does not continue to increase, our business may not grow as planned.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7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or the grant of restricted stock,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31"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or proposed laws or regulations or new or proposed interpretations of laws or regulations applicable to our business;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130"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litigation involving our University, or investigations or audits by regulators into the operations of our University or our competitors;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University, we could lose visibility in the market for our stock, which in turn could cause our stock price to decline.</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own our ground campus, which is located on approximately 133 acres in the center of the Phoenix, Arizona metropolitan area, near downtown Phoenix. Our on-campus facilities currently consist of 5 classroom buildings, four lecture halls, a 300-seat theater, a 155,000-volume newly renovated library, a media arts complex that provides communications students with audio and video equipment, a 55,000 square foot recreation center for both student-athletes and on-campus students, a 140,000 square foot/ 5,000 seat basketball and entertainment arena, a gymnasium, an activity center that contains a food court, a bowling alley and other student services, a student union which was recently remodeled and expanded, seven dormitories, apartments, two campus pools, athletic facilities and a parking garage with 1,629 parking spaces. Additionally, we have several office buildings used for administration, including a renovated office complex adjacent to our campus and in 2013 we completed the refurbishment of a building located less than two miles from our Phoenix, Arizona campus that is being used as office space for our employees. In 2013, in order to accommodate the continued growth of our traditional ground population, we started construction on a classroom building and a 1,000 bed apartment dormitory.</w:t>
      </w:r>
    </w:p>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also lease three additional facilities for employees in Arizona, and six facilities in Arizona and one in New Mexico for classroom and labs for our nursing professional studies students. We lease 20 apartments in an off-site apartment building in Phoenix, Arizona for traditional ground students. Additionally, we lease four office locations in California and one in Colorado. We may add additional space in Arizona and in other states in the southwest U.S. to accommodate our growth plans in 2014 and beyond.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right="20" w:firstLine="456"/>
        <w:spacing w:after="0" w:line="259"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3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$27.18</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$22.23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$34.07</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$23.09</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$40.80</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$32.33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$50.48</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$38.50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$18.49</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$15.80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$21.19</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$15.96</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$24.20</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$15.80</w:t>
            </w: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$25.00</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$20.59</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As of December 31, 2013, there were approximately 197 registered holders of record of common stock. A substantially greater number of holders of common stock are “street name” or beneficial holders, whose shares are held of record by banks, brokers and other financial institutions.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 xml:space="preserve">The information required by Item 201(d) of Regulation S-K is provided under Item 12,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and Related Stockholder Matters</w:t>
      </w:r>
      <w:r>
        <w:rPr>
          <w:rFonts w:ascii="Arial" w:cs="Arial" w:eastAsia="Arial" w:hAnsi="Arial"/>
          <w:sz w:val="17"/>
          <w:szCs w:val="17"/>
          <w:color w:val="auto"/>
        </w:rPr>
        <w:t>, “Equity Compensation Plan Information,” which is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April 25, 2013, our Board of Directors authorized the University to repurchase up to an additional $25.0 million ($75.0 million total) of common stock, from time to time, depending on market conditions and other considerations. The Board of Directors also extended the expiration date on the repurchase authorization to September 30, 2014.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2.7 million shares of common stock at an aggregate cost of $47.5 million, which includes 0.3 million shares of common stock at an aggregate cost of $8.3 million during the year ended December 31, 2013, which are recorded at cost in the accompanying December 31, 2013 consolidated balance sheet and statement of stockholders’ equity. At December 31, 2013, there remained $27.5 million available under our current share repurchase authorization. During the fourth quarter of 2013, we repurchased 6,708 shares of common stock at an aggregate cost of $0.3 million.</w:t>
      </w:r>
    </w:p>
    <w:p>
      <w:pPr>
        <w:sectPr>
          <w:pgSz w:w="11900" w:h="16838" w:orient="portrait"/>
          <w:cols w:equalWidth="0" w:num="1">
            <w:col w:w="11380"/>
          </w:cols>
          <w:pgMar w:left="240" w:top="459" w:right="279"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80"/>
          </w:cols>
          <w:pgMar w:left="240" w:top="459" w:right="2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fourth quarter of fiscal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5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Total Number</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340" w:type="dxa"/>
            <w:vAlign w:val="bottom"/>
            <w:vMerge w:val="restart"/>
          </w:tcPr>
          <w:p>
            <w:pPr>
              <w:spacing w:after="0"/>
              <w:rPr>
                <w:sz w:val="12"/>
                <w:szCs w:val="12"/>
                <w:color w:val="auto"/>
              </w:rPr>
            </w:pPr>
          </w:p>
        </w:tc>
        <w:tc>
          <w:tcPr>
            <w:tcW w:w="15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of Shares</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Price Paid</w:t>
            </w:r>
          </w:p>
        </w:tc>
        <w:tc>
          <w:tcPr>
            <w:tcW w:w="66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Announced</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3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Purchased</w:t>
            </w:r>
          </w:p>
        </w:tc>
        <w:tc>
          <w:tcPr>
            <w:tcW w:w="660" w:type="dxa"/>
            <w:vAlign w:val="bottom"/>
            <w:tcBorders>
              <w:bottom w:val="single" w:sz="8" w:color="CCEEFF"/>
            </w:tcBorders>
            <w:gridSpan w:val="2"/>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Per Share</w:t>
            </w:r>
          </w:p>
        </w:tc>
        <w:tc>
          <w:tcPr>
            <w:tcW w:w="6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the Program</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2013 – October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681"/>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27,827,000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November 1, 2013 – November 30, 2013</w:t>
            </w:r>
          </w:p>
        </w:tc>
        <w:tc>
          <w:tcPr>
            <w:tcW w:w="15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1480" w:type="dxa"/>
            <w:vAlign w:val="bottom"/>
            <w:gridSpan w:val="2"/>
          </w:tcPr>
          <w:p>
            <w:pPr>
              <w:jc w:val="center"/>
              <w:ind w:left="34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27,827,000</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2013 – December 31, 2013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42.73</w:t>
            </w:r>
          </w:p>
        </w:tc>
        <w:tc>
          <w:tcPr>
            <w:tcW w:w="2140" w:type="dxa"/>
            <w:vAlign w:val="bottom"/>
            <w:gridSpan w:val="3"/>
            <w:shd w:val="clear" w:color="auto" w:fill="CCEEFF"/>
          </w:tcPr>
          <w:p>
            <w:pPr>
              <w:jc w:val="center"/>
              <w:ind w:left="950"/>
              <w:spacing w:after="0"/>
              <w:rPr>
                <w:sz w:val="20"/>
                <w:szCs w:val="20"/>
                <w:color w:val="auto"/>
              </w:rPr>
            </w:pPr>
            <w:r>
              <w:rPr>
                <w:rFonts w:ascii="Arial" w:cs="Arial" w:eastAsia="Arial" w:hAnsi="Arial"/>
                <w:sz w:val="18"/>
                <w:szCs w:val="18"/>
                <w:color w:val="auto"/>
                <w:w w:val="93"/>
              </w:rPr>
              <w:t>6,708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27,541,000</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42.73</w:t>
            </w:r>
          </w:p>
        </w:tc>
        <w:tc>
          <w:tcPr>
            <w:tcW w:w="6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ind w:left="641"/>
              <w:spacing w:after="0"/>
              <w:rPr>
                <w:sz w:val="20"/>
                <w:szCs w:val="20"/>
                <w:color w:val="auto"/>
              </w:rPr>
            </w:pPr>
            <w:r>
              <w:rPr>
                <w:rFonts w:ascii="Arial" w:cs="Arial" w:eastAsia="Arial" w:hAnsi="Arial"/>
                <w:sz w:val="18"/>
                <w:szCs w:val="18"/>
                <w:color w:val="auto"/>
                <w:w w:val="93"/>
              </w:rPr>
              <w:t>6,708</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27,541,000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graph compares the cumulative total return of our common stock with the cumulative total returns of the S&amp;P 500 Index, our peer group of six companies that includes: Capella Education Company, American Public Education, Inc., Apollo Group Inc., Strayer Education Inc., Education Management Corporation and Bridgepoint Education, Inc. This chart assumes that an investment of $100 was made in our common stock, in the index, and in the peer group on December 31, 2008 and that all dividends paid by us and such companies were reinvested, and tracks the relative performance of such investments through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146050</wp:posOffset>
            </wp:positionV>
            <wp:extent cx="5831840" cy="4305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31840"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12/08</w:t>
            </w:r>
          </w:p>
        </w:tc>
        <w:tc>
          <w:tcPr>
            <w:tcW w:w="20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12/09</w:t>
            </w:r>
          </w:p>
        </w:tc>
        <w:tc>
          <w:tcPr>
            <w:tcW w:w="20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12/10</w:t>
            </w:r>
          </w:p>
        </w:tc>
        <w:tc>
          <w:tcPr>
            <w:tcW w:w="200" w:type="dxa"/>
            <w:vAlign w:val="bottom"/>
          </w:tcPr>
          <w:p>
            <w:pPr>
              <w:spacing w:after="0"/>
              <w:rPr>
                <w:sz w:val="14"/>
                <w:szCs w:val="14"/>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b w:val="1"/>
                <w:bCs w:val="1"/>
                <w:color w:val="auto"/>
              </w:rPr>
              <w:t>12/11</w:t>
            </w:r>
          </w:p>
        </w:tc>
        <w:tc>
          <w:tcPr>
            <w:tcW w:w="20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12/12</w:t>
            </w:r>
          </w:p>
        </w:tc>
        <w:tc>
          <w:tcPr>
            <w:tcW w:w="220" w:type="dxa"/>
            <w:vAlign w:val="bottom"/>
          </w:tcPr>
          <w:p>
            <w:pPr>
              <w:spacing w:after="0"/>
              <w:rPr>
                <w:sz w:val="14"/>
                <w:szCs w:val="14"/>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12/13</w:t>
            </w:r>
          </w:p>
        </w:tc>
        <w:tc>
          <w:tcPr>
            <w:tcW w:w="10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3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100.00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101.22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104.31</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84.98</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124.97</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232.16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37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126.46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145.51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148.59</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172.37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228.19</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3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80.61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60.63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72.70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28.51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40.72</w:t>
            </w:r>
          </w:p>
        </w:tc>
        <w:tc>
          <w:tcPr>
            <w:tcW w:w="100" w:type="dxa"/>
            <w:vAlign w:val="bottom"/>
            <w:shd w:val="clear" w:color="auto" w:fill="CCEEFF"/>
          </w:tcPr>
          <w:p>
            <w:pPr>
              <w:spacing w:after="0"/>
              <w:rPr>
                <w:sz w:val="18"/>
                <w:szCs w:val="18"/>
                <w:color w:val="auto"/>
              </w:rPr>
            </w:pPr>
          </w:p>
        </w:tc>
      </w:tr>
      <w:tr>
        <w:trPr>
          <w:trHeight w:val="365"/>
        </w:trPr>
        <w:tc>
          <w:tcPr>
            <w:tcW w:w="4000" w:type="dxa"/>
            <w:vAlign w:val="bottom"/>
          </w:tcPr>
          <w:p>
            <w:pPr>
              <w:spacing w:after="0"/>
              <w:rPr>
                <w:sz w:val="24"/>
                <w:szCs w:val="24"/>
                <w:color w:val="auto"/>
              </w:rPr>
            </w:pPr>
          </w:p>
        </w:tc>
        <w:tc>
          <w:tcPr>
            <w:tcW w:w="3000" w:type="dxa"/>
            <w:vAlign w:val="bottom"/>
          </w:tcPr>
          <w:p>
            <w:pPr>
              <w:jc w:val="right"/>
              <w:ind w:right="1114"/>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121" w:lineRule="exact"/>
        <w:rPr>
          <w:sz w:val="20"/>
          <w:szCs w:val="20"/>
          <w:color w:val="auto"/>
        </w:rPr>
      </w:pPr>
    </w:p>
    <w:p>
      <w:pPr>
        <w:ind w:right="400" w:firstLine="456"/>
        <w:spacing w:after="0" w:line="271" w:lineRule="auto"/>
        <w:rPr>
          <w:sz w:val="20"/>
          <w:szCs w:val="20"/>
          <w:color w:val="auto"/>
        </w:rPr>
      </w:pPr>
      <w:r>
        <w:rPr>
          <w:rFonts w:ascii="Arial" w:cs="Arial" w:eastAsia="Arial" w:hAnsi="Arial"/>
          <w:sz w:val="17"/>
          <w:szCs w:val="17"/>
          <w:color w:val="auto"/>
        </w:rPr>
        <w:t xml:space="preserve">The following selected consolidated financial and other data should be read in conjunction with Item 8, </w:t>
      </w:r>
      <w:r>
        <w:rPr>
          <w:rFonts w:ascii="Arial" w:cs="Arial" w:eastAsia="Arial" w:hAnsi="Arial"/>
          <w:sz w:val="17"/>
          <w:szCs w:val="17"/>
          <w:i w:val="1"/>
          <w:iCs w:val="1"/>
          <w:color w:val="auto"/>
        </w:rPr>
        <w:t>Consolidated 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and Item 7,</w:t>
      </w:r>
      <w:r>
        <w:rPr>
          <w:rFonts w:ascii="Arial" w:cs="Arial" w:eastAsia="Arial" w:hAnsi="Arial"/>
          <w:sz w:val="17"/>
          <w:szCs w:val="17"/>
          <w:i w:val="1"/>
          <w:iCs w:val="1"/>
          <w:color w:val="auto"/>
        </w:rPr>
        <w:t xml:space="preserve"> Management’s Discussion and Analysis of Financial Condition and Results of Operations</w:t>
      </w:r>
      <w:r>
        <w:rPr>
          <w:rFonts w:ascii="Arial" w:cs="Arial" w:eastAsia="Arial" w:hAnsi="Arial"/>
          <w:sz w:val="17"/>
          <w:szCs w:val="17"/>
          <w:color w:val="auto"/>
        </w:rPr>
        <w:t>, to fully understand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presented below. The selected consolidated income statement data and other data, excluding period end enrollment, for the years ended December 31, 2013, 2012, and 2011, and the selected consolidated balance sheet data as of December 31, 2013, and 2012, have been derived from our audited consolidated financial statements for such years, which are included herein. The selected consolidated income statement data and other data, excluding period end enrollment, for the years ended December 31, 2010 and 2009, and the selected consolidated balance sheet data as of December 31, 2011, 2010, and 2009, have been derived from our audited consolidated financial statements for such years, which are not included herein. Our historical results are not necessarily indicative of our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0"/>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revenue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598,335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511,257</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$426,741</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385,625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261,902</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254,419</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220,403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194,801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178,844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107,104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r>
              <w:rPr>
                <w:rFonts w:ascii="Arial" w:cs="Arial" w:eastAsia="Arial" w:hAnsi="Arial"/>
                <w:sz w:val="15"/>
                <w:szCs w:val="15"/>
                <w:color w:val="auto"/>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97,077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58,970</w:t>
            </w: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Advertising</w:t>
            </w:r>
            <w:r>
              <w:rPr>
                <w:rFonts w:ascii="Arial" w:cs="Arial" w:eastAsia="Arial" w:hAnsi="Arial"/>
                <w:sz w:val="15"/>
                <w:szCs w:val="15"/>
                <w:color w:val="auto"/>
              </w:rPr>
              <w:t>(1)</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60,985</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51,023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45,587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35,550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24,820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r>
              <w:rPr>
                <w:rFonts w:ascii="Arial" w:cs="Arial" w:eastAsia="Arial" w:hAnsi="Arial"/>
                <w:sz w:val="15"/>
                <w:szCs w:val="15"/>
                <w:color w:val="auto"/>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36,934</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29,043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26,621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21,603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termination costs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Contract termination fees to related party</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Exit costs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r>
      <w:tr>
        <w:trPr>
          <w:trHeight w:val="230"/>
        </w:trPr>
        <w:tc>
          <w:tcPr>
            <w:tcW w:w="20" w:type="dxa"/>
            <w:vAlign w:val="bottom"/>
          </w:tcPr>
          <w:p>
            <w:pPr>
              <w:spacing w:after="0"/>
              <w:rPr>
                <w:sz w:val="20"/>
                <w:szCs w:val="20"/>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1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455,059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397,205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344,581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327,449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215,330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143,276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114,052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46,572</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144,895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113,424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81,528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57,455</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22,249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17,979</w:t>
            </w: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50,546</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35,206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Basic</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used in computing earnings per common share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44,731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45,184</w:t>
            </w:r>
          </w:p>
        </w:tc>
      </w:tr>
      <w:tr>
        <w:trPr>
          <w:trHeight w:val="230"/>
        </w:trPr>
        <w:tc>
          <w:tcPr>
            <w:tcW w:w="20" w:type="dxa"/>
            <w:vAlign w:val="bottom"/>
          </w:tcPr>
          <w:p>
            <w:pPr>
              <w:spacing w:after="0"/>
              <w:rPr>
                <w:sz w:val="20"/>
                <w:szCs w:val="20"/>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46,131</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45,251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45,105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46,396</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45,503</w:t>
            </w:r>
          </w:p>
        </w:tc>
      </w:tr>
      <w:tr>
        <w:trPr>
          <w:trHeight w:val="35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Capital expenditures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78,948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97,653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80,545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62,627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60,265</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Purchase of land and building related to off-site development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25,141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16,738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100"/>
              <w:spacing w:after="0"/>
              <w:rPr>
                <w:sz w:val="20"/>
                <w:szCs w:val="20"/>
                <w:color w:val="auto"/>
              </w:rPr>
            </w:pPr>
            <w:r>
              <w:rPr>
                <w:rFonts w:ascii="Arial" w:cs="Arial" w:eastAsia="Arial" w:hAnsi="Arial"/>
                <w:sz w:val="18"/>
                <w:szCs w:val="18"/>
                <w:color w:val="auto"/>
                <w:w w:val="83"/>
              </w:rPr>
              <w:t>11,812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7,664</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(unaudited)</w:t>
            </w:r>
            <w:r>
              <w:rPr>
                <w:rFonts w:ascii="Arial" w:cs="Arial" w:eastAsia="Arial" w:hAnsi="Arial"/>
                <w:sz w:val="15"/>
                <w:szCs w:val="15"/>
                <w:color w:val="auto"/>
              </w:rPr>
              <w:t>(2)</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185,086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149,593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$107,428</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65,119</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5"/>
                <w:szCs w:val="15"/>
                <w:color w:val="auto"/>
              </w:rPr>
              <w:t>(3)</w:t>
            </w:r>
            <w:r>
              <w:rPr>
                <w:rFonts w:ascii="Arial" w:cs="Arial" w:eastAsia="Arial" w:hAnsi="Arial"/>
                <w:sz w:val="18"/>
                <w:szCs w:val="18"/>
                <w:color w:val="auto"/>
              </w:rPr>
              <w: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Online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49,580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34,596</w:t>
            </w:r>
          </w:p>
        </w:tc>
      </w:tr>
      <w:tr>
        <w:trPr>
          <w:trHeight w:val="230"/>
        </w:trPr>
        <w:tc>
          <w:tcPr>
            <w:tcW w:w="20" w:type="dxa"/>
            <w:vAlign w:val="bottom"/>
          </w:tcPr>
          <w:p>
            <w:pPr>
              <w:spacing w:after="0"/>
              <w:rPr>
                <w:sz w:val="20"/>
                <w:szCs w:val="20"/>
                <w:color w:val="auto"/>
              </w:rPr>
            </w:pPr>
          </w:p>
        </w:tc>
        <w:tc>
          <w:tcPr>
            <w:tcW w:w="5000" w:type="dxa"/>
            <w:vAlign w:val="bottom"/>
          </w:tcPr>
          <w:p>
            <w:pPr>
              <w:ind w:left="340"/>
              <w:spacing w:after="0"/>
              <w:rPr>
                <w:sz w:val="20"/>
                <w:szCs w:val="20"/>
                <w:color w:val="auto"/>
              </w:rPr>
            </w:pPr>
            <w:r>
              <w:rPr>
                <w:rFonts w:ascii="Arial" w:cs="Arial" w:eastAsia="Arial" w:hAnsi="Arial"/>
                <w:sz w:val="18"/>
                <w:szCs w:val="18"/>
                <w:color w:val="auto"/>
              </w:rPr>
              <w:t>Ground</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3,113</w:t>
            </w:r>
          </w:p>
        </w:tc>
      </w:tr>
      <w:tr>
        <w:trPr>
          <w:trHeight w:val="35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80" w:type="dxa"/>
            <w:vAlign w:val="bottom"/>
          </w:tcPr>
          <w:p>
            <w:pPr>
              <w:jc w:val="right"/>
              <w:ind w:right="11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and cash equivalents, marketable securities and investments</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w w:val="87"/>
              </w:rPr>
              <w:t>$164,244</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$ 105,111</w:t>
            </w: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$ 21,189</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99"/>
              </w:rPr>
              <w:t>$ 33,637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$ 63,101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cash equivalents and investments</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64,368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56,189</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56,670</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52,938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616,100</w:t>
            </w:r>
          </w:p>
        </w:tc>
        <w:tc>
          <w:tcPr>
            <w:tcW w:w="860" w:type="dxa"/>
            <w:vAlign w:val="bottom"/>
          </w:tcPr>
          <w:p>
            <w:pPr>
              <w:jc w:val="right"/>
              <w:spacing w:after="0"/>
              <w:rPr>
                <w:sz w:val="20"/>
                <w:szCs w:val="20"/>
                <w:color w:val="auto"/>
              </w:rPr>
            </w:pPr>
            <w:r>
              <w:rPr>
                <w:rFonts w:ascii="Arial" w:cs="Arial" w:eastAsia="Arial" w:hAnsi="Arial"/>
                <w:sz w:val="18"/>
                <w:szCs w:val="18"/>
                <w:color w:val="auto"/>
              </w:rPr>
              <w:t>494,923</w:t>
            </w: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317,847</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275,096</w:t>
            </w:r>
          </w:p>
        </w:tc>
        <w:tc>
          <w:tcPr>
            <w:tcW w:w="840" w:type="dxa"/>
            <w:vAlign w:val="bottom"/>
          </w:tcPr>
          <w:p>
            <w:pPr>
              <w:jc w:val="right"/>
              <w:spacing w:after="0"/>
              <w:rPr>
                <w:sz w:val="20"/>
                <w:szCs w:val="20"/>
                <w:color w:val="auto"/>
              </w:rPr>
            </w:pPr>
            <w:r>
              <w:rPr>
                <w:rFonts w:ascii="Arial" w:cs="Arial" w:eastAsia="Arial" w:hAnsi="Arial"/>
                <w:sz w:val="18"/>
                <w:szCs w:val="18"/>
                <w:color w:val="auto"/>
              </w:rPr>
              <w:t>174,738</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(including short-term)</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586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1,144</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Notes payable (including short-term)</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93,100</w:t>
            </w:r>
          </w:p>
        </w:tc>
        <w:tc>
          <w:tcPr>
            <w:tcW w:w="860" w:type="dxa"/>
            <w:vAlign w:val="bottom"/>
          </w:tcPr>
          <w:p>
            <w:pPr>
              <w:jc w:val="right"/>
              <w:spacing w:after="0"/>
              <w:rPr>
                <w:sz w:val="20"/>
                <w:szCs w:val="20"/>
                <w:color w:val="auto"/>
              </w:rPr>
            </w:pPr>
            <w:r>
              <w:rPr>
                <w:rFonts w:ascii="Arial" w:cs="Arial" w:eastAsia="Arial" w:hAnsi="Arial"/>
                <w:sz w:val="18"/>
                <w:szCs w:val="18"/>
                <w:color w:val="auto"/>
              </w:rPr>
              <w:t>99,701</w:t>
            </w: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21,640</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23,907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26,088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344,844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234,059</w:t>
            </w:r>
          </w:p>
        </w:tc>
        <w:tc>
          <w:tcPr>
            <w:tcW w:w="12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163,293</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127,501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88"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During the first quarter of 2013, the University made changes in its presentation of operating expenses and revised prior periods to conform to the current presentation. This change is more fully described in Note 2 to our consolidated financial statements that are included in Item 8, </w:t>
      </w:r>
      <w:r>
        <w:rPr>
          <w:rFonts w:ascii="Arial" w:cs="Arial" w:eastAsia="Arial" w:hAnsi="Arial"/>
          <w:sz w:val="16"/>
          <w:szCs w:val="16"/>
          <w:i w:val="1"/>
          <w:iCs w:val="1"/>
          <w:color w:val="auto"/>
        </w:rPr>
        <w:t>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All years presented in the five year table were reclassified to conform to the current presentation.</w:t>
      </w:r>
    </w:p>
    <w:p>
      <w:pPr>
        <w:ind w:left="460" w:right="20" w:hanging="452"/>
        <w:spacing w:after="0" w:line="26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(ii) contributions to Arizona school tuition organizations in lieu of the payment of state income taxes, which we typically make in the fourth quarter of a fiscal year; (iii) share-based compensation and; (iv) one-time, unusual charges or gains, such as litigation and regulatory reserves, exit or lease termination costs, contract termination fees, or the gain recognized on the settlement of the note receivable.</w:t>
      </w:r>
    </w:p>
    <w:p>
      <w:pPr>
        <w:spacing w:after="0" w:line="1" w:lineRule="exact"/>
        <w:rPr>
          <w:rFonts w:ascii="Arial" w:cs="Arial" w:eastAsia="Arial" w:hAnsi="Arial"/>
          <w:sz w:val="17"/>
          <w:szCs w:val="17"/>
          <w:color w:val="auto"/>
        </w:rPr>
      </w:pPr>
    </w:p>
    <w:p>
      <w:pPr>
        <w:ind w:left="460" w:hanging="452"/>
        <w:spacing w:after="0" w:line="25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Enrollment at December 31, 2013, 2012, 2011 and 2010 represents individual students who attended a course during the last two months of the calendar quarter. Prior to our transition to a BBAY environment, enrollment had been defined as individual students that attended a course in a term that was in session as of the end of the quarter.</w:t>
      </w:r>
    </w:p>
    <w:p>
      <w:pPr>
        <w:spacing w:after="0" w:line="1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to Arizona school tuition organizations in lieu of the payment of state income taxes, share-based compensation, one time unusual charges or gains, such as estimated litigation and regulatory reserves, exit costs, contract and lease termination fees, and the gain recognized on the settlement of notes receivable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78"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statements included elsewhere in this Annual Report on Form 10-K.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Adjusted EBITDA to net income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jc w:val="right"/>
              <w:ind w:right="2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5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Net income</w:t>
            </w:r>
          </w:p>
        </w:tc>
        <w:tc>
          <w:tcPr>
            <w:tcW w:w="5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25,141</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16,738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172,063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135,679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98,898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estimated litigation and regulatory reserves</w:t>
            </w:r>
            <w:r>
              <w:rPr>
                <w:rFonts w:ascii="Arial" w:cs="Arial" w:eastAsia="Arial" w:hAnsi="Arial"/>
                <w:sz w:val="15"/>
                <w:szCs w:val="15"/>
                <w:color w:val="auto"/>
              </w:rPr>
              <w:t>(c)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3,807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gain on proceeds received from notes receivable</w:t>
            </w:r>
            <w:r>
              <w:rPr>
                <w:rFonts w:ascii="Arial" w:cs="Arial" w:eastAsia="Arial" w:hAnsi="Arial"/>
                <w:sz w:val="15"/>
                <w:szCs w:val="15"/>
                <w:color w:val="auto"/>
              </w:rPr>
              <w:t>(d)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5"/>
                <w:szCs w:val="15"/>
                <w:color w:val="auto"/>
              </w:rPr>
              <w: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185,086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149,593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107,428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80" w:hanging="452"/>
        <w:spacing w:after="0" w:line="25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Represents the amortization of prepaid royalty payments, as discussed in Note 3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contributions to various Arizona school tuition organizations to assist with funding for education. In connection with such contributions made we received a dollar-for-dollar state income tax credit, which resulted in a reduction in our effective income tax rate to 38.8%, 38.8% and 38.0% for the years ended December 31, 2013, 2012 and 2011, respectively. Had these contributions not been made, our effective tax rate would have been 39.8%, 39.8% and 38.7%, for 2013, 2012 and 2011, respectively. Such contributions are viewed by our management to be made in lieu of payments of state income taxes and are therefore excluded from evaluation of our core operating performance.</w:t>
      </w:r>
    </w:p>
    <w:p>
      <w:pPr>
        <w:spacing w:after="0" w:line="1" w:lineRule="exact"/>
        <w:rPr>
          <w:rFonts w:ascii="Arial" w:cs="Arial" w:eastAsia="Arial" w:hAnsi="Arial"/>
          <w:sz w:val="17"/>
          <w:szCs w:val="17"/>
          <w:color w:val="auto"/>
        </w:rPr>
      </w:pPr>
    </w:p>
    <w:p>
      <w:pPr>
        <w:ind w:left="460" w:right="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Reflects $3.9 million and $3.5 million for the program review reserve in 2013 and 2012, respectively, and $0.3 million for estimated litigation reserves in 2012. See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ind w:left="460" w:right="64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Represents gain on proceeds received from a note receivable purchased in December 2012. See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w:t>
      </w: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Reflects termination costs incurred related to the early termination of leased space, removal of deferred rent and leasehold improvements.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restricted stock awards and option grants made to employees and directors.</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 ended December 31, 2013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133-acre traditional campus in Phoenix, Arizona and onsite at facilities we lease and at facilities owned by third party employers. At December 31, 2013, we had approximately 59,700 students. At December 31, 2013, 83.1% of our students were enrolled in our online programs and, of our working adult students (online and professional studies students), 43.5% were pursuing master’s or doctoral degrees.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2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We believe the number of non-traditional students who work, are raising a family, or are doing both while</w:t>
      </w:r>
      <w:r>
        <w:rPr>
          <w:rFonts w:ascii="Arial" w:cs="Arial" w:eastAsia="Arial" w:hAnsi="Arial"/>
          <w:sz w:val="16"/>
          <w:szCs w:val="16"/>
          <w:b w:val="1"/>
          <w:bCs w:val="1"/>
          <w:color w:val="auto"/>
        </w:rPr>
        <w:t xml:space="preserve"> </w:t>
      </w:r>
      <w:r>
        <w:rPr>
          <w:rFonts w:ascii="Arial" w:cs="Arial" w:eastAsia="Arial" w:hAnsi="Arial"/>
          <w:sz w:val="16"/>
          <w:szCs w:val="16"/>
          <w:color w:val="auto"/>
        </w:rPr>
        <w:t>trying to earn a college degree continues to grow. The continued economic environment in the U.S., however, has caused an increased number of potential students and/or their parents to consider the cost of education as a primary factor in choosing the school that they will attend. Given these trends, we believe that many individuals will be attracted to our high quality academic programs at affordable tuition rates. We also believe that competition for students continues to increase. We compete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face increasing competition for students from such institutions, including those with well-established reputations for excellence. In addition, we also are experiencing competition from various emerging nontraditional, credit-bearing and noncredit-bearing education programs, provided by both proprietary and not-for-profit providers, including massive open online courses (MOOCs) offered worldwide without charge by traditional educational institutions and other direct-to-consumer education services.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Regulation and Oversight. </w:t>
      </w:r>
      <w:r>
        <w:rPr>
          <w:rFonts w:ascii="Arial" w:cs="Arial" w:eastAsia="Arial" w:hAnsi="Arial"/>
          <w:sz w:val="17"/>
          <w:szCs w:val="17"/>
          <w:color w:val="auto"/>
        </w:rPr>
        <w:t>We are subject to extensive regulation by federal and state governmental agencies and accrediting bodies. In particular, the</w:t>
      </w:r>
      <w:r>
        <w:rPr>
          <w:rFonts w:ascii="Arial" w:cs="Arial" w:eastAsia="Arial" w:hAnsi="Arial"/>
          <w:sz w:val="17"/>
          <w:szCs w:val="17"/>
          <w:b w:val="1"/>
          <w:bCs w:val="1"/>
          <w:color w:val="auto"/>
        </w:rPr>
        <w:t xml:space="preserve"> </w:t>
      </w:r>
      <w:r>
        <w:rPr>
          <w:rFonts w:ascii="Arial" w:cs="Arial" w:eastAsia="Arial" w:hAnsi="Arial"/>
          <w:sz w:val="17"/>
          <w:szCs w:val="17"/>
          <w:color w:val="auto"/>
        </w:rPr>
        <w:t>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 See Item 1. Business – Regulation.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are subject. We cannot predict what legislation, if any, may result from these Congressional proposals or what impact any such legislation might have on the proprietary education sector generally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2013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experienced the following significant events in 2013:</w:t>
      </w:r>
    </w:p>
    <w:p>
      <w:pPr>
        <w:spacing w:after="0" w:line="131" w:lineRule="exact"/>
        <w:rPr>
          <w:sz w:val="20"/>
          <w:szCs w:val="20"/>
          <w:color w:val="auto"/>
        </w:rPr>
      </w:pPr>
    </w:p>
    <w:p>
      <w:pPr>
        <w:ind w:left="1480" w:right="100" w:hanging="567"/>
        <w:spacing w:after="0" w:line="269" w:lineRule="auto"/>
        <w:tabs>
          <w:tab w:leader="none" w:pos="1480" w:val="left"/>
        </w:tabs>
        <w:numPr>
          <w:ilvl w:val="0"/>
          <w:numId w:val="29"/>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Enrollment, Net Revenue, and Operating Income Growth.</w:t>
      </w:r>
      <w:r>
        <w:rPr>
          <w:rFonts w:ascii="Arial" w:cs="Arial" w:eastAsia="Arial" w:hAnsi="Arial"/>
          <w:sz w:val="17"/>
          <w:szCs w:val="17"/>
          <w:i w:val="1"/>
          <w:iCs w:val="1"/>
          <w:color w:val="auto"/>
        </w:rPr>
        <w:t xml:space="preserve"> </w:t>
      </w:r>
      <w:r>
        <w:rPr>
          <w:rFonts w:ascii="Arial" w:cs="Arial" w:eastAsia="Arial" w:hAnsi="Arial"/>
          <w:sz w:val="17"/>
          <w:szCs w:val="17"/>
          <w:color w:val="auto"/>
        </w:rPr>
        <w:t>We achieved enrollment growth of 14.1% for the fiscal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as compared to the fiscal year ended December 31, 2012, as ground enrollment increased 32.6% and online enrollment increased 10.9%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the public universities in the state of Arizona as an in-state student. Net revenues increased 17.0% over the prior year primarily due to the enrollment growth and due to an increase in ancillary revenues resulting from the increased traditional student enrollment (e.g. housing, food, parking, etc.). We did not raise tuition in any of our programs for our 2013-2014 academic year and have not raised our tuition for our traditional ground programs in four years. Operating income was $143.3 million for the fiscal year ended December 31, 2013, an increase of 25.6% over the $114.1 million in operating income for 2012.</w:t>
      </w:r>
    </w:p>
    <w:p>
      <w:pPr>
        <w:spacing w:after="0" w:line="88" w:lineRule="exact"/>
        <w:rPr>
          <w:rFonts w:ascii="Arial" w:cs="Arial" w:eastAsia="Arial" w:hAnsi="Arial"/>
          <w:sz w:val="17"/>
          <w:szCs w:val="17"/>
          <w:b w:val="1"/>
          <w:bCs w:val="1"/>
          <w:color w:val="auto"/>
        </w:rPr>
      </w:pPr>
    </w:p>
    <w:p>
      <w:pPr>
        <w:ind w:left="1480" w:hanging="567"/>
        <w:spacing w:after="0" w:line="270" w:lineRule="auto"/>
        <w:tabs>
          <w:tab w:leader="none" w:pos="1480" w:val="left"/>
        </w:tabs>
        <w:numPr>
          <w:ilvl w:val="0"/>
          <w:numId w:val="29"/>
        </w:numPr>
        <w:rPr>
          <w:rFonts w:ascii="Arial" w:cs="Arial" w:eastAsia="Arial" w:hAnsi="Arial"/>
          <w:sz w:val="17"/>
          <w:szCs w:val="17"/>
          <w:b w:val="1"/>
          <w:bCs w:val="1"/>
          <w:color w:val="auto"/>
        </w:rPr>
      </w:pPr>
      <w:r>
        <w:rPr>
          <w:rFonts w:ascii="Arial" w:cs="Arial" w:eastAsia="Arial" w:hAnsi="Arial"/>
          <w:sz w:val="17"/>
          <w:szCs w:val="17"/>
          <w:i w:val="1"/>
          <w:iCs w:val="1"/>
          <w:u w:val="single" w:color="auto"/>
          <w:color w:val="auto"/>
        </w:rPr>
        <w:t>Increased Brand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Our brand recognition for our traditional campus was highlighted throughout 2013 primarily due to highly</w:t>
      </w:r>
      <w:r>
        <w:rPr>
          <w:rFonts w:ascii="Arial" w:cs="Arial" w:eastAsia="Arial" w:hAnsi="Arial"/>
          <w:sz w:val="17"/>
          <w:szCs w:val="17"/>
          <w:i w:val="1"/>
          <w:iCs w:val="1"/>
          <w:color w:val="auto"/>
        </w:rPr>
        <w:t xml:space="preserve"> </w:t>
      </w:r>
      <w:r>
        <w:rPr>
          <w:rFonts w:ascii="Arial" w:cs="Arial" w:eastAsia="Arial" w:hAnsi="Arial"/>
          <w:sz w:val="17"/>
          <w:szCs w:val="17"/>
          <w:color w:val="auto"/>
        </w:rPr>
        <w:t>visible awards and recognition we received. The University won the 2013 honor as “Economic Driver” for large Phoenix-area businesses and also Business of the Year for the large-business sector as awarded by Phoenix Chamber of Commerce. The University won the 2012-13 and 2011-12 Learfield Sports Directors Cup as the top overall NCAA Division II intercollegiate athletic program based on the combined success in all of the sports in which we competed. In November 2012, we accepted an invitation to be a member of the NCAA Division I Western Athletic Conference beginning with the 2013-14 academic year and in September 2013 we began playing full Division I schedules. Our home men’s basketball games are televised locally and we have averaged over 4,000 fans at these games which is the second highest average attendance in our conference. We believe this increased brand recognition has been the primary factor behind our increased enrollment, especially in Arizona and bordering states.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0" w:hanging="446"/>
        <w:spacing w:after="0" w:line="271"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i w:val="1"/>
          <w:iCs w:val="1"/>
          <w:u w:val="single" w:color="auto"/>
          <w:color w:val="auto"/>
        </w:rPr>
        <w:t>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Our capital expenditures in 2013 of $78.9 million were primarily related to the expansion of our physical campus</w:t>
      </w:r>
      <w:r>
        <w:rPr>
          <w:rFonts w:ascii="Arial" w:cs="Arial" w:eastAsia="Arial" w:hAnsi="Arial"/>
          <w:sz w:val="17"/>
          <w:szCs w:val="17"/>
          <w:i w:val="1"/>
          <w:iCs w:val="1"/>
          <w:color w:val="auto"/>
        </w:rPr>
        <w:t xml:space="preserve"> </w:t>
      </w:r>
      <w:r>
        <w:rPr>
          <w:rFonts w:ascii="Arial" w:cs="Arial" w:eastAsia="Arial" w:hAnsi="Arial"/>
          <w:sz w:val="17"/>
          <w:szCs w:val="17"/>
          <w:color w:val="auto"/>
        </w:rPr>
        <w:t>and significant investments in technology innovation to support our students and staff. In 2013, we completed two additional dormitories, which include additional work-out facilities and an expansion of our student union which includes additional food services and library space. We also started construction on a new classroom building to support our increasing traditional student enrollment as well as purchases of computer equipment, internal use software projects and furniture and equipment. In addition, during 2013 we spent $14.5 million to refurbish a building that is located less than two miles from our Phoenix, Arizona traditional campus and is being used as office space for our employees. These investments are intended to support our growing on-campus student population as well as enhance the brand of the University.</w:t>
      </w:r>
    </w:p>
    <w:p>
      <w:pPr>
        <w:spacing w:after="0" w:line="84" w:lineRule="exact"/>
        <w:rPr>
          <w:rFonts w:ascii="Arial" w:cs="Arial" w:eastAsia="Arial" w:hAnsi="Arial"/>
          <w:sz w:val="17"/>
          <w:szCs w:val="17"/>
          <w:color w:val="auto"/>
        </w:rPr>
      </w:pPr>
    </w:p>
    <w:p>
      <w:pPr>
        <w:ind w:left="1480" w:right="160" w:hanging="446"/>
        <w:spacing w:after="0" w:line="270"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i w:val="1"/>
          <w:iCs w:val="1"/>
          <w:u w:val="single" w:color="auto"/>
          <w:color w:val="auto"/>
        </w:rPr>
        <w:t>Community Involvement and the Public Good</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University is involved in more than 120 community events and projects throughout</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We put on a Fall festival in October that draws more than 5,000 people to campus, and popular gift drives at Christmas and Easter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 In September 2013, the University launched a free mentoring and tutoring program for students at nearby Alhambra High School in hopes of raising the math, reading skills and confidence of underperforming students at the Phoenix school, many of whom come from disadvantaged minority households. Our students are serving as tutors and mentors to these high school students and the results thus far have been extremely positive. We anticipate expanding this program to other high schools as part of our K-12 Outreach Program with our communities.</w:t>
      </w:r>
    </w:p>
    <w:p>
      <w:pPr>
        <w:spacing w:after="0" w:line="87" w:lineRule="exact"/>
        <w:rPr>
          <w:rFonts w:ascii="Arial" w:cs="Arial" w:eastAsia="Arial" w:hAnsi="Arial"/>
          <w:sz w:val="17"/>
          <w:szCs w:val="17"/>
          <w:color w:val="auto"/>
        </w:rPr>
      </w:pPr>
    </w:p>
    <w:p>
      <w:pPr>
        <w:ind w:left="1480" w:right="360" w:hanging="446"/>
        <w:spacing w:after="0" w:line="264"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i w:val="1"/>
          <w:iCs w:val="1"/>
          <w:u w:val="single" w:color="auto"/>
          <w:color w:val="auto"/>
        </w:rPr>
        <w:t>Program Participation Agreement</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October 28, 2013, the University received a new program participation agreement with full</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certification from the Department of Education, which gives the University the ability to participate in the Title IV programs through September 30, 2017.</w:t>
      </w:r>
    </w:p>
    <w:p>
      <w:pPr>
        <w:spacing w:after="0" w:line="86" w:lineRule="exact"/>
        <w:rPr>
          <w:rFonts w:ascii="Arial" w:cs="Arial" w:eastAsia="Arial" w:hAnsi="Arial"/>
          <w:sz w:val="18"/>
          <w:szCs w:val="18"/>
          <w:color w:val="auto"/>
        </w:rPr>
      </w:pPr>
    </w:p>
    <w:p>
      <w:pPr>
        <w:ind w:left="1480" w:hanging="446"/>
        <w:spacing w:after="0" w:line="270"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i w:val="1"/>
          <w:iCs w:val="1"/>
          <w:u w:val="single" w:color="auto"/>
          <w:color w:val="auto"/>
        </w:rPr>
        <w:t>Conclusion of Program Review.</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its administration of the Title IV federal student financial aid programs,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periodically conducts program reviews at selected schools that receive Title IV funds. In July 2010, the Department of Education initiated a program review of Grand Canyon University covering the 2008-2009 and 2009-2010 award years.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related to allegedly improper payment of incentive compensation to enrollment counselors, offering an ineligible program, and improper procedures related to conducting financial aid returns for students with non-passing grades. On September 27, 2013, the University and the Department of Education entered into an agreement that fully resolved the findings in the preliminary program review report and closed the program review.</w:t>
      </w:r>
    </w:p>
    <w:p>
      <w:pPr>
        <w:spacing w:after="0" w:line="83" w:lineRule="exact"/>
        <w:rPr>
          <w:rFonts w:ascii="Arial" w:cs="Arial" w:eastAsia="Arial" w:hAnsi="Arial"/>
          <w:sz w:val="17"/>
          <w:szCs w:val="17"/>
          <w:color w:val="auto"/>
        </w:rPr>
      </w:pPr>
    </w:p>
    <w:p>
      <w:pPr>
        <w:ind w:left="1480" w:right="40" w:hanging="446"/>
        <w:spacing w:after="0" w:line="302" w:lineRule="auto"/>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i w:val="1"/>
          <w:iCs w:val="1"/>
          <w:u w:val="single" w:color="auto"/>
          <w:color w:val="auto"/>
        </w:rPr>
        <w:t>Plans announced for east Mesa campus.</w:t>
      </w:r>
      <w:r>
        <w:rPr>
          <w:rFonts w:ascii="Arial" w:cs="Arial" w:eastAsia="Arial" w:hAnsi="Arial"/>
          <w:sz w:val="16"/>
          <w:szCs w:val="16"/>
          <w:i w:val="1"/>
          <w:iCs w:val="1"/>
          <w:color w:val="auto"/>
        </w:rPr>
        <w:t xml:space="preserve"> </w:t>
      </w:r>
      <w:r>
        <w:rPr>
          <w:rFonts w:ascii="Arial" w:cs="Arial" w:eastAsia="Arial" w:hAnsi="Arial"/>
          <w:sz w:val="16"/>
          <w:szCs w:val="16"/>
          <w:color w:val="auto"/>
        </w:rPr>
        <w:t>During 2013, we announced our plans to acquire 100 acres for the development of a second</w:t>
      </w:r>
      <w:r>
        <w:rPr>
          <w:rFonts w:ascii="Arial" w:cs="Arial" w:eastAsia="Arial" w:hAnsi="Arial"/>
          <w:sz w:val="16"/>
          <w:szCs w:val="16"/>
          <w:i w:val="1"/>
          <w:iCs w:val="1"/>
          <w:color w:val="auto"/>
        </w:rPr>
        <w:t xml:space="preserve"> </w:t>
      </w:r>
      <w:r>
        <w:rPr>
          <w:rFonts w:ascii="Arial" w:cs="Arial" w:eastAsia="Arial" w:hAnsi="Arial"/>
          <w:sz w:val="16"/>
          <w:szCs w:val="16"/>
          <w:color w:val="auto"/>
        </w:rPr>
        <w:t>campus in Mesa, Arizona as part of a unique mixed-use project called Eastmark. Classes would begin on the site in 2015, and enrollment eventually could approach 10,000 students. The University currently has plans to spend approximately $170 million in the next two years in infrastructure and construction costs which we believe would bring the campus to a capacity of 5,000 students.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timing of our ground traditional campus semesters; (vi) the amount of the scholarships that we offer; and (vii) the number of students housed in, and the rent charged for, our on-campus student apartments and dormitories.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define enrollment as individual students who attended a course during the last two months of the calendar quarter. We offer three 15-week semesters in a calendar year with one start available per semester for our traditional ground students. Online and professional studies students have more frequent class starts in five-, seven- or eight-week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our brand strength and price point;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student enrollment at December 31, 2013, 2012, and 2011 by degree type and by instructional delivery method: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2011</w:t>
            </w:r>
            <w:r>
              <w:rPr>
                <w:rFonts w:ascii="Arial" w:cs="Arial" w:eastAsia="Arial" w:hAnsi="Arial"/>
                <w:sz w:val="12"/>
                <w:szCs w:val="12"/>
                <w:b w:val="1"/>
                <w:bCs w:val="1"/>
                <w:color w:val="auto"/>
              </w:rPr>
              <w:t>(1)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4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Undergraduate degree</w:t>
            </w:r>
          </w:p>
        </w:tc>
        <w:tc>
          <w:tcPr>
            <w:tcW w:w="760" w:type="dxa"/>
            <w:vAlign w:val="bottom"/>
          </w:tcPr>
          <w:p>
            <w:pPr>
              <w:jc w:val="right"/>
              <w:spacing w:after="0"/>
              <w:rPr>
                <w:sz w:val="20"/>
                <w:szCs w:val="20"/>
                <w:color w:val="auto"/>
              </w:rPr>
            </w:pPr>
            <w:r>
              <w:rPr>
                <w:rFonts w:ascii="Arial" w:cs="Arial" w:eastAsia="Arial" w:hAnsi="Arial"/>
                <w:sz w:val="18"/>
                <w:szCs w:val="18"/>
                <w:color w:val="auto"/>
              </w:rPr>
              <w:t>37,182</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62.3%</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32,897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26,742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52,292</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r>
              <w:rPr>
                <w:rFonts w:ascii="Arial" w:cs="Arial" w:eastAsia="Arial" w:hAnsi="Arial"/>
                <w:sz w:val="12"/>
                <w:szCs w:val="12"/>
                <w:b w:val="1"/>
                <w:bCs w:val="1"/>
                <w:color w:val="auto"/>
              </w:rPr>
              <w:t>(1)</w:t>
            </w:r>
          </w:p>
        </w:tc>
        <w:tc>
          <w:tcPr>
            <w:tcW w:w="6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4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10,078</w:t>
            </w:r>
          </w:p>
        </w:tc>
        <w:tc>
          <w:tcPr>
            <w:tcW w:w="4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16.9%</w:t>
            </w:r>
          </w:p>
        </w:tc>
        <w:tc>
          <w:tcPr>
            <w:tcW w:w="760" w:type="dxa"/>
            <w:vAlign w:val="bottom"/>
          </w:tcPr>
          <w:p>
            <w:pPr>
              <w:jc w:val="right"/>
              <w:spacing w:after="0"/>
              <w:rPr>
                <w:sz w:val="20"/>
                <w:szCs w:val="20"/>
                <w:color w:val="auto"/>
              </w:rPr>
            </w:pPr>
            <w:r>
              <w:rPr>
                <w:rFonts w:ascii="Arial" w:cs="Arial" w:eastAsia="Arial" w:hAnsi="Arial"/>
                <w:sz w:val="18"/>
                <w:szCs w:val="18"/>
                <w:color w:val="auto"/>
              </w:rPr>
              <w:t>7,602</w:t>
            </w:r>
          </w:p>
        </w:tc>
        <w:tc>
          <w:tcPr>
            <w:tcW w:w="4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800" w:type="dxa"/>
            <w:vAlign w:val="bottom"/>
          </w:tcPr>
          <w:p>
            <w:pPr>
              <w:jc w:val="right"/>
              <w:spacing w:after="0"/>
              <w:rPr>
                <w:sz w:val="20"/>
                <w:szCs w:val="20"/>
                <w:color w:val="auto"/>
              </w:rPr>
            </w:pPr>
            <w:r>
              <w:rPr>
                <w:rFonts w:ascii="Arial" w:cs="Arial" w:eastAsia="Arial" w:hAnsi="Arial"/>
                <w:sz w:val="18"/>
                <w:szCs w:val="18"/>
                <w:color w:val="auto"/>
              </w:rPr>
              <w:t>4,999</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60" w:hanging="452"/>
        <w:spacing w:after="0" w:line="254"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Enrollment at December 31, 2013, 2012 and 2011 represents individual students who attended a course during the last two months of the calendar quarter. Included in enrollment at December 31, 2013, 2012 and 2011 are students pursuing non-degree certificates of 487, 440, and 388, respectively. The 2012 and 2011 amounts also included high school dual credit students of 229 and 111, respectively. We are no longer including these students in our enrollment.</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Includes 4,285, 3,065 and 1,924 students pursuing doctoral degrees at December 31, 2013, 2012 and 2011, respectively.</w:t>
      </w:r>
    </w:p>
    <w:p>
      <w:pPr>
        <w:spacing w:after="0" w:line="9" w:lineRule="exact"/>
        <w:rPr>
          <w:rFonts w:ascii="Arial" w:cs="Arial" w:eastAsia="Arial" w:hAnsi="Arial"/>
          <w:sz w:val="15"/>
          <w:szCs w:val="15"/>
          <w:color w:val="auto"/>
        </w:rPr>
      </w:pPr>
    </w:p>
    <w:p>
      <w:pPr>
        <w:ind w:left="460" w:right="54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As of December 31, 2013, 2012 and 2011, 43.5%, 41.9% and 42.8%, respectively, of our working adult students (online and professional studies students) were pursuing graduate or doctoral degrees.</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21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For the 2012-13 and 2013-14 academic years (the academic year begins in May), our prices per credit hour range from $350 to $465 for undergraduate online and professional studies courses, $495 to $600 for graduate online courses, $630 for doctoral online programs, and $688 for undergraduate courses for ground students. For our active duty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18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$17,340 and $24,480 for an online master’s program, between $42,000 and $55,800 for a full four-year online bachelor’s program, $37,800 and $39,700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example, the average student on our ground traditional campus will pay less than $8,000 in tuition in the 2013-14 school year after scholarships. Thus, based on the number of transfer credits and the scholarships they receive it is likely that a student will pay less than $30,000 in tuition for a bachelor’s degree on our ground campus. For the years ended December 31, 2013, 2012 and 2011, our revenue was reduced by approximately $111.8 million, $94.3 million and $73.6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per student for the year ended December 31, 2013 increased over 2012 as a result of improved retention and the increase in traditional ground students as a percentage of our total enrollment. Revenue per student for our ground traditional students is higher than our working adult students due to room and board and other fees. We did not raise tuition in any of our programs for our 2013-14 academic year and have not raised our tuition for our traditional ground program in four years.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93"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derive a majority of our net revenues from tuition financed by the Title IV programs. For the years ended December 31, 2013, 2012 and 2011, we derived cash receipts equal to approximately 78.5%, 80.3%, and 80.2%, respectively, of our net revenues from Title IV programs. Our students also rely on scholarships, personal savings, private loans, and employer tuition reimbursements to pay a portion of their tuition and related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 - Financial Statement Presentation</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reclassified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we have separated admissions advisory and related expenses from advertising, and marketing and promotional expenses as the admissions personnel role has evolved into one in which a substantial amount of time is spent educating students not only during the admissions process but also through matriculation and during their program of study.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including electronic media.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University previously reported costs related to our admissions advisory personnel in selling and promotional expenses on our Consolidated Income Statement. 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above, the University previously reported advertising costs in selling and promotional expenses on our Consolidated Income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include brand advertising, marketing leads and other branding activities. Advertising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University previously reported costs related to our marketing and promotional expenses in selling and promotional expenses on our Consolidated Income Statement. Marketing and promotional expenses include salaries, benefits and share-based compensation for marketing personnel, and other promotional expenses. This category also includes an allocation of depreciation, amortization, rent, and occupancy costs attributable to marketing and promotional activities. Marketing and promotional costs are expensed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General and administrative expenses include salaries, and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reclassified our operating expenses for prior periods to conform to the above disaggregation and revisions to our presentation. There were no changes to total operating expenses or operating income as a result of these reclassifications.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 approximately 133-acre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traditional campus in Phoenix, Arizona, and onsite at facilities we lease or those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we continue to recognize the tuition that was not refunded pro-rata over the term of the course and as the amount subject to refund is never greater than the amount of revenue that has been deferred, under our accounting policies revenue is not recognized with respect to amounts that could potentially be refunded. Sales tax collected from students is excluded from net revenues. We also charge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7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Allowance for doubtful accounts</w:t>
      </w:r>
      <w:r>
        <w:rPr>
          <w:rFonts w:ascii="Arial" w:cs="Arial" w:eastAsia="Arial" w:hAnsi="Arial"/>
          <w:sz w:val="16"/>
          <w:szCs w:val="16"/>
          <w:color w:val="auto"/>
        </w:rPr>
        <w:t>. In accordance with our policy, all prospective students are required to select both a primary and secondary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with respect to amounts due to us for tuition, fees and other expenses. The most common payment option for our students is financial aid but students may also choose personal cash, tuition reimbursement, or direct bill to their employer. Financial aid loan funds are generally provided by the Federal Direct Loan Program in two disbursements for each academic year. The disbursements are usually received two to four weeks after the start of the first course in a payment period. These factors, together with the timing of students’ beginning their programs, affect our operating cash flow including our accounts receivable balance.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If the withdrawal occurs before the date at which the student has earned 100% of his or her financial aid, we will have a return to Title IV requirement and the student will owe us all amounts incurred that are in excess of the amount of financial aid that the student earned and that we are entitled to retain. In this case, we must collect the receivable using the student’s second payment option. In instances in which the student chose to receive living expense funds as part of his or her financial aid disbursement, we are required to return the unearned portion of these funds as well and then collect these amounts from the student.</w:t>
      </w:r>
    </w:p>
    <w:p>
      <w:pPr>
        <w:spacing w:after="0" w:line="16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record an allowance for doubtful accounts for estimated losses resulting from the inability, failure or refusal of our students to make required payments, which includes the recovery of financial aid funds advanced to a student for amounts in excess of the student’s cost of tuition and related fees.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have historically written off accounts receivable at the earlier of the time the balance is deemed uncollectible, or one year after the revenue is generated. We reserve for receivables due from inactive students on a more accelerated basis than those due from active students and write off inactive student accounts at 150 days, as amounts due from inactive students are much more difficult to collect than amounts due from active students. We monitor our collections and write-off experience to assess whether adjustments are necessary.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 liabilities for future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Commencing in January 2008,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100.0%</w:t>
            </w:r>
          </w:p>
        </w:tc>
        <w:tc>
          <w:tcPr>
            <w:tcW w:w="10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Instructional costs and services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Admissions advisory and related</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16.2</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16.8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w:t>
            </w: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Marketing and promotional</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0.9</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0.9</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w:t>
            </w: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Lease termination costs</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0.0</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0.0</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r>
      <w:tr>
        <w:trPr>
          <w:trHeight w:val="27"/>
        </w:trPr>
        <w:tc>
          <w:tcPr>
            <w:tcW w:w="6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76.1</w:t>
            </w: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5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5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w:t>
            </w:r>
          </w:p>
        </w:tc>
        <w:tc>
          <w:tcPr>
            <w:tcW w:w="104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0.0</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r>
      <w:tr>
        <w:trPr>
          <w:trHeight w:val="27"/>
        </w:trPr>
        <w:tc>
          <w:tcPr>
            <w:tcW w:w="6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w:t>
            </w: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8.6</w:t>
            </w: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r>
      <w:tr>
        <w:trPr>
          <w:trHeight w:val="27"/>
        </w:trPr>
        <w:tc>
          <w:tcPr>
            <w:tcW w:w="69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w:t>
            </w:r>
          </w:p>
        </w:tc>
        <w:tc>
          <w:tcPr>
            <w:tcW w:w="104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2013 was $598.3 million, an increase of $87.0 million, or 17.0%,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$511.3 million for the year ended December 31, 2012. This increase was primarily due to an increase in ground and online enrollment and, to a lesser extent, an increase in room and board and other student fees, partially offset by an increase in institutional scholarships. We did not raise tuition in any of our programs for our 2013-14 academic year and have not raised our tuition for our traditional ground program in four years. End-of-period enrollment increased 14.1% between December 31, 2013 and 2012, as ground enrollment increased 32.6% and online enrollment increased 10.9%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As the proportion of traditional colleges and universities providing alternative learning modalities increases, we will face increasing competition for working adult students from such institutions, including those with well-established reputations for excellence.</w:t>
      </w:r>
    </w:p>
    <w:p>
      <w:pPr>
        <w:spacing w:after="0" w:line="18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2013 were $254.4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$34.0 million, or 15.4%, as compared to instructional costs and services expenses of $220.4 million for the year ended December 31, 2012. This increase was primarily due to increases in instructional compensation and related expenses including share-based compensation, faculty compensation, dues, fees, subscriptions and other instructional supplies, depreciation and amortization, bad debt expense, and other miscellaneous instructional costs and services of $10.5 million, $8.0 million, $5.7 million, $4.1 million, $1.9 million, and $3.8 million. The increase in employee compensation and related expenses and faculty compensation are primarily due to the increase in the number of staff to support the increasing number of students attending the University. In addition, we continue to increase our online full-time faculty and have incurred an increase in benefit costs between years. We also incurred an increase in dues, fees, subscriptions and other instructional supplies due to increased licensing fees related to educational resources and increased food costs associated with a higher number of residential students. The increase in depreciation and amortization is the result of us placing into service two additional dormitories, an Arts and Sciences classroom building, and a parking garage for our ground traditional campus in the Fall of 2012 and two additional dormitories and the renovated student union in the Fall of 2013. Our instructional costs and services expenses as a percentage of net revenue decreased by 0.6% to 42.5% for the year ended December 31, 2013, as compared to 43.1% for the year ended December 31, 2012 as bad debt expense decreased to 3.3% of net revenues for the year ended December 31, 2013 from 3.5% of net revenues for the year ended December 31, 2012 as well as our ability to leverage our instructional costs and services across an increasing revenue base.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year ended December 31, 2013 were $97.1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$11.2 million, or 13.0%, as compared to admissions advisory and related expenses of $85.9 million for the year ended December 31, 2012. This increase was primarily due to increases in employee compensation and related expenses, revenue share, and other admissions advisory expenses of $8.6 million, $1.2 million and $1.4 million, respectively. Employee compensation and related expenses increased as a result of increasing the number of ground traditional enrollment counselors between years as well as increases in benefit expenses between years. Our admissions advisory and related expenses as a percentage of net revenue decreased by 0.6% to 16.2% for the year ended December 31, 2013, from 16.8% for the year ended December 31, 2012 primarily due to our ability to leverage our admissions advisory personnel across an increasing revenue base.</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year ended December 31, 2013 were $61.0 million, an increase of $10.0 million, or 19.5%,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$51.0 million for the year ended December 31, 2012. This increase was primarily due to increased brand advertising focused on the southwestern United States region. Our advertising expenses as a percentage of net revenue increased by 0.2% to 10.2% for the year ended December 31, 2013, from 10.0% for the year ended December 31, 2012.</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year ended December 31, 2013 were $5.6 million,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$1.2 million, or 29.5%, as compared to marketing and promotional expenses of $4.4 million for the year ended December 31, 2012. This increase was primarily the result of increases in employee compensation and related expenses of $1.1 million. Our marketing and promotional expenses as a percentage of net revenue stayed flat at 0.9% for both of the years ended December 31, 2013 and 2012.</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year ended December 31, 2013 were $36.9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$1.4 million, or 4.0%, as compared to general and administrative expenses of $35.5 million for the year ended December 31, 2012. This increase was primarily due to an increase in employee compensation and related expenses including share-based compensation of $1.6 million due primarily to increased headcount to support our increasing number of students and an increase in benefit costs between years, partially offset by a decrease in legal costs between years. Our general and administrative expenses as a percentage of net revenue decreased by 0.7% to 6.2% for the year ended December 31, 2013, from 6.9% for the year ended December 31, 2012.</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2013 was $2.2 million, an increase of $1.5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$0.7 million for the year ended December 31, 2012. This increase was primarily due to the expansion of our credit facility in December 2012. Our interest expense increased as a percentage of net revenue by 0.3% to 0.4% for the year ended December 31, 2013, from 0.1% for the year ended December 31, 2012.</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 Our interest and other income for the year ended December 31, 2013 was $3.9 million, an increase of $3.8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and other income of $0.1 million for the year ended December 31, 2012. The increase was primarily due to late penalty income and default interest earned on a settlement of a note receivable purchased in 2012.</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2013 was $56.2 million, an increase of $12.2 million from $44.0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2012. This increase was primarily attributable to increased income before income taxes. Our effective tax rate was 38.8% for both the year ended December 31, 2013 and 2012.</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2013 was $88.7 million, an increase of $19.3 million, as compared to $69.4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2012, due to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year ended December 31, 2012 was $511.3 million, an increase of $84.6 million, or 19.8%, as compared to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$426.7 million for the year ended December 31, 2011. This increase was primarily due to an increase in ground and online enrollment and, to a lesser extent, increases in the average tuition per student as a result of improved retention, selective tuition price increases and an increase in room and board and other student fees, partially offset by an increase in institutional scholarships. End-of-period enrollment increased 19.1% between December 31, 2012 and 2011, as ground enrollment increased 52.1% and online enrollment increased 14.8%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2012 were $220.4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$25.6 million, or 13.1%, as compared to instructional costs and services expenses of $194.8 million for the year ended December 31, 2011. This increase was primarily due to increases in instructional compensation and related expenses including share-based compensation, faculty compensation, depreciation and amortization, dues, fees, subscriptions and other instructional supplies, program review reserve, arena expense and other miscellaneous instructional costs and services of $15.8 million, $7.4 million, $4.7 million, $5.2 million, $3.5 million, $1.3 million and $4.1 million. These increases were partially offset by a decrease in bad debt expense of $16.4 million. The increases in instructional and faculty compensation are primarily attributable to the increase in headcount (both staff and faculty) needed to provide student instruction and support services to support the increase in enrollments as well as increased benefit expenses such as medical costs and education benefits. Additionally, in 2011 a reversal of $0.7 million was recorded in employee compensation for amounts accrued in previous periods that were to be paid to non-enrollment employees for students they previously recruited and for which bonuses were to be paid when those students completed 24 credit hours. As a result of new compensation rules that became effective on July 1, 2011, these amounts could no longer be paid. The increase in depreciation and amortization is the result of our continued growth and expansion of the ground traditional campus in order to accommodate the growth in our traditional ground enrollment. The reserve for our program review represents the amounts returned related to certain Pell grants. We also incurred an increase in dues, fees, subscriptions and other instructional supplies due to increased licensing fees related to educational resources and increased food costs associated with a higher number of residential students. Arena expenses are higher in 2012 since we were only open for four months in 2011 compared to a full year of expenses in 2012. Our instructional costs and services expenses as a percentage of net revenue decreased by 2.5% to 43.1% for the year ended December 31, 2012, as compared to 45.6% for the year ended December 31, 2011. This decrease was a result of a decrease in bad debt expense as a percentage of net revenues from 8.1% in the year ended December 31, 2011 to 3.5% for the year ended December 31, 2012. This decrease was partially offset by increases as a percentage of net revenues in instructional employee compensation and related expenses, depreciation expense, program review reserve, dues, fees and other instructional supplies, share-based compensation and arena expenses. Bad debt expense decreased to $18.0 million or 3.5% of net revenues for the year ended December 31, 2012 from $34.4 million or 8.1% of net revenues for the year ended December 31, 2011 as a result of improved collections of receivables due from current students between periods due to operational improvements made during 2011 and a reduction in receivables due from former students, primarily due to improved retention.</w:t>
      </w:r>
    </w:p>
    <w:p>
      <w:pPr>
        <w:spacing w:after="0" w:line="18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year ended December 31, 2012 were $85.9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$15.1 million, or 21.4%, as compared to admissions advisory and related expenses of $70.8 million for the year ended December 31, 2011. This increase was primarily due to increases in employee compensation and related expenses, revenue share, and other admissions advisory expenses of $12.4 million, $1.9 million and $0.7 million, respectively. Employee compensation and related expenses increased as a result of increasing the number of enrollment counselors between years as well as increases in benefit expenses between years. Additionally, during the second quarter of 2011, we reversed $1.5 million of amounts accrued in previous periods that were to be paid to enrollment employees for students they previously recruited and for which bonuses were to be paid when those students completed 24 credit hours. Due to the compensation rule changes effective July 1, 2011 these amounts could no longer be paid. The revenue share expense increased due to us entering into a new revenue sharing agreement with MindStreams, L.L.C. in the third quarter of 2011. Our admissions advisory and related expenses as a percentage of net revenue increased by 0.2% to 16.8% for the year ended December 31, 2012, from 16.6% for the year ended December 31, 2011.</w:t>
      </w:r>
    </w:p>
    <w:p>
      <w:pPr>
        <w:spacing w:after="0" w:line="17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year ended December 31, 2012 were $51.0 million, an increase of $5.4 million, or 11.9%,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$45.6 million for the year ended December 31, 2011. This increase was primarily due to increased brand advertising focused on the southwestern United States region. Our advertising expenses as a percentage of net revenue decreased by 0.7% to 10.0% for the year ended December 31, 2012, from 10.7% for the year ended December 31, 2011.</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year ended December 31, 2012 were $4.4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$0.8 million, or 20.8%, as compared to marketing and promotional expenses of $3.6 million for the year ended December 31, 2011. This increase was primarily the result of increases in employee compensation and related expenses of $0.8 million. Our marketing and promotional expenses as a percentage of net revenue increased slightly to 0.9% for the year ended December 31, 2012, from 0.8% for the year ended December 31, 2011.</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year ended December 31, 2012 were $35.5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$6.5 million, or 22.2%, as compared to general and administrative expenses of $29.0 million for the year ended December 31, 2011. This increase was primarily due to increases in employee compensation including share-based compensation, contributions made in lieu of state income taxes, debt issuance costs, occupancy expenses, and other general and administrative expenses of $3.7 million, $1.0 million, $0.8 million, $0.5 million, and $0.5 million, respectively. Employee compensation increased primarily due to increased headcount as well as increases in benefit expenses between years. Our general and administrative expenses as a percentage of net revenue increased by 0.1% to 6.9% for the year ended December 31, 2012, from 6.8% for the year ended December 31, 2011.</w:t>
      </w:r>
    </w:p>
    <w:p>
      <w:pPr>
        <w:spacing w:after="0" w:line="18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2012 and 2011 was $0.7 million. Interest expense was slightly lower in 2012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2011 due to the modification of our interest rate in April 2011, partially offset by the increase in the term loan in December 2012.</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2012 was $44.0 million, an increase of $13.0 million from $31.0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2011. This increase was primarily attributable to increased income before income taxes. Our effective tax rate was 38.8% during the year ended December 31, 2012 compared to 38.0% during the year ended December 31, 2011.</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459" w:right="2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2012 was $69.4 million, an increase of $18.9 million, as compared to $50.5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2011,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it is our intent to continue to increase the number of ground traditional students during the next few years.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2013, we financed our operating activities and capital expenditures primarily through cash provided by operating activities. Our</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cash, cash equivalents and investments were $164.2 million at December 31, 2013 and our restricted cash and cash equivalents were $64.4 million. In December 2012, we entered into a new credit agreement, which increased our term loan to $100 million with a maturity date of December 2019. Additionally, this facility provides a revolving line of credit in the amount of $50 million through December 2017 to be utilized for working capital, capital expenditures, share repurchases and other general corporate purposes. Indebtedness under the credit facility is secured by our assets and is guaranteed by certain of our subsidiaries. No amounts were drawn on the revolver as of December 31, 2013.</w:t>
      </w:r>
    </w:p>
    <w:p>
      <w:pPr>
        <w:spacing w:after="0" w:line="17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2013, we completed construction of two additional dormitories and an expansion of our student union, which includes additional food services and library space to support our growing traditional student enrollment as well as purchases of computer equipment, other internal use software projects and furniture and equipment to support our increasing employee headcount. Also in late fall 2013 we commenced construction on an additional classroom building and a 1,000 bed residence hall to increase our capacity on the Phoenix, Arizona campus. In addition, we spent $14.5 million in 2013 to refurbish a building that is located less than two miles from our Phoenix, Arizona campus and is being used as office space for our employees. In the first half of 2014, we expect to complete construction on the new classroom building, a residence hall, and a second parking garage. In the second half of 2014 we will start construction on an additional classroom building that will be dedicated to our new Engineering and Information Technology programs, an additional residence hall that will accommodate another 1,000 students, and a new bookstore. In addition, in the Spring of 2014 we will begin construction of our Mesa, Arizona campus. The University currently has plans to spend approximately $170 million in the next two years in infrastructure and construction costs for the Mesa, Arizona campus which we believe will bring this new campus to a capacity of 5,000 students. We anticipate capital expenditures in the next two years for the projects described above as well as for technology enhancements and equipment for our growing employee base will be approximately $300 million.</w:t>
      </w:r>
    </w:p>
    <w:p>
      <w:pPr>
        <w:spacing w:after="0" w:line="17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April 25, 2013, our Board of Directors authorized the University to repurchase up to an additional $25 million ($75 million total) of common stock, from time to time, depending on market conditions and other considerations. The Board of Directors also extended the expiration date on the repurchase authorization to September 30, 2014. Repurchases occur at our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Since the approval of the initial share repurchase plan, the University has purchased 2,749,585 shares of common stock at an aggregate cost of $47.5 million which includes 339,795 shares of common stock at an aggregate cost of $8.3 million during the year ended December 31, 2013. At December 31, 2013, there remains $27.5 million available under our current share repurchase authorization.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each of the years ended December 31, 2013, 2012 and 2011 was $118.4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$144.2 million and $88.0 million, respectively. Cash provided by operations in 2013, 2012 and 2011 resulted from our net income plus non-cash charges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 for bad debts, depreciation and amortization, timing of income tax and employee related payments and student deposits and changes in our working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1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$172.5 million, $131.5 million, and $75.1 million for the years ended December 31, 2013,</w:t>
      </w:r>
      <w:r>
        <w:rPr>
          <w:rFonts w:ascii="Arial" w:cs="Arial" w:eastAsia="Arial" w:hAnsi="Arial"/>
          <w:sz w:val="16"/>
          <w:szCs w:val="16"/>
          <w:i w:val="1"/>
          <w:iCs w:val="1"/>
          <w:color w:val="auto"/>
        </w:rPr>
        <w:t xml:space="preserve"> </w:t>
      </w:r>
      <w:r>
        <w:rPr>
          <w:rFonts w:ascii="Arial" w:cs="Arial" w:eastAsia="Arial" w:hAnsi="Arial"/>
          <w:sz w:val="16"/>
          <w:szCs w:val="16"/>
          <w:color w:val="auto"/>
        </w:rPr>
        <w:t>2012, and 2011, respectively. Our cash used in investing activities is primarily related to the purchase of short-term investments and property and equipment, partially offset by proceeds received from the settlement of a note receivable and proceeds from the sale or maturity of short-term investments. Purchases of short-term investments, net of proceeds of these investments, was $108.4 million during the year ended December 31, 2013. Other capital expenditures were $78.9 million, $97.7 million and $80.5 million for the years ended December 31, 2013, 2012, and 2011, respectively. In 2013, capital expenditures primarily consisted of ground campus building projects including the construction costs for two additional dormitories and an expansion of our student union, which includes additional food services and library space to support our growing traditional student enrollment as well as purchases of computer equipment, other internal use software projects and furniture and equipment to support our increasing employee headcount. Also in late fall 2013 we commenced construction on an additional classroom building and a 1,000 bed residence hall to increase our capacity on the Phoenix, Arizona campus. In addition, during 2013 we spent $14.5 million to refurbish a building that is located less than two miles from our Phoenix, Arizona campus and is being used as office space for our employees. In 2012, capital expenditures primarily consisted of construction costs associated with two additional dormitories, an Arts and Science classroom building, a remodel of our student union, and a parking garage to support our increasing traditional student enrollment as well as purchases of computer equipment, internal use software projects and furniture and equipment. Also in 2012, we purchased an on campus dormitory that was previously leased. In 2011, capital expenditures completed consisted of a 140,000 square foot/5,000 seat basketball and entertainment arena, a student activity center that contains a food court, a bowling alley, and other student services, and a new dormitory, as well as campus improvements to support our growing on-campus student population, purchases of computer equipment, leasehold improvements, infrastructure licenses and software development costs, and office furniture and fixtures to support our increasing employee headcounts. In addition in 2011, we began construction of two new dormitories and a new Arts and Sciences classroom building that were completed in 2012.</w:t>
      </w:r>
    </w:p>
    <w:p>
      <w:pPr>
        <w:spacing w:after="0" w:line="173"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provided by (used in) financing activities was $4.8 million, $71.3 million, and $(25.3) million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2012, and 2011, respectively. During 2013, proceeds from the exercise of stock options of $16.3 million and excess tax benefits from share-based compensation of $4.5 million were partially offset by $9.3 million used to purchase treasury stock in accordance with the University’s share repurchase program and principal payments on notes payable and capital leases totaling $6.7 million. During 2012, we received $99.2 million from our new credit facility, $8.0 million from the exercise of stock options partially offset by $15.2 million utilized to repurchase our common stock and $21.7 million used for payments on notes payable and capital lease obligations. During 2011, $23.1 million was used to purchase treasury stock in accordance with our share repurchase program and principal payments on notes payable and capital leases totaled $3.7 million. These uses of cash were partially offset by proceeds of $1.7 million from the exercise of stock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as of December 31, 2013,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15"/>
                <w:szCs w:val="15"/>
                <w:color w:val="auto"/>
              </w:rPr>
              <w:t>(1)</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(2)</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211.9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5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See Note 7, “Notes Payable and Other Noncurrent Liabilities,” to our consolidated financial statements, included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for a discussion of our long term notes payable and other obligations.</w:t>
      </w:r>
    </w:p>
    <w:p>
      <w:pPr>
        <w:spacing w:after="0" w:line="1"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See Note 8, “Capital Lease Obligations,”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capital lease obligations.</w:t>
      </w:r>
    </w:p>
    <w:p>
      <w:pPr>
        <w:ind w:left="460" w:right="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 Amount consists primarily of construction agreements for construction in progress on our ground traditional campus.</w:t>
      </w:r>
    </w:p>
    <w:p>
      <w:pPr>
        <w:ind w:left="460" w:right="24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See Note 9,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8"/>
          <w:szCs w:val="18"/>
          <w:i w:val="1"/>
          <w:iCs w:val="1"/>
          <w:color w:val="auto"/>
        </w:rPr>
        <w:t>Selected Consolidated Financial and Other Data,</w:t>
      </w:r>
      <w:r>
        <w:rPr>
          <w:rFonts w:ascii="Arial" w:cs="Arial" w:eastAsia="Arial" w:hAnsi="Arial"/>
          <w:sz w:val="18"/>
          <w:szCs w:val="18"/>
          <w:color w:val="auto"/>
        </w:rPr>
        <w:t xml:space="preserve"> for a discussion of our Adjusted EBITDA computation and reconciliation.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3, Summary of Significant Accounting Policies, in Item 8, </w:t>
      </w:r>
      <w:r>
        <w:rPr>
          <w:rFonts w:ascii="Arial" w:cs="Arial" w:eastAsia="Arial" w:hAnsi="Arial"/>
          <w:sz w:val="18"/>
          <w:szCs w:val="18"/>
          <w:i w:val="1"/>
          <w:iCs w:val="1"/>
          <w:color w:val="auto"/>
        </w:rPr>
        <w:t>Consolidated Financial Statements and Supplementary Data</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2013, 2012,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 There can be no assurance that future inflation will not have an adverse impact on our operating results and financial condition.</w:t>
      </w:r>
    </w:p>
    <w:p>
      <w:pPr>
        <w:spacing w:after="0" w:line="21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On June 30, 2009 and February 27, 2013, respectively, we entered into an interest rate swap and an interest rate corridor to manage our 30-day LIBOR interest exposure from variable rate debt, which matures in December 2019. The corridor instrument, which hedges variable interest rate risk starting March 1, 2013 through December 20, 2019 with a notional amount of $84.4 million as of December 31, 2013, permits us to hedge our interest rate risk at several thresholds. Under this arrangement, in addition to the credit spread, we will pay variable interest rates based on the 30-day LIBOR rates monthly until that index reaches 1.5%. If 30-day LIBOR is equal to 1.5% through 3.0%, we will continue to pay 1.5%. If the 30-day LIBOR exceeds 3.0%, we will pay actual 30-day LIBOR less 1.5%. The interest rate swap commenced on May 1, 2010, and continues each month thereafter until April 30, 2014, and has a notional amount of $8.9 million as of December 31, 2013. Under this arrangement, we will receive 30-day LIBOR and pay 3.245% fixed rate on the amortizing notional amount plus the credit spread.</w:t>
      </w:r>
    </w:p>
    <w:p>
      <w:pPr>
        <w:spacing w:after="0" w:line="192"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and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bearing variable interest rates, which are tied to various market indices.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2013, a 10% increase or decrease in interest rates would not have a material impact on our future earnings, fair values, or cash flows. For information regarding our variable rate notes payable, see “Market risk”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300" w:type="dxa"/>
            <w:vAlign w:val="bottom"/>
            <w:gridSpan w:val="3"/>
            <w:vMerge w:val="restart"/>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Report of Independent Registered Public Accounting Firms</w:t>
              </w:r>
            </w:hyperlink>
          </w:p>
        </w:tc>
        <w:tc>
          <w:tcPr>
            <w:tcW w:w="6720" w:type="dxa"/>
            <w:vAlign w:val="bottom"/>
            <w:gridSpan w:val="6"/>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300" w:type="dxa"/>
            <w:vAlign w:val="bottom"/>
            <w:tcBorders>
              <w:bottom w:val="single" w:sz="8" w:color="0000EE"/>
            </w:tcBorders>
            <w:gridSpan w:val="3"/>
            <w:vMerge w:val="continue"/>
          </w:tcPr>
          <w:p>
            <w:pPr>
              <w:spacing w:after="0"/>
              <w:rPr>
                <w:sz w:val="13"/>
                <w:szCs w:val="13"/>
                <w:color w:val="auto"/>
              </w:rPr>
            </w:pPr>
          </w:p>
        </w:tc>
        <w:tc>
          <w:tcPr>
            <w:tcW w:w="6720" w:type="dxa"/>
            <w:vAlign w:val="bottom"/>
            <w:gridSpan w:val="6"/>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18"/>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 as of December 31, 2013 and 2012</w:t>
              </w:r>
            </w:hyperlink>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Income Statements for the years ended December 31, 2013, 2012 and 2011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Comprehensive Income for the years ended December 31, 2013, 2012 and 2011</w:t>
              </w:r>
            </w:hyperlink>
          </w:p>
        </w:tc>
        <w:tc>
          <w:tcPr>
            <w:tcW w:w="3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Stockholders’ Equity for the years ended December 31, 2013, 2012 and 2011</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7580" w:type="dxa"/>
            <w:vAlign w:val="bottom"/>
            <w:tcBorders>
              <w:top w:val="single" w:sz="8" w:color="0000EE"/>
            </w:tcBorders>
            <w:gridSpan w:val="7"/>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Consolidated Statements of Cash Flows for the years ended December 31, 2013, 2012 and 2011</w:t>
              </w:r>
            </w:hyperlink>
          </w:p>
        </w:tc>
        <w:tc>
          <w:tcPr>
            <w:tcW w:w="344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3740" w:type="dxa"/>
            <w:vAlign w:val="bottom"/>
            <w:tcBorders>
              <w:top w:val="single" w:sz="8" w:color="0000EE"/>
            </w:tcBorders>
            <w:gridSpan w:val="4"/>
          </w:tcPr>
          <w:p>
            <w:pPr>
              <w:spacing w:after="0"/>
              <w:rPr>
                <w:sz w:val="24"/>
                <w:szCs w:val="24"/>
                <w:color w:val="auto"/>
              </w:rPr>
            </w:pPr>
          </w:p>
        </w:tc>
        <w:tc>
          <w:tcPr>
            <w:tcW w:w="412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5600" w:type="dxa"/>
            <w:vAlign w:val="bottom"/>
            <w:gridSpan w:val="4"/>
          </w:tcPr>
          <w:p>
            <w:pPr>
              <w:jc w:val="right"/>
              <w:ind w:right="600"/>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and 2012, and the related consolidated statements of income, comprehensive income, stockholders’ equity, and cash flows for the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ended. These consolidated financial statements are the responsibility of the Company’s management. Our responsibility is to express an opinion on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based on our audits.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Grand Canyon Education, Inc. and subsidiaries as of December 31, 2013 and 2012, and the results of their operations and their cash flows for the years then ended, in conformity with U.S. generally accepted accounting principles.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Grand Canyon Education, Inc.’s internal control over financial reporting as of December 31, 2013, based on criteria established in </w:t>
      </w:r>
      <w:r>
        <w:rPr>
          <w:rFonts w:ascii="Arial" w:cs="Arial" w:eastAsia="Arial" w:hAnsi="Arial"/>
          <w:sz w:val="16"/>
          <w:szCs w:val="16"/>
          <w:i w:val="1"/>
          <w:iCs w:val="1"/>
          <w:color w:val="auto"/>
        </w:rPr>
        <w:t>Internal Control — Integrated Framework</w:t>
      </w:r>
    </w:p>
    <w:p>
      <w:pPr>
        <w:ind w:right="60"/>
        <w:spacing w:after="0" w:line="261" w:lineRule="auto"/>
        <w:rPr>
          <w:sz w:val="20"/>
          <w:szCs w:val="20"/>
          <w:color w:val="auto"/>
        </w:rPr>
      </w:pPr>
      <w:r>
        <w:rPr>
          <w:rFonts w:ascii="Arial" w:cs="Arial" w:eastAsia="Arial" w:hAnsi="Arial"/>
          <w:sz w:val="18"/>
          <w:szCs w:val="18"/>
          <w:color w:val="auto"/>
        </w:rPr>
        <w:t>(1992) issued by the Committee of Sponsoring Organizations of the Treadway Commission, and our report dated February 20, 2014 expressed an unqualified opinion on the effectiveness of the Company’s internal control over financial reporting.</w:t>
      </w:r>
    </w:p>
    <w:p>
      <w:pPr>
        <w:spacing w:after="0" w:line="18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audited the accompanying consolidated statements of income, comprehensive income, stockholders’ equity, and cash flows of Grand Canyon Education, Inc. (the “Company”) for the year ended December 31, 2011. These financial statements are the responsibility of the Company’s management. Our responsibility is to express an opinion on these consolidated financial statements based on our audit.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results of operations of Grand Canyon Education, Inc. and its cash flows for the year ended December 31, 2011, in conformity with U.S. generally accepted accounting principles.</w:t>
      </w:r>
    </w:p>
    <w:p>
      <w:pPr>
        <w:spacing w:after="0" w:line="14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CCEEFF"/>
            </w:tcBorders>
            <w:shd w:val="clear" w:color="auto" w:fill="CCEEFF"/>
          </w:tcPr>
          <w:p>
            <w:pPr>
              <w:jc w:val="center"/>
              <w:ind w:right="190"/>
              <w:spacing w:after="0" w:line="196" w:lineRule="exact"/>
              <w:rPr>
                <w:sz w:val="20"/>
                <w:szCs w:val="20"/>
                <w:color w:val="auto"/>
              </w:rPr>
            </w:pPr>
            <w:r>
              <w:rPr>
                <w:rFonts w:ascii="Arial" w:cs="Arial" w:eastAsia="Arial" w:hAnsi="Arial"/>
                <w:sz w:val="18"/>
                <w:szCs w:val="18"/>
                <w:b w:val="1"/>
                <w:bCs w:val="1"/>
                <w:color w:val="auto"/>
                <w:w w:val="92"/>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64,368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 receivable secured by real estate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339,596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4,641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616,100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494,923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24,231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66,772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165,623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93,100</w:t>
            </w:r>
          </w:p>
        </w:tc>
        <w:tc>
          <w:tcPr>
            <w:tcW w:w="0" w:type="dxa"/>
            <w:vAlign w:val="bottom"/>
          </w:tcPr>
          <w:p>
            <w:pPr>
              <w:spacing w:after="0"/>
              <w:rPr>
                <w:sz w:val="1"/>
                <w:szCs w:val="1"/>
                <w:color w:val="auto"/>
              </w:rPr>
            </w:pPr>
          </w:p>
        </w:tc>
      </w:tr>
      <w:tr>
        <w:trPr>
          <w:trHeight w:val="23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271,256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Preferred stock, $0.01 par value, 10,000 shares authorized; 0 shares issued and outstanding at December 31, 2013 and 2012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48,890 and 47,136 shares issued and 46,045 and 44,716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gridSpan w:val="2"/>
          </w:tcPr>
          <w:p>
            <w:pPr>
              <w:ind w:left="160"/>
              <w:spacing w:after="0"/>
              <w:rPr>
                <w:sz w:val="20"/>
                <w:szCs w:val="20"/>
                <w:color w:val="auto"/>
              </w:rPr>
            </w:pPr>
            <w:r>
              <w:rPr>
                <w:rFonts w:ascii="Arial" w:cs="Arial" w:eastAsia="Arial" w:hAnsi="Arial"/>
                <w:sz w:val="18"/>
                <w:szCs w:val="18"/>
                <w:color w:val="auto"/>
              </w:rPr>
              <w:t>outstanding at December 31, 2013 and 2012,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2,845 and 2,420 shares of common stock at December 31, 2013 and 2012,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(48,432)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132,904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259,525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344,844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234,059</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616,100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494,923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272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6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598,335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511,257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426,741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254,419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220,403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194,801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Admissions advisory and related, including $3,412 in 2013; $2,313 in 2012; and $277 in 2011, respectively, to</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2"/>
          </w:tcPr>
          <w:p>
            <w:pPr>
              <w:ind w:left="520"/>
              <w:spacing w:after="0"/>
              <w:rPr>
                <w:sz w:val="20"/>
                <w:szCs w:val="20"/>
                <w:color w:val="auto"/>
              </w:rPr>
            </w:pPr>
            <w:r>
              <w:rPr>
                <w:rFonts w:ascii="Arial" w:cs="Arial" w:eastAsia="Arial" w:hAnsi="Arial"/>
                <w:sz w:val="18"/>
                <w:szCs w:val="18"/>
                <w:color w:val="auto"/>
              </w:rPr>
              <w:t>related parties</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97,077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85,917</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 including $0 in 2013; $15 in 2012; and $600 in 2011, respectively, to related parties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Lease termination costs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455,059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397,205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344,581</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143,276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114,052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Interest and 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144,895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113,424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43,977</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88,711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50,546</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46,131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45,251</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2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0"/>
              </w:rPr>
              <w:t>Net income</w:t>
            </w:r>
          </w:p>
        </w:tc>
        <w:tc>
          <w:tcPr>
            <w:tcW w:w="8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$88,711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$69,447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Unrealized gains (losses) on hedging derivatives, net of taxes of $382, $104, and $3 for the years ended December 31,</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2013, 2012 and 2011, respectively</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0" w:type="dxa"/>
            <w:vAlign w:val="bottom"/>
            <w:gridSpan w:val="2"/>
          </w:tcPr>
          <w:p>
            <w:pPr>
              <w:ind w:left="360"/>
              <w:spacing w:after="0"/>
              <w:rPr>
                <w:sz w:val="20"/>
                <w:szCs w:val="20"/>
                <w:color w:val="auto"/>
              </w:rPr>
            </w:pPr>
            <w:r>
              <w:rPr>
                <w:rFonts w:ascii="Arial" w:cs="Arial" w:eastAsia="Arial" w:hAnsi="Arial"/>
                <w:sz w:val="18"/>
                <w:szCs w:val="18"/>
                <w:color w:val="auto"/>
              </w:rPr>
              <w:t>Reclassification of net loss on interest rate corridor, net of taxes of $70 for the year ended December 31, 2011</w:t>
            </w:r>
          </w:p>
        </w:tc>
        <w:tc>
          <w:tcPr>
            <w:tcW w:w="7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Unrealized gains on available for sale securities, net of taxes of $11 for the year ended December 31, 2013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89,292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69,584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50,631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Common Stock</w:t>
            </w:r>
          </w:p>
        </w:tc>
        <w:tc>
          <w:tcPr>
            <w:tcW w:w="1660" w:type="dxa"/>
            <w:vAlign w:val="bottom"/>
            <w:gridSpan w:val="6"/>
          </w:tcPr>
          <w:p>
            <w:pPr>
              <w:ind w:left="24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24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45,811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458</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50,821</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$127,501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50,546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(23,112)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45,955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460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(23,894)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85,720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101,367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69,447</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(15,242)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7,805</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8,044</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47,136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471</w:t>
            </w:r>
          </w:p>
        </w:tc>
        <w:tc>
          <w:tcPr>
            <w:tcW w:w="2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2,420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(39,136)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102,133</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170,814</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88,711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9,917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48,890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489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(48,432)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132,904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259,525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344,844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3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6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88,711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69,447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9,936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7,811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Amortization of notes payable issuance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bad debts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18,012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21,923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note receivable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Loss on asset disposal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Exit costs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Lease termination fees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700"/>
              <w:spacing w:after="0"/>
              <w:rPr>
                <w:sz w:val="20"/>
                <w:szCs w:val="20"/>
                <w:color w:val="auto"/>
              </w:rPr>
            </w:pPr>
            <w:r>
              <w:rPr>
                <w:rFonts w:ascii="Arial" w:cs="Arial" w:eastAsia="Arial" w:hAnsi="Arial"/>
                <w:sz w:val="18"/>
                <w:szCs w:val="18"/>
                <w:color w:val="auto"/>
              </w:rPr>
              <w:t>Restricted cash and cash equivalents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(14,148)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Due to/from related parties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8,563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700"/>
              <w:spacing w:after="0"/>
              <w:rPr>
                <w:sz w:val="20"/>
                <w:szCs w:val="20"/>
                <w:color w:val="auto"/>
              </w:rPr>
            </w:pPr>
            <w:r>
              <w:rPr>
                <w:rFonts w:ascii="Arial" w:cs="Arial" w:eastAsia="Arial" w:hAnsi="Arial"/>
                <w:sz w:val="18"/>
                <w:szCs w:val="18"/>
                <w:color w:val="auto"/>
              </w:rPr>
              <w:t>Accrued litigation loss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118,449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144,196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87,962</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(97,653)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Purchase of land and building related to off-site development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(14,542)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(7,223)</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note receivable secured by real estate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29,187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funds held for derivative collateral and legal matter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Purchases of investments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(168,953)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(172,498</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(131,546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(75,140)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(21,744)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notes payable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99,210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Notes payable modification costs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 withheld in lieu of income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(15,242)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16,278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8,049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71,272</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(25,270)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83,922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105,111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21,189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105,111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3"/>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year for interest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 income taxes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59,892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32,810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received for income tax refunds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 and deferred rent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133 acre traditional ground campus in Phoenix, Arizona and onsite at facilities it leases and at facilities owned by third party employers. The University is accredited by the Higher Learning Commission of the North Central Association of Colleges and Schools. The University’s wholly owned subsidiaries are primarily used to facilitate expansion of the University campus.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Presentation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during the first quarter of 2013, the University made changes in its presentation of operating expenses and revised prior periods to conform to the current presentation. The University determined that these changes would provide more meaningful information and are consistent with changes recently made by a number of other regionally accredited for-profit universities. Additionally, this new presentation better classifies its costs consistently with the operational changes the University has made related to the roles and responsibilities of its admissions personnel. Specifically we separated admissions advisory and related expenses from advertising, marketing and promotional expenses as the admissions personnel role has evolved into one in which a substantial amount of time is spent educating students not only during the admissions process but also through matriculation and during their program of study.</w:t>
      </w:r>
    </w:p>
    <w:p>
      <w:pPr>
        <w:spacing w:after="0" w:line="189" w:lineRule="exact"/>
        <w:rPr>
          <w:sz w:val="20"/>
          <w:szCs w:val="20"/>
          <w:color w:val="auto"/>
        </w:rPr>
      </w:pPr>
    </w:p>
    <w:p>
      <w:pPr>
        <w:jc w:val="both"/>
        <w:ind w:right="380" w:firstLine="456"/>
        <w:spacing w:after="0" w:line="286" w:lineRule="auto"/>
        <w:rPr>
          <w:sz w:val="20"/>
          <w:szCs w:val="20"/>
          <w:color w:val="auto"/>
        </w:rPr>
      </w:pPr>
      <w:r>
        <w:rPr>
          <w:rFonts w:ascii="Arial" w:cs="Arial" w:eastAsia="Arial" w:hAnsi="Arial"/>
          <w:sz w:val="17"/>
          <w:szCs w:val="17"/>
          <w:color w:val="auto"/>
        </w:rPr>
        <w:t>We have revised our operating expenses for prior periods to conform to the above disaggregation and revisions to our presentation. There were no changes to total operating expenses or operating income as a result of these changes. The following table presents our operating expenses as previously reported and as revised on our Consolidated Income Statement for the years ended December 31, 2012 and 2011.</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i w:val="1"/>
                <w:iCs w:val="1"/>
                <w:color w:val="auto"/>
              </w:rPr>
              <w:t>2012</w:t>
            </w:r>
          </w:p>
        </w:tc>
        <w:tc>
          <w:tcPr>
            <w:tcW w:w="240" w:type="dxa"/>
            <w:vAlign w:val="bottom"/>
          </w:tcPr>
          <w:p>
            <w:pPr>
              <w:spacing w:after="0"/>
              <w:rPr>
                <w:sz w:val="14"/>
                <w:szCs w:val="14"/>
                <w:color w:val="auto"/>
              </w:rPr>
            </w:pPr>
          </w:p>
        </w:tc>
        <w:tc>
          <w:tcPr>
            <w:tcW w:w="940" w:type="dxa"/>
            <w:vAlign w:val="bottom"/>
            <w:gridSpan w:val="2"/>
          </w:tcPr>
          <w:p>
            <w:pPr>
              <w:jc w:val="right"/>
              <w:ind w:right="116"/>
              <w:spacing w:after="0"/>
              <w:rPr>
                <w:sz w:val="20"/>
                <w:szCs w:val="20"/>
                <w:color w:val="auto"/>
              </w:rPr>
            </w:pPr>
            <w:r>
              <w:rPr>
                <w:rFonts w:ascii="Arial" w:cs="Arial" w:eastAsia="Arial" w:hAnsi="Arial"/>
                <w:sz w:val="14"/>
                <w:szCs w:val="14"/>
                <w:b w:val="1"/>
                <w:bCs w:val="1"/>
                <w:i w:val="1"/>
                <w:iCs w:val="1"/>
                <w:color w:val="auto"/>
              </w:rPr>
              <w:t>2012</w:t>
            </w:r>
          </w:p>
        </w:tc>
        <w:tc>
          <w:tcPr>
            <w:tcW w:w="240" w:type="dxa"/>
            <w:vAlign w:val="bottom"/>
          </w:tcPr>
          <w:p>
            <w:pPr>
              <w:spacing w:after="0"/>
              <w:rPr>
                <w:sz w:val="14"/>
                <w:szCs w:val="14"/>
                <w:color w:val="auto"/>
              </w:rPr>
            </w:pPr>
          </w:p>
        </w:tc>
        <w:tc>
          <w:tcPr>
            <w:tcW w:w="980" w:type="dxa"/>
            <w:vAlign w:val="bottom"/>
            <w:gridSpan w:val="2"/>
          </w:tcPr>
          <w:p>
            <w:pPr>
              <w:jc w:val="right"/>
              <w:ind w:right="154"/>
              <w:spacing w:after="0"/>
              <w:rPr>
                <w:sz w:val="20"/>
                <w:szCs w:val="20"/>
                <w:color w:val="auto"/>
              </w:rPr>
            </w:pPr>
            <w:r>
              <w:rPr>
                <w:rFonts w:ascii="Arial" w:cs="Arial" w:eastAsia="Arial" w:hAnsi="Arial"/>
                <w:sz w:val="14"/>
                <w:szCs w:val="14"/>
                <w:b w:val="1"/>
                <w:bCs w:val="1"/>
                <w:i w:val="1"/>
                <w:iCs w:val="1"/>
                <w:color w:val="auto"/>
              </w:rPr>
              <w:t>2011</w:t>
            </w:r>
          </w:p>
        </w:tc>
        <w:tc>
          <w:tcPr>
            <w:tcW w:w="240" w:type="dxa"/>
            <w:vAlign w:val="bottom"/>
          </w:tcPr>
          <w:p>
            <w:pPr>
              <w:spacing w:after="0"/>
              <w:rPr>
                <w:sz w:val="14"/>
                <w:szCs w:val="14"/>
                <w:color w:val="auto"/>
              </w:rPr>
            </w:pPr>
          </w:p>
        </w:tc>
        <w:tc>
          <w:tcPr>
            <w:tcW w:w="920" w:type="dxa"/>
            <w:vAlign w:val="bottom"/>
            <w:gridSpan w:val="2"/>
          </w:tcPr>
          <w:p>
            <w:pPr>
              <w:jc w:val="right"/>
              <w:ind w:right="116"/>
              <w:spacing w:after="0"/>
              <w:rPr>
                <w:sz w:val="20"/>
                <w:szCs w:val="20"/>
                <w:color w:val="auto"/>
              </w:rPr>
            </w:pPr>
            <w:r>
              <w:rPr>
                <w:rFonts w:ascii="Arial" w:cs="Arial" w:eastAsia="Arial" w:hAnsi="Arial"/>
                <w:sz w:val="14"/>
                <w:szCs w:val="14"/>
                <w:b w:val="1"/>
                <w:bCs w:val="1"/>
                <w:i w:val="1"/>
                <w:i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4"/>
              </w:rPr>
              <w:t>As Reported</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7"/>
              </w:rPr>
              <w:t>As Revised</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4"/>
              </w:rPr>
              <w:t>As Reported</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4"/>
              </w:rPr>
              <w:t>As Revised</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 and expenses: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$ 220,403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$220,403</w:t>
            </w:r>
          </w:p>
        </w:tc>
        <w:tc>
          <w:tcPr>
            <w:tcW w:w="2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$ 194,801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85,917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51,023</w:t>
            </w:r>
          </w:p>
        </w:tc>
        <w:tc>
          <w:tcPr>
            <w:tcW w:w="24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Selling and promotional</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141,300</w:t>
            </w: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119,955</w:t>
            </w:r>
          </w:p>
        </w:tc>
        <w:tc>
          <w:tcPr>
            <w:tcW w:w="2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35,502</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35,502</w:t>
            </w: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29,043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Lease termination costs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$ 397,205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397,205</w:t>
            </w:r>
          </w:p>
        </w:tc>
        <w:tc>
          <w:tcPr>
            <w:tcW w:w="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$ 344,581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344,581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 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University invests a portion of its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the counterparty to the University’s interest rate swap made a collateral call in 2010 and the pledged collateral is classified as noncurrent restricted cash. The pledged collateral was $225 as of December 31, 2012. No collateral is required by the counterparty at December 31, 2013. The University reports changes in restricted cash related to legal matters and derivative collateral as investing cash flows in its consolidated statement of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University considers its investments in municipal securities as available-for-sale securities. Available-for-sale securities are carried at fair value, determined using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spacing w:after="0" w:line="269" w:lineRule="auto"/>
        <w:rPr>
          <w:sz w:val="20"/>
          <w:szCs w:val="20"/>
          <w:color w:val="auto"/>
        </w:rPr>
      </w:pPr>
      <w:r>
        <w:rPr>
          <w:rFonts w:ascii="Arial" w:cs="Arial" w:eastAsia="Arial" w:hAnsi="Arial"/>
          <w:sz w:val="17"/>
          <w:szCs w:val="17"/>
          <w:color w:val="auto"/>
        </w:rPr>
        <w:t>loan. However, the borrower has disputed certain amounts remaining due under the note agreement, including default interest in the amount of $432, a late payment penalty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penalty and default interest accrued thereon. Accordingly, the University recorded interest and other income of $1,459 for the year ended December 31, 2013. The remaining default interest and statutory trustee’s fee components of the original disputed amount, plus interest accruing thereon at 11%, continue a resolution process through the court, have been treated as a gain contingency and will not be recorded as a receivable or income until resolution is reached.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1.9% in 2013, 2.2% in 2012, and 2.3% in 2011. Interest cost capitalized and incurred in the years ended December 31, 2013, 2012, and 2011 are as follows: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1,233</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capitalized</w:t>
            </w:r>
          </w:p>
        </w:tc>
        <w:tc>
          <w:tcPr>
            <w:tcW w:w="28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7"/>
        </w:trPr>
        <w:tc>
          <w:tcPr>
            <w:tcW w:w="42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r>
      <w:tr>
        <w:trPr>
          <w:trHeight w:val="20"/>
        </w:trPr>
        <w:tc>
          <w:tcPr>
            <w:tcW w:w="4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Termination Fee</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July 2011, the University notified a current landlord of its intent to vacate leased space by the fourth quarter of 2011. As a result, the University was required to pay a termination fee to its landlord of $1,093, resulting in expense in 2011 of $782, which was net of remaining deferred rent on the leased space plus the disposal of the remaining leasehold improvements. This termination fee was paid on the University’s behalf by the University’s new landlord. This payment was recorded as an expense in the third quarter of 2011 with the offset being to a deferred rent liability. The deferred rent liability is being amortized into income over the new lease term. In the fourth quarter of 2011, the University exited the prior leased space.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the first seven years of use for an aggregate amount of $4,900, which was paid in full as of December 31, 2011. The University commenced utilization of this software in October 2011. Included in current other assets is the amount that will be amortized in the next twelve month cycle for maintenance and service fees and included in property and equipment is the amount that will be amortized over fifteen years for the perpetual licenses. All online nontraditional students migrated to the LoudCloud platform by August 2012 and remaining ground students and cohorts were fully transitioned to the LoudCloud platform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connection with the February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Of this payment $5,920 was considered as settlement of the future royalty payment obligation and is included in the accompanying balance sheet as a component of “Prepaid Royalty” and is being amortized over a period of 20 years.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in June 2004, the University entered into a license agreement relating to the University’s use of the Ken Blanchard name for its College of Business. Under the terms of that agreement the University agreed to pay Blanchard a royalty generated on net tuition from certain programs in the University’s College of Business and to issue Blanchard shares of common stock with the actual number of shares issued to be contingent upon the University’s achievement of stated enrollment levels in its College of Business during the term of the agreement. The fair value of the shares issued to Blanchard as part of the license agreement of $3,394 was determined at the date it became probable that shares would then be earned and then adjusted until the date the shares were earned. This amount is also included in the balance sheet as a component of “Prepaid Royalty” and is being amortized over the remaining term of the license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University performed its annual goodwill impairment test, by performing a qualitative assessment. Following this assessment, the University determined that it is more likely than not that its fair value exceeds its carrying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University measures and recognizes compensation expense for share-based payment awards made to employees, consultants and directors, including employee stock options and restricted stock awards. The University calculates the fair value of share-based awards on the date of grant. The University calculates the fair value of share-based awards to consultants on the date of vesting.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 The University reports cash flows resulting from tax deductions that are less than the compensation cost realized for those option (tax shortfalls) as a noncash transaction in the consolidated statement of cash flows.</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stock options,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assumptions used in calculating the fair value of stock-based awards represent the University’s best estimates, but these estimates involve inherent uncertainties and the application of management judgment. The fair value of the University’s restricted stock awards is based on the market price of its common stock on the date of grant.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carrying value of cash and cash equivalents, accounts receivable, note receivable, accounts payable, accrued compensation and benefits and accrued liabilities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10, Derivative Instruments.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former owner was determined using an income approach, based on management’s forecasts of revenue to be generated through its online education program using Level 3 of the hierarchy of valuation inputs. The rate utilized to discount net cash flows to their present values was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The University did not record any reserves for uncertain tax positions including interest and penalties as of December 31, 2013 and 2012.</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traditional campus in Phoenix, Arizona, and onsite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years ended December 31, 2013, 2012 and 2011, the University’s revenue was reduced by approximately $111,789, $94,283 and $73,612,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Since the University recognizes revenue pro-rata over the term of the course and because, under its institutional refund policy, the amount subject to refund is never greater than the amount of the revenue that has been deferred, under the University’s accounting policies, revenue is not recognized with respect to amounts that could potentially be refunded. Sales tax collected from students is excluded from net revenues. Collected but unremitted sales tax is included as an accrued liability in our consolidated balance sheet.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sheets.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such that the accounts are written off by day 150,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General and administrative expenses include salaries, and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Through December 2010, the University was a party to a revenue sharing arrangement (the Collaboration Agreement) with Mind Streams, L.L.C. (Mind Streams), a related party. This contract was terminated in 2010 and the University entered into a new Collaboration Agreement with Mind Streams in the third quarter of 2011, under which the University, in accordance with applicable Department of Education guidance, pays a percentage of net revenue that it receives from applicants recruited by Mind Streams that matriculate at the University. The expenses incurred in conjunction with the Collaboration Agreement are included in admissions advisory and related expenses on our Consolidated Income Statement. In 2010, the University entered into an agreement with Lifetime Learning, a related party, under which the University purchases leads on prospective students. The expenses incurred in connection with Lifetime Learning are included in advertising expenses on our Consolidated Income Statement.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University believes the credit risk related to cash equivalents and investments is limited due to its adherence to an investment policy that required investments to have a minimum AAA to A rating, depending on the type of security, by one major rating agency at the time of purchase. All of the University’s cash equivalents and investments as of December 31, 2013 and 2012 consist of investments rated A or higher by at least one rating agency. Additionally, the University utilizes more than one financial institution to conduct initial and ongoing credit analysis on its investment portfolio to monitor and lower the potential impact of market risk associated with its cash equivalents and investment portfolio.</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University has determined that recently issued accounting standards will not have a material impact on its consolidated financial statements, or do not apply to its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University had no investments as of December 31, 2012. The following is a summary of amounts included in investments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The University considered all investments as available for sale.</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3"/>
              </w:rPr>
              <w:t>As of December 31, 2013</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0"/>
                <w:szCs w:val="10"/>
                <w:color w:val="auto"/>
              </w:rPr>
            </w:pPr>
          </w:p>
        </w:tc>
        <w:tc>
          <w:tcPr>
            <w:tcW w:w="108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Gains</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(Losses)</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108,393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108,420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cash flows of municipal securities are backed by the issuing municipality’s credit worthiness. All municipal securities are due in one year or less as of December 31, 2013. For the year ended December 31, 2013, the net unrealized gains on available-for-sale securities were $16, net of taxes.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Valuation and Qualifying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9"/>
              </w:rPr>
              <w:t>Balance at</w:t>
            </w:r>
          </w:p>
        </w:tc>
        <w:tc>
          <w:tcPr>
            <w:tcW w:w="126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260" w:type="dxa"/>
            <w:vAlign w:val="bottom"/>
            <w:gridSpan w:val="5"/>
            <w:vMerge w:val="continue"/>
          </w:tcPr>
          <w:p>
            <w:pPr>
              <w:spacing w:after="0"/>
              <w:rPr>
                <w:sz w:val="12"/>
                <w:szCs w:val="12"/>
                <w:color w:val="auto"/>
              </w:rPr>
            </w:pPr>
          </w:p>
        </w:tc>
        <w:tc>
          <w:tcPr>
            <w:tcW w:w="116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87"/>
              </w:rPr>
              <w:t>Deductions</w:t>
            </w:r>
            <w:r>
              <w:rPr>
                <w:rFonts w:ascii="Arial" w:cs="Arial" w:eastAsia="Arial" w:hAnsi="Arial"/>
                <w:sz w:val="12"/>
                <w:szCs w:val="12"/>
                <w:b w:val="1"/>
                <w:bCs w:val="1"/>
                <w:color w:val="auto"/>
                <w:w w:val="87"/>
              </w:rPr>
              <w:t>(1)</w:t>
            </w: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Year</w:t>
            </w:r>
          </w:p>
        </w:tc>
        <w:tc>
          <w:tcPr>
            <w:tcW w:w="1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Expense</w:t>
            </w:r>
          </w:p>
        </w:tc>
        <w:tc>
          <w:tcPr>
            <w:tcW w:w="11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Year ended December 31, 2013</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8,657</w:t>
            </w:r>
          </w:p>
        </w:tc>
        <w:tc>
          <w:tcPr>
            <w:tcW w:w="1180" w:type="dxa"/>
            <w:vAlign w:val="bottom"/>
            <w:gridSpan w:val="4"/>
          </w:tcPr>
          <w:p>
            <w:pPr>
              <w:jc w:val="right"/>
              <w:ind w:right="408"/>
              <w:spacing w:after="0"/>
              <w:rPr>
                <w:sz w:val="20"/>
                <w:szCs w:val="20"/>
                <w:color w:val="auto"/>
              </w:rPr>
            </w:pPr>
            <w:r>
              <w:rPr>
                <w:rFonts w:ascii="Arial" w:cs="Arial" w:eastAsia="Arial" w:hAnsi="Arial"/>
                <w:sz w:val="18"/>
                <w:szCs w:val="18"/>
                <w:color w:val="auto"/>
              </w:rPr>
              <w:t>19,897</w:t>
            </w:r>
          </w:p>
        </w:tc>
        <w:tc>
          <w:tcPr>
            <w:tcW w:w="8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(18,876)</w:t>
            </w: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11,706</w:t>
            </w:r>
          </w:p>
        </w:tc>
        <w:tc>
          <w:tcPr>
            <w:tcW w:w="118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18,012</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(21,061)</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Year ended December 31, 2011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30,112</w:t>
            </w:r>
          </w:p>
        </w:tc>
        <w:tc>
          <w:tcPr>
            <w:tcW w:w="1180" w:type="dxa"/>
            <w:vAlign w:val="bottom"/>
            <w:gridSpan w:val="4"/>
          </w:tcPr>
          <w:p>
            <w:pPr>
              <w:jc w:val="right"/>
              <w:ind w:right="408"/>
              <w:spacing w:after="0"/>
              <w:rPr>
                <w:sz w:val="20"/>
                <w:szCs w:val="20"/>
                <w:color w:val="auto"/>
              </w:rPr>
            </w:pPr>
            <w:r>
              <w:rPr>
                <w:rFonts w:ascii="Arial" w:cs="Arial" w:eastAsia="Arial" w:hAnsi="Arial"/>
                <w:sz w:val="18"/>
                <w:szCs w:val="18"/>
                <w:color w:val="auto"/>
              </w:rPr>
              <w:t>34,364</w:t>
            </w:r>
          </w:p>
        </w:tc>
        <w:tc>
          <w:tcPr>
            <w:tcW w:w="8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(52,770)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11,706</w:t>
            </w:r>
          </w:p>
        </w:tc>
        <w:tc>
          <w:tcPr>
            <w:tcW w:w="0" w:type="dxa"/>
            <w:vAlign w:val="bottom"/>
          </w:tcPr>
          <w:p>
            <w:pPr>
              <w:spacing w:after="0"/>
              <w:rPr>
                <w:sz w:val="1"/>
                <w:szCs w:val="1"/>
                <w:color w:val="auto"/>
              </w:rPr>
            </w:pPr>
          </w:p>
        </w:tc>
      </w:tr>
      <w:tr>
        <w:trPr>
          <w:trHeight w:val="445"/>
        </w:trPr>
        <w:tc>
          <w:tcPr>
            <w:tcW w:w="558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6. Property and Equipment</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8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As of December 31,</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$ 13,294</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Land improvements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5,176</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222,402</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180,945</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32,243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Computer equipment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64,773</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15,606</w:t>
            </w: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23,467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424,479</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330,401</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(84,883)</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(61,239)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339,596</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269,162</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$24,546, $21,264, and $16,339 for the years ended December 31, 2013, 2012, and 2011,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 and Other Noncurrent Liabilities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December 2012, the University entered into a new credit agreement with Bank of America, N.A. as Administrative Agent and other lenders (the “Agreement”). The Agreement provides the University a revolving line of credit in the amount of $50,000 through December 2017 to be utilized for working capital, capital expenditures, share repurchases and other general corporate purposes. The Agreement contains standard covenants, that, among other things, restrict the University’s ability to incur additional debt or make certain investments, require the University to maintain compliance with certain applicable regulatory standards, and require the University to achieve certain financial ratios and maintain a certain financial condition. Indebtedness under the Agreement is secured by the University’s assets and is guaranteed by certain of the University’s subsidiaries. As of December 31, 2013, the University is in compliance with its debt covenants. Under the loan covenant computation as of December 31, 2013, $50,000 is available to be borrowed on the revolving line of credit although none has been drawn as of December 31, 2013.</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6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6"/>
              </w:rPr>
              <w:t>Note payable, monthly payment of $556; interest at 30 day LIBOR plus 1.75% (1.92% at</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December 31, 2013) through December 31,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$92,573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$99,098</w:t>
            </w:r>
          </w:p>
        </w:tc>
        <w:tc>
          <w:tcPr>
            <w:tcW w:w="10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4"/>
              </w:rPr>
              <w:t>Various Gift Annuities; quarterly payments of $34 extending through 2019; interest at 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7"/>
              </w:rPr>
              <w:t>Notes payable for vehicles requiring monthly payments with interest rates ranging from</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8.8% to 11.0% through March 2013</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16"/>
        </w:trPr>
        <w:tc>
          <w:tcPr>
            <w:tcW w:w="6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99,701</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93,100</w:t>
            </w:r>
          </w:p>
        </w:tc>
        <w:tc>
          <w:tcPr>
            <w:tcW w:w="100" w:type="dxa"/>
            <w:vAlign w:val="bottom"/>
            <w:shd w:val="clear" w:color="auto" w:fill="CCEEFF"/>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Payments due under the notes payable obligations are as follows as of December 31, 2013:</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2015</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2017</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59,925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Long-term deferred rent included in other noncurrent liabilities as of December 31, 2013 and 2012 was $6,811 and $7,015, respectively. The derivative liability for the forward interest rate swap included in other noncurrent liabilities as of December 31, 2012 was $390.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 Lease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lease obligations consist of the following:</w:t>
      </w:r>
    </w:p>
    <w:p>
      <w:pPr>
        <w:spacing w:after="0" w:line="244"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As of</w:t>
      </w:r>
    </w:p>
    <w:p>
      <w:pPr>
        <w:jc w:val="center"/>
        <w:ind w:left="7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Lease Obligations</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8"/>
              </w:rPr>
              <w:t>Capital lease for equipment, monthly payments totaling $8; interest rate at 2.2%, through 2016</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586</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2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497</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due under future minimum lease payments under the capital lease obligations are as follows as of December 31, 2013:</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$101</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2015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Less: Portion representing interest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586</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2021. Future minimum lease payments under operating leases due each year are as follows at December 31, 2013:</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2015</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2017</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34,912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2013, 2012 and 2011 was $7,074, $7,635, and $7,388,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December 31, 2013 and 2012, the University has reserved approximately $729 and $703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June 30, 2009 and February 27, 2013, respectively, the University entered into an interest rate swap and an interest rate corridor to manage its 30 Day LIBOR interest exposure related to its variable rate debt. Neither of these instruments contained financing elements. The contractual terms of the University’s derivative instruments have not been structured such that net payments made by one party in the earlier periods are to be subsequently returned by the counterparty in later periods of the derivative’s term. Neither of the University’s derivative instruments have been amended or modified since their inception. The fair value of the interest rate corridor instrument as of December 31, 2013 was $1,917, which is included in other assets. The fair value of the interest rate swap was a liability of $111 as of December 31, 2013, which is included in accrued liabilities, and $390 as of December 31, 2012, which is included in other noncurrent liabilities. The fair values of each derivative instrument were determined using a hypothetical derivative transaction and Level 2 of the hierarchy of valuation inputs. These derivative instruments were originally designated as cash flow hedges of variable rate debt obligations. The adjustments of $947, $241, and $10 for the years ended December 31, 2013, 2012 and 2011, respectively, for the effective portion of the gain/loss on the derivatives is included as a component of other comprehensive income, net of taxes.</w:t>
      </w:r>
    </w:p>
    <w:p>
      <w:pPr>
        <w:spacing w:after="0" w:line="169"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$84,418 as of December 31, 2013. The corridor instrument’s terms permit the University to hedge its interest rate risk at several thresholds; the University pays variable interest monthly based on the 30-day LIBOR rates until that index reaches 1.5%. If 30-day LIBOR is equal to 1.5% through 3.0%, the University pays 1.5%. If 30-day LIBOR exceeds 3.0%, the University pays actual 30-day LIBOR less 1.5%. Therefore, the University has hedged its exposure to future variable rate cash flows through December 20, 2019.</w:t>
      </w:r>
    </w:p>
    <w:p>
      <w:pPr>
        <w:sectPr>
          <w:pgSz w:w="11900" w:h="16838" w:orient="portrait"/>
          <w:cols w:equalWidth="0" w:num="1">
            <w:col w:w="11360"/>
          </w:cols>
          <w:pgMar w:left="240" w:top="459" w:right="299" w:bottom="1440" w:gutter="0" w:footer="0" w:header="0"/>
        </w:sectPr>
      </w:pP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60"/>
          </w:cols>
          <w:pgMar w:left="240" w:top="459" w:right="2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$8,915 as of December 31, 2013. Under the terms of the agreement, the University receives 30-day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December 31, 2012 in the amount of $225. No collateral is required by the counterparty at December 31, 2013.</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As of December 31, 2013 no derivative ineffectiveness was identified. Any ineffectiveness in the University’s derivative instruments designated as hedges would be reported in interest expense in the income statement. As of December 31, 2013, $22 of credit default risk interest income was recorded in interest expense in the income statement. At December 31, 2013, the University does not expect to reclassify any gains or losses on derivative instruments from accumulated other comprehensive income (loss) into earnings during the next 12 months.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Basic common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44,731</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44,332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44,631</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Diluted common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46,131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45,251</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45,105</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For each of the years ended December 31, 2013, 2012 and 2011, approximately 134, 1,599 and 2,158, respectively, of the University’s stock options outstanding were excluded from the calculation of diluted earnings per share as their inclusion would have been anti-dilutive. These options could be dilutive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December 31, 2013 and 2012, the University had 10,000 shares of authorized but unissued and undesignated preferred stock. The University’s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April 25, 2013, the Board of Directors authorized the University to repurchase up to an additional $25,000 ($75,000 total) of common stock, from time to time, depending on market conditions and other considerations. The Board of Directors also extended the expiration date on the repurchase authorization to September 30, 2014.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2,750 shares of common stock at an aggregate cost of $47,459, which includes 340 shares of common stock at an aggregate cost of $8,323 during the year ended December 31, 2013, which are recorded at cost in the accompanying December 31, 2013 consolidated balance sheet and statement of stockholders’ equity. At December 31, 2013, there remained $27,541 available under its current share repurchase authorization.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University will realize the benefits of these deductible differences. The University has no valuation allowance at December 31, 2013 and 2012.</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w w:val="89"/>
              </w:rPr>
              <w:t>$40,949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$36,367</w:t>
            </w:r>
          </w:p>
        </w:tc>
        <w:tc>
          <w:tcPr>
            <w:tcW w:w="3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43,829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10,038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Federal</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4,209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w w:val="87"/>
              </w:rPr>
              <w:t>18,125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5,107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20,804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 expense recorded as an increase of paid-in capital</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56,184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43,977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30,982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20" w:type="dxa"/>
            <w:vAlign w:val="bottom"/>
            <w:gridSpan w:val="8"/>
          </w:tcPr>
          <w:p>
            <w:pPr>
              <w:jc w:val="right"/>
              <w:ind w:right="200"/>
              <w:spacing w:after="0"/>
              <w:rPr>
                <w:sz w:val="20"/>
                <w:szCs w:val="20"/>
                <w:color w:val="auto"/>
              </w:rPr>
            </w:pPr>
            <w:r>
              <w:rPr>
                <w:rFonts w:ascii="Arial" w:cs="Arial" w:eastAsia="Arial" w:hAnsi="Arial"/>
                <w:sz w:val="18"/>
                <w:szCs w:val="18"/>
                <w:color w:val="auto"/>
                <w:w w:val="91"/>
              </w:rPr>
              <w:t>A reconciliation of income tax computed at the U.S. statutory rate to the effective income tax rate is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3"/>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gridSpan w:val="2"/>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380" w:type="dxa"/>
            <w:vAlign w:val="bottom"/>
            <w:gridSpan w:val="2"/>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32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980" w:type="dxa"/>
            <w:vAlign w:val="bottom"/>
            <w:gridSpan w:val="6"/>
          </w:tcPr>
          <w:p>
            <w:pPr>
              <w:jc w:val="right"/>
              <w:ind w:right="220"/>
              <w:spacing w:after="0"/>
              <w:rPr>
                <w:sz w:val="20"/>
                <w:szCs w:val="20"/>
                <w:color w:val="auto"/>
              </w:rPr>
            </w:pPr>
            <w:r>
              <w:rPr>
                <w:rFonts w:ascii="Arial" w:cs="Arial" w:eastAsia="Arial" w:hAnsi="Arial"/>
                <w:sz w:val="18"/>
                <w:szCs w:val="18"/>
                <w:color w:val="auto"/>
              </w:rPr>
              <w:t>5.5</w:t>
            </w:r>
          </w:p>
        </w:tc>
        <w:tc>
          <w:tcPr>
            <w:tcW w:w="1000" w:type="dxa"/>
            <w:vAlign w:val="bottom"/>
            <w:gridSpan w:val="5"/>
          </w:tcPr>
          <w:p>
            <w:pPr>
              <w:jc w:val="right"/>
              <w:ind w:right="30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9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980" w:type="dxa"/>
            <w:vAlign w:val="bottom"/>
            <w:gridSpan w:val="6"/>
          </w:tcPr>
          <w:p>
            <w:pPr>
              <w:jc w:val="right"/>
              <w:ind w:right="220"/>
              <w:spacing w:after="0"/>
              <w:rPr>
                <w:sz w:val="20"/>
                <w:szCs w:val="20"/>
                <w:color w:val="auto"/>
              </w:rPr>
            </w:pPr>
            <w:r>
              <w:rPr>
                <w:rFonts w:ascii="Arial" w:cs="Arial" w:eastAsia="Arial" w:hAnsi="Arial"/>
                <w:sz w:val="18"/>
                <w:szCs w:val="18"/>
                <w:color w:val="auto"/>
              </w:rPr>
              <w:t>0.3</w:t>
            </w:r>
          </w:p>
        </w:tc>
        <w:tc>
          <w:tcPr>
            <w:tcW w:w="1000" w:type="dxa"/>
            <w:vAlign w:val="bottom"/>
            <w:gridSpan w:val="5"/>
          </w:tcPr>
          <w:p>
            <w:pPr>
              <w:jc w:val="right"/>
              <w:ind w:right="3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gridSpan w:val="2"/>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80" w:type="dxa"/>
            <w:vAlign w:val="bottom"/>
            <w:gridSpan w:val="2"/>
            <w:vMerge w:val="restart"/>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678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38.8%</w:t>
            </w:r>
          </w:p>
        </w:tc>
        <w:tc>
          <w:tcPr>
            <w:tcW w:w="320" w:type="dxa"/>
            <w:vAlign w:val="bottom"/>
            <w:gridSpan w:val="2"/>
            <w:vMerge w:val="continue"/>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income tax assets and liabilities are as follows:</w:t>
      </w:r>
    </w:p>
    <w:p>
      <w:pPr>
        <w:spacing w:after="0" w:line="200" w:lineRule="exact"/>
        <w:rPr>
          <w:sz w:val="20"/>
          <w:szCs w:val="20"/>
          <w:color w:val="auto"/>
        </w:rPr>
      </w:pPr>
    </w:p>
    <w:p>
      <w:pPr>
        <w:spacing w:after="0" w:line="28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deferred tax asset (liability):</w:t>
            </w:r>
          </w:p>
        </w:tc>
        <w:tc>
          <w:tcPr>
            <w:tcW w:w="24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w w:val="91"/>
              </w:rPr>
              <w:t>Accounts receivable allowance for doubtful accounts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  3,870</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3,321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taxes</w:t>
            </w:r>
          </w:p>
        </w:tc>
        <w:tc>
          <w:tcPr>
            <w:tcW w:w="3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Estimated litigation loss and regulatory reserves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700"/>
              <w:spacing w:after="0"/>
              <w:rPr>
                <w:sz w:val="20"/>
                <w:szCs w:val="20"/>
                <w:color w:val="auto"/>
              </w:rPr>
            </w:pPr>
            <w:r>
              <w:rPr>
                <w:rFonts w:ascii="Arial" w:cs="Arial" w:eastAsia="Arial" w:hAnsi="Arial"/>
                <w:sz w:val="18"/>
                <w:szCs w:val="18"/>
                <w:color w:val="auto"/>
              </w:rPr>
              <w:t>Current deferred tax asset</w:t>
            </w:r>
          </w:p>
        </w:tc>
        <w:tc>
          <w:tcPr>
            <w:tcW w:w="2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 (liability):</w:t>
            </w:r>
          </w:p>
        </w:tc>
        <w:tc>
          <w:tcPr>
            <w:tcW w:w="2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Depreciation and leases</w:t>
            </w:r>
          </w:p>
        </w:tc>
        <w:tc>
          <w:tcPr>
            <w:tcW w:w="3400" w:type="dxa"/>
            <w:vAlign w:val="bottom"/>
            <w:gridSpan w:val="3"/>
          </w:tcPr>
          <w:p>
            <w:pPr>
              <w:jc w:val="right"/>
              <w:ind w:right="300"/>
              <w:spacing w:after="0"/>
              <w:rPr>
                <w:sz w:val="20"/>
                <w:szCs w:val="20"/>
                <w:color w:val="auto"/>
              </w:rPr>
            </w:pPr>
            <w:r>
              <w:rPr>
                <w:rFonts w:ascii="Arial" w:cs="Arial" w:eastAsia="Arial" w:hAnsi="Arial"/>
                <w:sz w:val="18"/>
                <w:szCs w:val="18"/>
                <w:color w:val="auto"/>
              </w:rPr>
              <w:t>(24,711)</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(21,774)</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00" w:type="dxa"/>
            <w:vAlign w:val="bottom"/>
          </w:tcPr>
          <w:p>
            <w:pPr>
              <w:jc w:val="right"/>
              <w:ind w:right="2110"/>
              <w:spacing w:after="0"/>
              <w:rPr>
                <w:sz w:val="20"/>
                <w:szCs w:val="20"/>
                <w:color w:val="auto"/>
              </w:rPr>
            </w:pPr>
            <w:r>
              <w:rPr>
                <w:rFonts w:ascii="Arial" w:cs="Arial" w:eastAsia="Arial" w:hAnsi="Arial"/>
                <w:sz w:val="18"/>
                <w:szCs w:val="18"/>
                <w:color w:val="auto"/>
                <w:w w:val="89"/>
              </w:rPr>
              <w:t>77</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Intangibles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2,504</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Non-current deferred tax liability</w:t>
            </w:r>
          </w:p>
        </w:tc>
        <w:tc>
          <w:tcPr>
            <w:tcW w:w="20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(11,832)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(7,045)</w:t>
            </w:r>
          </w:p>
        </w:tc>
        <w:tc>
          <w:tcPr>
            <w:tcW w:w="120" w:type="dxa"/>
            <w:vAlign w:val="bottom"/>
          </w:tcPr>
          <w:p>
            <w:pPr>
              <w:spacing w:after="0"/>
              <w:rPr>
                <w:sz w:val="20"/>
                <w:szCs w:val="20"/>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liability</w:t>
            </w:r>
          </w:p>
        </w:tc>
        <w:tc>
          <w:tcPr>
            <w:tcW w:w="2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(6,673)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(1,564)</w:t>
            </w:r>
          </w:p>
        </w:tc>
      </w:tr>
      <w:tr>
        <w:trPr>
          <w:trHeight w:val="20"/>
        </w:trPr>
        <w:tc>
          <w:tcPr>
            <w:tcW w:w="4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University recognizes the impact of a tax position in its financial statements if that position is more-likely-than-not to be sustained on audit, based on the technical merits of the position. The University discloses all unrecognized tax benefits, which includes the reserves recorded for uncertain tax positions on filed tax returns and the unrecognized portion of affirmative claims. The University recognizes interest and penalties related to uncertain tax positions in income tax expense.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beginning and ending balance of unrecognized tax benefits at December 31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845</w:t>
            </w: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Decreases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214</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(1,054)</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years ended December 31, 2012, and 2011, the University recognized approximately $87 and $123, respectively, in interest and penalties. At December 31, 2013 and 2012, the University had no accrued interest or penalties. It is reasonably possible that the amount of the unrecognized tax benefits will change during the next 12 months, however management does not expect the potential change to have a material effect on the results of operations or financial position.</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University is subject to taxation in the United States, in states with an income tax and in several local jurisdictions. As of December 31, 2013, the earliest tax year still subject to examination for federal and state purposes is 2010 and 2005,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Regulatory</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2013, management believes the University is in compliance with the applicable regulations in all material respects.</w:t>
      </w:r>
    </w:p>
    <w:p>
      <w:pPr>
        <w:spacing w:after="0" w:line="193"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45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On August 24, 2011, the University received from the Department of Education a written preliminary program review report that included five findings, two of which involved individual student-specific errors concerning the monitoring of satisfactory academic progress for two students and the certification of one student’s Federal Family Educational Loan as an unsubsidized Stafford loan rather than a subsidized Stafford loan. The other three findings related to allegedly: improper payment of incentive compensation to enrollment counselors, offering an ineligible program, and improper procedures related to conducting financial aid returns for students with non-passing grades.</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September 27, 2013, the University and the Department of Education entered into an agreement that fully resolved the findings in the preliminary program review report and closed the program review. In connection with this closure, the University paid a total of $7,387, the majority of which consisted of returns of Title IV funds to the lenders of our students, related to the inadequate procedures related to non-passing grade finding. Although when the University makes a return to Title IV the applicable student is obligated to repay the University for the amounts returned, the University agreed that it would not seek reimbursement from these students.</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2004 we had been certified on a provisional basis to participate in the Title IV programs. In July 2013 we submitted our complete application for full certification and 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90/10 Disclosure</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University derives a substantial portion of its revenues from student financial aid received by its students under the Title IV programs administered by the Department of Education pursuant to the Higher Education Act. To continue to participate in the student financial aid programs the University must comply with the regulations promulgated under the Higher Education Act. The regulations restrict the proportion of cash receipts for tuition and fees from eligible programs to not more than 90 percent from Title IV programs (the “90/10 revenue test”). If an institution fails to satisfy the test for one year, its participation status becomes provisional for two consecutive fiscal years. If the test is not satisfied for two consecutive years, eligibility to participate in Title IV programs is lost for at least two fiscal years. Using the Department of Education’s cash-basis, regulatory formula under the 90/10 Rule as currently in effect, for its 2013, 2012, and 2011 fiscal years, the University derived 78.5%, 80.3%, and 80.2%, respectively, for its 90/10 revenue from Title IV program funds.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December 31, raising the total number of shares of common stock authorized for issuance under the Incentive Plan to 10,999 shares effective January 1, 2014. Although the ESPP has not yet been implemented, a total of 1,050 shares of the University’s common stock have been authorized for sale under the ESPP.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During fiscal year 2013 and 2012, the University granted 575 and 552 shares of common stock, respectively, with a service vesting condition to certain of its executives, officers, faculty and employees. The restricted shares have voting rights and vest evenly at 20% over each of the next five years. Upon vesting, shares will be held in lieu of taxes equivalent to the minimum statutory tax withholding required to be paid when the restricted stock vests. In 2013, 2012, and 2011 the University granted 11, 11, and 6 shares of common stock, respectively, to certain of the non-employee members of the University’s board of directors. The restricted shares have voting rights and vest within one year of the date of grant. In addition, in 2013 the University granted 8 shares of common stock to a consultant. The restricted shares have voting rights and vest evenly at a rate of 20% per year over each of the next five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20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20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0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20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32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02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20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As of December 31, 2013, there was approximately $16,315 of total unrecognized share-based compensation cost, net of estimated forfeitures, related to unvested restricted stock awards. These costs are expected to be recognized over a weighted average period of 2.4 years.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2013, the University granted time vested options to purchase shares of common stock with an exercise price equal to the fair market value on the date of grant to an employee. The time vested options vest ratably over a period of four years and expire ten years from the date of grant. No options were granted in 2012. During 2011, the University granted time vested options to purchase shares of common stock with an exercise price equal to the fair market value on the date of grant to employees. These time vested options vest ratably over a period of five years and expire ten years from the date of grant. A summary of the activity related to stock options granted under the University’s Incentive Plan is as follows: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3"/>
              </w:rPr>
              <w:t>Summary of Stock Options Outstanding</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Shares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 (Years)</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14.24</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15.34</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12.00</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17.29</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14.47</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680" w:type="dxa"/>
            <w:vAlign w:val="bottom"/>
            <w:gridSpan w:val="2"/>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13.16</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17.63</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14.57</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24.97</w:t>
            </w: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14.03</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17.22</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14.80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87,073</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2013</w:t>
            </w: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vMerge w:val="restart"/>
          </w:tcPr>
          <w:p>
            <w:pPr>
              <w:ind w:left="400"/>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ind w:left="80"/>
              <w:spacing w:after="0"/>
              <w:rPr>
                <w:sz w:val="20"/>
                <w:szCs w:val="20"/>
                <w:color w:val="auto"/>
              </w:rPr>
            </w:pPr>
            <w:r>
              <w:rPr>
                <w:rFonts w:ascii="Arial" w:cs="Arial" w:eastAsia="Arial" w:hAnsi="Arial"/>
                <w:sz w:val="18"/>
                <w:szCs w:val="18"/>
                <w:color w:val="auto"/>
              </w:rPr>
              <w:t>13.61</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5.33</w:t>
            </w:r>
          </w:p>
        </w:tc>
        <w:tc>
          <w:tcPr>
            <w:tcW w:w="120" w:type="dxa"/>
            <w:vAlign w:val="bottom"/>
            <w:gridSpan w:val="2"/>
            <w:vMerge w:val="restart"/>
          </w:tcPr>
          <w:p>
            <w:pPr>
              <w:ind w:left="2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61,442</w:t>
            </w: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2013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8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31, 2013 ($43.60) in excess of the exercise price multiplied by the number of options outstanding or exercisable.</w:t>
      </w:r>
    </w:p>
    <w:p>
      <w:pPr>
        <w:sectPr>
          <w:pgSz w:w="11900" w:h="16838" w:orient="portrait"/>
          <w:cols w:equalWidth="0" w:num="1">
            <w:col w:w="11360"/>
          </w:cols>
          <w:pgMar w:left="240" w:top="459" w:right="299" w:bottom="1440" w:gutter="0" w:footer="0" w:header="0"/>
        </w:sectPr>
      </w:pP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360"/>
          </w:cols>
          <w:pgMar w:left="240" w:top="459" w:right="29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31, 2013, there was approximately $5,314 of total unrecognized share-based compensation cost, net of estimated forfeitures, related to unvested stock options. These costs are expected to be recognized over a weighted average period of 1.4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stock options exercised for years ended December 31, 2013, 2012 and 2011: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240" w:type="dxa"/>
            <w:vAlign w:val="bottom"/>
          </w:tcPr>
          <w:p>
            <w:pPr>
              <w:spacing w:after="0"/>
              <w:rPr>
                <w:sz w:val="14"/>
                <w:szCs w:val="14"/>
                <w:color w:val="auto"/>
              </w:rPr>
            </w:pPr>
          </w:p>
        </w:tc>
        <w:tc>
          <w:tcPr>
            <w:tcW w:w="58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related to options exercised:</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20,364</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$4,683</w:t>
            </w:r>
          </w:p>
        </w:tc>
        <w:tc>
          <w:tcPr>
            <w:tcW w:w="680" w:type="dxa"/>
            <w:vAlign w:val="bottom"/>
            <w:gridSpan w:val="3"/>
          </w:tcPr>
          <w:p>
            <w:pPr>
              <w:jc w:val="center"/>
              <w:ind w:left="36"/>
              <w:spacing w:after="0"/>
              <w:rPr>
                <w:sz w:val="20"/>
                <w:szCs w:val="20"/>
                <w:color w:val="auto"/>
              </w:rPr>
            </w:pPr>
            <w:r>
              <w:rPr>
                <w:rFonts w:ascii="Arial" w:cs="Arial" w:eastAsia="Arial" w:hAnsi="Arial"/>
                <w:sz w:val="18"/>
                <w:szCs w:val="18"/>
                <w:color w:val="auto"/>
                <w:w w:val="89"/>
              </w:rPr>
              <w:t>$403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the University for tax deductions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8,145</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$1,873</w:t>
            </w:r>
          </w:p>
        </w:tc>
        <w:tc>
          <w:tcPr>
            <w:tcW w:w="68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89"/>
              </w:rPr>
              <w:t>$161</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received from stock option exercises during fiscal year 2013, 2012 and 2011 totaled approximately $16,278, $8,049 and $1,681,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University measures and recognizes compensation expense for share-based payment awards made to employees, consultants and directors. The University calculates the fair value of share-based awards on the date of grant for employees and directors. The University calculates the fair value of share-based awards to consultants on the date of vesting. Stock-based compensation expense related to restricted stock grants is expensed over the vesting period using the straight-line method for University employees, the University’s board of directors and the consultant , net of estimated forfeitures. The restricted shares have voting rights.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University granted stock options in 2013 and 2011. No stock options were granted in 2012.</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University uses the Black-Scholes-Merton option pricing model to estimate the fair value of the University’s options as of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dates using the following weighted average assumptions: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8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6"/>
                <w:szCs w:val="16"/>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6"/>
                <w:szCs w:val="16"/>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Weighted average fair</w:t>
            </w: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w:t>
            </w:r>
          </w:p>
        </w:tc>
        <w:tc>
          <w:tcPr>
            <w:tcW w:w="2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$ 8.20</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gridSpan w:val="3"/>
          </w:tcPr>
          <w:p>
            <w:pPr>
              <w:jc w:val="right"/>
              <w:ind w:right="280"/>
              <w:spacing w:after="0"/>
              <w:rPr>
                <w:sz w:val="20"/>
                <w:szCs w:val="20"/>
                <w:color w:val="auto"/>
              </w:rPr>
            </w:pPr>
            <w:r>
              <w:rPr>
                <w:rFonts w:ascii="Arial" w:cs="Arial" w:eastAsia="Arial" w:hAnsi="Arial"/>
                <w:sz w:val="18"/>
                <w:szCs w:val="18"/>
                <w:color w:val="auto"/>
              </w:rPr>
              <w:t>39.86%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41.85%</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300" w:type="dxa"/>
            <w:vAlign w:val="bottom"/>
            <w:gridSpan w:val="3"/>
          </w:tcPr>
          <w:p>
            <w:pPr>
              <w:jc w:val="right"/>
              <w:ind w:right="280"/>
              <w:spacing w:after="0"/>
              <w:rPr>
                <w:sz w:val="20"/>
                <w:szCs w:val="20"/>
                <w:color w:val="auto"/>
              </w:rPr>
            </w:pPr>
            <w:r>
              <w:rPr>
                <w:rFonts w:ascii="Arial" w:cs="Arial" w:eastAsia="Arial" w:hAnsi="Arial"/>
                <w:sz w:val="18"/>
                <w:szCs w:val="18"/>
                <w:color w:val="auto"/>
              </w:rPr>
              <w:t>0.65%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2.58%</w:t>
            </w: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University believes that the use of Grand Canyon Education, Inc.’s historical stock price provides an accurate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Therefore, the expected volatility assumption for the years ended December 31, 2013 and 2011 is based upon the University’s historical stock price.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Expected Life (years). </w:t>
      </w:r>
      <w:r>
        <w:rPr>
          <w:rFonts w:ascii="Arial" w:cs="Arial" w:eastAsia="Arial" w:hAnsi="Arial"/>
          <w:sz w:val="16"/>
          <w:szCs w:val="16"/>
          <w:color w:val="auto"/>
        </w:rPr>
        <w:t>In 2013, the University determined it now has enough historical option exercise information to be able to accurately estimate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and as such, its computation of expected term was calculated using its own historical data. Prior to 2013, the University continued to use the simplified method to estimate the expected term of stock options under certain circumstances. The simplified method for estimating expected term is to use the mid-point between the vesting term and the contractual term of the share option. The University previously analyzed the circumstances in which the use of the simplified method was allowed. The University elected to use the simplified method for options granted prior to 2013 because the University did not have historical exercise data to estimate expected term due to the limited time period its shares had been publicly traded.</w:t>
      </w:r>
    </w:p>
    <w:p>
      <w:pPr>
        <w:spacing w:after="0" w:line="16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assumption is based upon the U.S. constant maturity treasury rates as the risk-free rate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years commensurate with the expected life of the options.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dividend yield assumption is zero since the University does not expect to declare or pay dividends in the foreseeable future.</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estimated at the time of grant based on historical retention of employees. If necessary, management estimates are adjusted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each reporting period if actual forfeitures differ from those estimates.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University amortizes the share-based compensation expense, net of forfeitures, over the expected vesting period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2013, 2012 and 2011 related to restricted stock and stock options granted: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6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$ 5,246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$ 3,809</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Admissions advisory and related</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134</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224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229</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4,327</w:t>
            </w: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3,609</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3,220</w:t>
            </w:r>
          </w:p>
        </w:tc>
      </w:tr>
      <w:tr>
        <w:trPr>
          <w:trHeight w:val="27"/>
        </w:trPr>
        <w:tc>
          <w:tcPr>
            <w:tcW w:w="6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7"/>
              </w:rPr>
              <w:t>Share-based compensation expense included in operating expenses</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9,936</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7,811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6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(3,974)</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(3,124)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(2,581)</w:t>
            </w:r>
          </w:p>
        </w:tc>
      </w:tr>
      <w:tr>
        <w:trPr>
          <w:trHeight w:val="27"/>
        </w:trPr>
        <w:tc>
          <w:tcPr>
            <w:tcW w:w="6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$ 5,962</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$ 4,687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$ 3,871</w:t>
            </w:r>
          </w:p>
        </w:tc>
      </w:tr>
      <w:tr>
        <w:trPr>
          <w:trHeight w:val="20"/>
        </w:trPr>
        <w:tc>
          <w:tcPr>
            <w:tcW w:w="6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plans to make a matching contribution to the Plan of approximately $1,400 for the year ended December 31, 2013. The University made discretionary matching contributions to the Plan of $1,080 and $933 for the years ended December 31, 2012 and 2011,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Related party transactions include transactions between the University and certain of its affiliates. The following transactions were in the normal course of operations and were measured at the exchange amount, which is the amount of consideration established and agreed to by the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December 31, 2013, 2012, and 2011, related party transactions consisted of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i w:val="1"/>
          <w:iCs w:val="1"/>
          <w:color w:val="auto"/>
        </w:rPr>
        <w:t xml:space="preserve">Mind Streams, LLC (“Mind Streams”), 21st Century, LLC (“21st Century”) and Lifetime Learning — </w:t>
      </w:r>
      <w:r>
        <w:rPr>
          <w:rFonts w:ascii="Arial" w:cs="Arial" w:eastAsia="Arial" w:hAnsi="Arial"/>
          <w:sz w:val="18"/>
          <w:szCs w:val="18"/>
          <w:color w:val="auto"/>
        </w:rPr>
        <w:t>Mind Streams, 21st Century and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Learning are owned and operated, in part, by the father of the University’s Executive Chairman. See further discussion in Note 3, Summary of Significant Accounting Policies </w:t>
      </w:r>
      <w:r>
        <w:rPr>
          <w:rFonts w:ascii="Arial" w:cs="Arial" w:eastAsia="Arial" w:hAnsi="Arial"/>
          <w:sz w:val="18"/>
          <w:szCs w:val="18"/>
          <w:i w:val="1"/>
          <w:iCs w:val="1"/>
          <w:color w:val="auto"/>
        </w:rPr>
        <w:t>—</w:t>
      </w:r>
      <w:r>
        <w:rPr>
          <w:rFonts w:ascii="Arial" w:cs="Arial" w:eastAsia="Arial" w:hAnsi="Arial"/>
          <w:sz w:val="18"/>
          <w:szCs w:val="18"/>
          <w:color w:val="auto"/>
        </w:rPr>
        <w:t xml:space="preserve"> Related party expenses.</w:t>
      </w:r>
    </w:p>
    <w:p>
      <w:pPr>
        <w:spacing w:after="0" w:line="18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i w:val="1"/>
          <w:iCs w:val="1"/>
          <w:color w:val="auto"/>
        </w:rPr>
        <w:t xml:space="preserve">Grand Canyon University Foundation (“GCUF”) — </w:t>
      </w:r>
      <w:r>
        <w:rPr>
          <w:rFonts w:ascii="Arial" w:cs="Arial" w:eastAsia="Arial" w:hAnsi="Arial"/>
          <w:sz w:val="18"/>
          <w:szCs w:val="18"/>
          <w:color w:val="auto"/>
        </w:rPr>
        <w:t>GCUF was formed in 2010 to support public charities. The University’s President, CEO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serves as the president of GCUF. All of the board seats are taken by University executives and employees. The University is not the primary beneficiary of GCUF, and accordingly, the University does not consolidate GCUF’s statement of activities with its financial results. The University contributed $200, and $5 for the years ended December 31, 2012, and 2011, respectively, of which no amounts were owed at December 31, 2013 and 2012,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12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2013 and 2012 and should be read in conjunction with other information included in the accompanying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83"/>
              </w:rPr>
              <w:t>2013</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Second Quarter</w:t>
            </w:r>
          </w:p>
        </w:tc>
        <w:tc>
          <w:tcPr>
            <w:tcW w:w="520" w:type="dxa"/>
            <w:vAlign w:val="bottom"/>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142,030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141,463</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162,443</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59,997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61,747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64,704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22,993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23,346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24,578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15,929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14,520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1,383</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108,405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109,974</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121,566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14,207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19,064</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0.47</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44,681</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45,449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45,929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6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117,131</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119,260</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133,568</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50,824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57,354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19,991</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20,369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22,342</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13,639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12,909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929</w:t>
            </w:r>
          </w:p>
        </w:tc>
        <w:tc>
          <w:tcPr>
            <w:tcW w:w="2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919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1,199</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7,544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7,701</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8,561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92,927</w:t>
            </w:r>
          </w:p>
        </w:tc>
        <w:tc>
          <w:tcPr>
            <w:tcW w:w="5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93,862</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102,365</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24,204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25,398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31,203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24,007</w:t>
            </w: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31,065</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9,538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12,594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12,097</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14,469</w:t>
            </w:r>
          </w:p>
        </w:tc>
        <w:tc>
          <w:tcPr>
            <w:tcW w:w="5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18,471</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0.35</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44,371</w:t>
            </w: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44,365</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45,151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45,169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45,339</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620" w:hanging="5612"/>
        <w:spacing w:after="0" w:line="731" w:lineRule="auto"/>
        <w:tabs>
          <w:tab w:leader="none" w:pos="4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83</w:t>
      </w:r>
    </w:p>
    <w:p>
      <w:pPr>
        <w:sectPr>
          <w:pgSz w:w="11900" w:h="16838" w:orient="portrait"/>
          <w:cols w:equalWidth="0" w:num="1">
            <w:col w:w="10960"/>
          </w:cols>
          <w:pgMar w:left="240" w:top="459" w:right="6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0" w:firstLine="456"/>
        <w:spacing w:after="0" w:line="297"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5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2013.</w:t>
      </w:r>
    </w:p>
    <w:p>
      <w:pPr>
        <w:spacing w:after="0" w:line="188"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3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80" w:hanging="446"/>
        <w:spacing w:after="0" w:line="381"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6" w:lineRule="exact"/>
        <w:rPr>
          <w:rFonts w:ascii="Arial" w:cs="Arial" w:eastAsia="Arial" w:hAnsi="Arial"/>
          <w:sz w:val="15"/>
          <w:szCs w:val="15"/>
          <w:color w:val="auto"/>
        </w:rPr>
      </w:pPr>
    </w:p>
    <w:p>
      <w:pPr>
        <w:ind w:left="900" w:right="34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2013, utilizing the criteria described in the “Internal Control-Integrated Framework (1992)” issued by the Committee of Sponsoring Organizations of the Treadway Commission. The objective of this assessment was to determine whether our internal control over financial reporting was effective as of December 31, 2013. Based on its assessment, management believes that, as of December 31, 2013, the Company’s internal control over financial reporting is effective.</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2013 has been audited by KPMG LLP, an independent registered public accounting firm, as stated in their audit report which is included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We have audited Grand Canyon Education, Inc.’s internal control over financial reporting as of December 31, 2013, based on criteria established in </w:t>
      </w:r>
      <w:r>
        <w:rPr>
          <w:rFonts w:ascii="Arial" w:cs="Arial" w:eastAsia="Arial" w:hAnsi="Arial"/>
          <w:sz w:val="17"/>
          <w:szCs w:val="17"/>
          <w:i w:val="1"/>
          <w:iCs w:val="1"/>
          <w:color w:val="auto"/>
        </w:rPr>
        <w:t xml:space="preserve">Internal Control — Integrated Framework (1992) </w:t>
      </w:r>
      <w:r>
        <w:rPr>
          <w:rFonts w:ascii="Arial" w:cs="Arial" w:eastAsia="Arial" w:hAnsi="Arial"/>
          <w:sz w:val="17"/>
          <w:szCs w:val="17"/>
          <w:color w:val="auto"/>
        </w:rPr>
        <w:t>issued by the Committee of Sponsoring Organizations of the Treadway Commission (COSO). Grand</w:t>
      </w:r>
      <w:r>
        <w:rPr>
          <w:rFonts w:ascii="Arial" w:cs="Arial" w:eastAsia="Arial" w:hAnsi="Arial"/>
          <w:sz w:val="17"/>
          <w:szCs w:val="17"/>
          <w:i w:val="1"/>
          <w:iCs w:val="1"/>
          <w:color w:val="auto"/>
        </w:rPr>
        <w:t xml:space="preserve"> </w:t>
      </w:r>
      <w:r>
        <w:rPr>
          <w:rFonts w:ascii="Arial" w:cs="Arial" w:eastAsia="Arial" w:hAnsi="Arial"/>
          <w:sz w:val="17"/>
          <w:szCs w:val="17"/>
          <w:color w:val="auto"/>
        </w:rPr>
        <w:t>Canyon Education,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right="140" w:firstLine="8"/>
        <w:spacing w:after="0" w:line="261"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our opinion, Grand Canyon Education, Inc. maintained, in all material respects, effective internal control over financial reporting as of December 31,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sheets of Grand Canyon Education, Inc. and subsidiaries as of December 31, 2013 and 2012, and the related consolidated statements of income, comprehensive income, stockholders’ equity, and cash flows for the years then ended, and our report dated February 20, 2014 expressed an unqualified opinion on those consolidated financial statements.</w:t>
      </w:r>
    </w:p>
    <w:p>
      <w:pPr>
        <w:spacing w:after="0" w:line="18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2013, that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2014 proxy statement, to be filed within 120 days of our fiscal year end (December 31, 2013) and such information is incorporated herein by reference.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our website located at www.gcu.edu/Investor Relations/Corporate Governance.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2014 proxy statement, to be filed within 120 days of our fiscal year end (December 31, 2013) and such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Information relating to this item appears in the sections entitled “Executive Compensation” and “Beneficial Ownership of Common Stock” in our 2014 proxy statement, to be filed within 120 days of our fiscal year end (December 31, 2013) and such information is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2014 proxy statement, to be filed within 120 days of our fiscal year end (December 31, 2013) and such information is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2014 our proxy statement, to be filed within 120 days of our fiscal year end (December 31, 2013) and such information is incorporated herein by reference.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60" w:type="dxa"/>
            <w:vAlign w:val="bottom"/>
            <w:gridSpan w:val="5"/>
          </w:tcPr>
          <w:p>
            <w:pPr>
              <w:ind w:left="7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260" w:type="dxa"/>
            <w:vAlign w:val="bottom"/>
            <w:gridSpan w:val="9"/>
          </w:tcPr>
          <w:p>
            <w:pPr>
              <w:ind w:left="280"/>
              <w:spacing w:after="0"/>
              <w:rPr>
                <w:sz w:val="20"/>
                <w:szCs w:val="20"/>
                <w:color w:val="auto"/>
              </w:rPr>
            </w:pPr>
            <w:r>
              <w:rPr>
                <w:rFonts w:ascii="Arial" w:cs="Arial" w:eastAsia="Arial" w:hAnsi="Arial"/>
                <w:sz w:val="18"/>
                <w:szCs w:val="18"/>
                <w:b w:val="1"/>
                <w:bCs w:val="1"/>
                <w:i w:val="1"/>
                <w:iCs w:val="1"/>
                <w:color w:val="auto"/>
              </w:rPr>
              <w:t>Exhibits and Consolidated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10"/>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300" w:type="dxa"/>
            <w:vAlign w:val="bottom"/>
          </w:tcPr>
          <w:p>
            <w:pPr>
              <w:spacing w:after="0"/>
              <w:rPr>
                <w:sz w:val="24"/>
                <w:szCs w:val="24"/>
                <w:color w:val="auto"/>
              </w:rPr>
            </w:pPr>
          </w:p>
        </w:tc>
      </w:tr>
      <w:tr>
        <w:trPr>
          <w:trHeight w:val="338"/>
        </w:trPr>
        <w:tc>
          <w:tcPr>
            <w:tcW w:w="760" w:type="dxa"/>
            <w:vAlign w:val="bottom"/>
          </w:tcPr>
          <w:p>
            <w:pPr>
              <w:ind w:left="460"/>
              <w:spacing w:after="0"/>
              <w:rPr>
                <w:sz w:val="20"/>
                <w:szCs w:val="20"/>
                <w:color w:val="auto"/>
              </w:rPr>
            </w:pPr>
            <w:r>
              <w:rPr>
                <w:rFonts w:ascii="Arial" w:cs="Arial" w:eastAsia="Arial" w:hAnsi="Arial"/>
                <w:sz w:val="18"/>
                <w:szCs w:val="18"/>
                <w:color w:val="auto"/>
              </w:rPr>
              <w:t>1.</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Statements filed as part of this report</w:t>
            </w:r>
          </w:p>
        </w:tc>
        <w:tc>
          <w:tcPr>
            <w:tcW w:w="300" w:type="dxa"/>
            <w:vAlign w:val="bottom"/>
          </w:tcPr>
          <w:p>
            <w:pPr>
              <w:spacing w:after="0"/>
              <w:rPr>
                <w:sz w:val="24"/>
                <w:szCs w:val="24"/>
                <w:color w:val="auto"/>
              </w:rPr>
            </w:pPr>
          </w:p>
        </w:tc>
      </w:tr>
      <w:tr>
        <w:trPr>
          <w:trHeight w:val="405"/>
        </w:trPr>
        <w:tc>
          <w:tcPr>
            <w:tcW w:w="11020" w:type="dxa"/>
            <w:vAlign w:val="bottom"/>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26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156"/>
        </w:trPr>
        <w:tc>
          <w:tcPr>
            <w:tcW w:w="4300" w:type="dxa"/>
            <w:vAlign w:val="bottom"/>
            <w:tcBorders>
              <w:bottom w:val="single" w:sz="8" w:color="0000EE"/>
            </w:tcBorders>
            <w:gridSpan w:val="4"/>
          </w:tcPr>
          <w:p>
            <w:pPr>
              <w:spacing w:after="0" w:line="142" w:lineRule="exact"/>
              <w:rPr>
                <w:rFonts w:ascii="Arial" w:cs="Arial" w:eastAsia="Arial" w:hAnsi="Arial"/>
                <w:sz w:val="16"/>
                <w:szCs w:val="16"/>
                <w:color w:val="0000EE"/>
              </w:rPr>
            </w:pPr>
            <w:hyperlink w:anchor="page60">
              <w:r>
                <w:rPr>
                  <w:rFonts w:ascii="Arial" w:cs="Arial" w:eastAsia="Arial" w:hAnsi="Arial"/>
                  <w:sz w:val="16"/>
                  <w:szCs w:val="16"/>
                  <w:color w:val="0000EE"/>
                </w:rPr>
                <w:t>Report of Independent Registered Public Accounting Firms</w:t>
              </w:r>
            </w:hyperlink>
          </w:p>
        </w:tc>
        <w:tc>
          <w:tcPr>
            <w:tcW w:w="6720" w:type="dxa"/>
            <w:vAlign w:val="bottom"/>
            <w:gridSpan w:val="6"/>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59</w:t>
            </w: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 as of December 31, 2013 and 2012</w:t>
              </w:r>
            </w:hyperlink>
          </w:p>
        </w:tc>
        <w:tc>
          <w:tcPr>
            <w:tcW w:w="6360" w:type="dxa"/>
            <w:vAlign w:val="bottom"/>
            <w:gridSpan w:val="5"/>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Income Statements for the years ended December 31, 2013, 2012 and 2011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77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Comprehensive Income for the years ended December 31, 2013, 2012 and 2011</w:t>
              </w:r>
            </w:hyperlink>
          </w:p>
        </w:tc>
        <w:tc>
          <w:tcPr>
            <w:tcW w:w="3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Stockholders’ Equity for the years ended December 31, 2013, 2012 and 2011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758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Consolidated Statements of Cash Flows for the years ended December 31, 2013, 2012 and 2011</w:t>
              </w:r>
            </w:hyperlink>
          </w:p>
        </w:tc>
        <w:tc>
          <w:tcPr>
            <w:tcW w:w="3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3740" w:type="dxa"/>
            <w:vAlign w:val="bottom"/>
            <w:tcBorders>
              <w:top w:val="single" w:sz="8" w:color="0000EE"/>
            </w:tcBorders>
            <w:gridSpan w:val="4"/>
          </w:tcPr>
          <w:p>
            <w:pPr>
              <w:spacing w:after="0"/>
              <w:rPr>
                <w:sz w:val="17"/>
                <w:szCs w:val="17"/>
                <w:color w:val="auto"/>
              </w:rPr>
            </w:pPr>
          </w:p>
        </w:tc>
        <w:tc>
          <w:tcPr>
            <w:tcW w:w="41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358"/>
        </w:trPr>
        <w:tc>
          <w:tcPr>
            <w:tcW w:w="760" w:type="dxa"/>
            <w:vAlign w:val="bottom"/>
          </w:tcPr>
          <w:p>
            <w:pPr>
              <w:ind w:left="460"/>
              <w:spacing w:after="0"/>
              <w:rPr>
                <w:sz w:val="20"/>
                <w:szCs w:val="20"/>
                <w:color w:val="auto"/>
              </w:rPr>
            </w:pPr>
            <w:r>
              <w:rPr>
                <w:rFonts w:ascii="Arial" w:cs="Arial" w:eastAsia="Arial" w:hAnsi="Arial"/>
                <w:sz w:val="18"/>
                <w:szCs w:val="18"/>
                <w:color w:val="auto"/>
              </w:rPr>
              <w:t>2.</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tc>
        <w:tc>
          <w:tcPr>
            <w:tcW w:w="300" w:type="dxa"/>
            <w:vAlign w:val="bottom"/>
          </w:tcPr>
          <w:p>
            <w:pPr>
              <w:spacing w:after="0"/>
              <w:rPr>
                <w:sz w:val="24"/>
                <w:szCs w:val="24"/>
                <w:color w:val="auto"/>
              </w:rPr>
            </w:pPr>
          </w:p>
        </w:tc>
      </w:tr>
    </w:tbl>
    <w:p>
      <w:pPr>
        <w:spacing w:after="0" w:line="9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20"/>
          </w:cols>
          <w:pgMar w:left="24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524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Amended and Restated Executive Employment Agreement, dated</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September 10, 2008, by and between Grand Canyon Education, Inc.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Equity Incentive Plan, as amended†</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Employee Stock Purchase Plan†</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Brian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Mueller†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W. Stan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Meyer†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30, 2012, by and between Grand Canyon Education, Inc. and Daniel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Bachus†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30, 2012, by and between Grand Canyon Education, Inc. and Joseph 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Mildenhall†</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Form of Director and Officer Indemnity Agreement</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Credit Agreement, dated December 21, 2012, by and among Grand</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Canyon Education, Inc., Bank of America, N.A., and the other parties</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named therein.</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Executive Employment Agreement, dated September 7, 2012, by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between Grand Canyon Education, Inc. and Brian M. Roberts†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Subsidiaries of Grand Canyon Education, Inc.</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8"/>
              </w:rPr>
              <w:t>Consent of KPMG LLP, Independent Registered Public Accounting</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Firm</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Accounting Firm</w:t>
            </w:r>
          </w:p>
        </w:tc>
      </w:tr>
      <w:tr>
        <w:trPr>
          <w:trHeight w:val="365"/>
        </w:trPr>
        <w:tc>
          <w:tcPr>
            <w:tcW w:w="520" w:type="dxa"/>
            <w:vAlign w:val="bottom"/>
          </w:tcPr>
          <w:p>
            <w:pPr>
              <w:spacing w:after="0"/>
              <w:rPr>
                <w:sz w:val="24"/>
                <w:szCs w:val="24"/>
                <w:color w:val="auto"/>
              </w:rPr>
            </w:pPr>
          </w:p>
        </w:tc>
        <w:tc>
          <w:tcPr>
            <w:tcW w:w="5560" w:type="dxa"/>
            <w:vAlign w:val="bottom"/>
            <w:gridSpan w:val="2"/>
          </w:tcPr>
          <w:p>
            <w:pPr>
              <w:jc w:val="right"/>
              <w:ind w:right="191"/>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258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14, 2011.</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10.5 to Amendment No. 2 to the University’s Registration Statement on Form S-1 filed with the SEC on September 29, 2008.</w:t>
      </w:r>
    </w:p>
    <w:p>
      <w:pPr>
        <w:spacing w:after="0" w:line="2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6, 2012.</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6, 2012.</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10.3 to the University’s Quarterly Report on Form 10-Q filed with the SEC on August 6, 2012.</w:t>
      </w:r>
    </w:p>
    <w:p>
      <w:pPr>
        <w:spacing w:after="0" w:line="2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10.4 to the University’s Quarterly Report on Form 10-Q filed with the SEC on August 6, 2012.</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pacing w:after="0" w:line="2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Incorporated by reference to Exhibit 10.10 to the University’s Annual Report on Form 10-K filed with the SEC on February 19, 2013.</w:t>
      </w:r>
    </w:p>
    <w:p>
      <w:pPr>
        <w:spacing w:after="0" w:line="1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May 7,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080" w:space="200"/>
            <w:col w:w="5140"/>
          </w:cols>
          <w:pgMar w:left="240" w:top="459"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00"/>
          </w:cols>
          <w:pgMar w:left="240" w:top="459" w:right="65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504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Power of Attorney</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7"/>
              </w:rPr>
              <w:t>Certification of the Chief Executive Officer Pursuant to Rule 13a-</w:t>
            </w:r>
          </w:p>
        </w:tc>
      </w:tr>
      <w:tr>
        <w:trPr>
          <w:trHeight w:val="216"/>
        </w:trPr>
        <w:tc>
          <w:tcPr>
            <w:tcW w:w="52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5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Sarbanes-Oxley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8"/>
              </w:rPr>
              <w:t>Certification of the Chief Financial Officer Pursuant to Rule 13a-</w:t>
            </w:r>
          </w:p>
        </w:tc>
      </w:tr>
      <w:tr>
        <w:trPr>
          <w:trHeight w:val="216"/>
        </w:trPr>
        <w:tc>
          <w:tcPr>
            <w:tcW w:w="52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9"/>
              </w:rPr>
              <w:t>14(a) and 15d-14(a) as Adopted Pursuant to Section 302 of the</w:t>
            </w:r>
          </w:p>
        </w:tc>
      </w:tr>
      <w:tr>
        <w:trPr>
          <w:trHeight w:val="230"/>
        </w:trPr>
        <w:tc>
          <w:tcPr>
            <w:tcW w:w="5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Sarbanes-Oxley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Executive Officer Pursuant to 18 U.S.C.</w:t>
            </w:r>
          </w:p>
        </w:tc>
      </w:tr>
      <w:tr>
        <w:trPr>
          <w:trHeight w:val="216"/>
        </w:trPr>
        <w:tc>
          <w:tcPr>
            <w:tcW w:w="52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2"/>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2"/>
              </w:rPr>
              <w:t>Certification of Chief Financial Officer Pursuant to 18 U.S.C. Section</w:t>
            </w:r>
          </w:p>
        </w:tc>
      </w:tr>
      <w:tr>
        <w:trPr>
          <w:trHeight w:val="216"/>
        </w:trPr>
        <w:tc>
          <w:tcPr>
            <w:tcW w:w="520" w:type="dxa"/>
            <w:vAlign w:val="bottom"/>
          </w:tcPr>
          <w:p>
            <w:pPr>
              <w:spacing w:after="0"/>
              <w:rPr>
                <w:sz w:val="18"/>
                <w:szCs w:val="18"/>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w w:val="90"/>
              </w:rPr>
              <w:t>1350, as Adopted Pursuant to Section 906 of the Sarbanes-Oxley Act</w:t>
            </w:r>
          </w:p>
        </w:tc>
      </w:tr>
      <w:tr>
        <w:trPr>
          <w:trHeight w:val="230"/>
        </w:trPr>
        <w:tc>
          <w:tcPr>
            <w:tcW w:w="520" w:type="dxa"/>
            <w:vAlign w:val="bottom"/>
          </w:tcPr>
          <w:p>
            <w:pPr>
              <w:spacing w:after="0"/>
              <w:rPr>
                <w:sz w:val="20"/>
                <w:szCs w:val="20"/>
                <w:color w:val="auto"/>
              </w:rPr>
            </w:pPr>
          </w:p>
        </w:tc>
        <w:tc>
          <w:tcPr>
            <w:tcW w:w="5480" w:type="dxa"/>
            <w:vAlign w:val="bottom"/>
            <w:gridSpan w:val="2"/>
          </w:tcPr>
          <w:p>
            <w:pPr>
              <w:ind w:left="440"/>
              <w:spacing w:after="0"/>
              <w:rPr>
                <w:sz w:val="20"/>
                <w:szCs w:val="20"/>
                <w:color w:val="auto"/>
              </w:rPr>
            </w:pPr>
            <w:r>
              <w:rPr>
                <w:rFonts w:ascii="Arial" w:cs="Arial" w:eastAsia="Arial" w:hAnsi="Arial"/>
                <w:sz w:val="18"/>
                <w:szCs w:val="18"/>
                <w:color w:val="auto"/>
              </w:rPr>
              <w:t>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40"/>
        <w:spacing w:after="0"/>
        <w:rPr>
          <w:sz w:val="20"/>
          <w:szCs w:val="20"/>
          <w:color w:val="auto"/>
        </w:rPr>
      </w:pP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327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ectPr>
          <w:pgSz w:w="11900" w:h="16838" w:orient="portrait"/>
          <w:cols w:equalWidth="0" w:num="2">
            <w:col w:w="6000" w:space="320"/>
            <w:col w:w="4680"/>
          </w:cols>
          <w:pgMar w:left="240" w:top="459" w:right="659" w:bottom="1440" w:gutter="0" w:footer="0" w:header="0"/>
          <w:type w:val="continuous"/>
        </w:sect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240" w:top="459" w:right="6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February 20, 2014</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Brian M. Roberts,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100" w:type="dxa"/>
            <w:vAlign w:val="bottom"/>
          </w:tcPr>
          <w:p>
            <w:pPr>
              <w:spacing w:after="0"/>
              <w:rPr>
                <w:sz w:val="24"/>
                <w:szCs w:val="24"/>
                <w:color w:val="auto"/>
              </w:rPr>
            </w:pPr>
          </w:p>
        </w:tc>
        <w:tc>
          <w:tcPr>
            <w:tcW w:w="5300" w:type="dxa"/>
            <w:vAlign w:val="bottom"/>
            <w:gridSpan w:val="2"/>
          </w:tcPr>
          <w:p>
            <w:pPr>
              <w:ind w:left="1640"/>
              <w:spacing w:after="0"/>
              <w:rPr>
                <w:sz w:val="20"/>
                <w:szCs w:val="20"/>
                <w:color w:val="auto"/>
              </w:rPr>
            </w:pPr>
            <w:r>
              <w:rPr>
                <w:rFonts w:ascii="Arial" w:cs="Arial" w:eastAsia="Arial" w:hAnsi="Arial"/>
                <w:sz w:val="18"/>
                <w:szCs w:val="18"/>
                <w:color w:val="auto"/>
                <w:w w:val="97"/>
              </w:rPr>
              <w:t>President, Chief Executive Officer and Director</w:t>
            </w:r>
          </w:p>
        </w:tc>
        <w:tc>
          <w:tcPr>
            <w:tcW w:w="1740" w:type="dxa"/>
            <w:vAlign w:val="bottom"/>
          </w:tcPr>
          <w:p>
            <w:pPr>
              <w:ind w:left="420"/>
              <w:spacing w:after="0"/>
              <w:rPr>
                <w:sz w:val="20"/>
                <w:szCs w:val="20"/>
                <w:color w:val="auto"/>
              </w:rPr>
            </w:pPr>
            <w:r>
              <w:rPr>
                <w:rFonts w:ascii="Arial" w:cs="Arial" w:eastAsia="Arial" w:hAnsi="Arial"/>
                <w:sz w:val="18"/>
                <w:szCs w:val="18"/>
                <w:color w:val="auto"/>
                <w:w w:val="88"/>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182"/>
        </w:trPr>
        <w:tc>
          <w:tcPr>
            <w:tcW w:w="4280" w:type="dxa"/>
            <w:vAlign w:val="bottom"/>
            <w:gridSpan w:val="2"/>
          </w:tcPr>
          <w:p>
            <w:pPr>
              <w:spacing w:after="0" w:line="182" w:lineRule="exact"/>
              <w:rPr>
                <w:sz w:val="20"/>
                <w:szCs w:val="20"/>
                <w:color w:val="auto"/>
              </w:rPr>
            </w:pPr>
            <w:r>
              <w:rPr>
                <w:rFonts w:ascii="Arial" w:cs="Arial" w:eastAsia="Arial" w:hAnsi="Arial"/>
                <w:sz w:val="18"/>
                <w:szCs w:val="18"/>
                <w:color w:val="auto"/>
              </w:rPr>
              <w:t>Daniel E. Bachus</w:t>
            </w:r>
          </w:p>
        </w:tc>
        <w:tc>
          <w:tcPr>
            <w:tcW w:w="100" w:type="dxa"/>
            <w:vAlign w:val="bottom"/>
          </w:tcPr>
          <w:p>
            <w:pPr>
              <w:spacing w:after="0"/>
              <w:rPr>
                <w:sz w:val="15"/>
                <w:szCs w:val="15"/>
                <w:color w:val="auto"/>
              </w:rPr>
            </w:pPr>
          </w:p>
        </w:tc>
        <w:tc>
          <w:tcPr>
            <w:tcW w:w="530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4"/>
              </w:rPr>
              <w:t>(Principal Financial Officer and Principal</w:t>
            </w:r>
          </w:p>
        </w:tc>
        <w:tc>
          <w:tcPr>
            <w:tcW w:w="1740" w:type="dxa"/>
            <w:vAlign w:val="bottom"/>
          </w:tcPr>
          <w:p>
            <w:pPr>
              <w:spacing w:after="0"/>
              <w:rPr>
                <w:sz w:val="15"/>
                <w:szCs w:val="15"/>
                <w:color w:val="auto"/>
              </w:rPr>
            </w:pPr>
          </w:p>
        </w:tc>
      </w:tr>
      <w:tr>
        <w:trPr>
          <w:trHeight w:val="230"/>
        </w:trPr>
        <w:tc>
          <w:tcPr>
            <w:tcW w:w="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Brent D. Richardson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Executive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Casper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Warren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R. Dial</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20, 2014</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71"/>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Subsidiaries of Registrant</w:t>
            </w: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Jurisdiction of Incorporation</w:t>
            </w:r>
          </w:p>
        </w:tc>
      </w:tr>
      <w:tr>
        <w:trPr>
          <w:trHeight w:val="296"/>
        </w:trPr>
        <w:tc>
          <w:tcPr>
            <w:tcW w:w="6060" w:type="dxa"/>
            <w:vAlign w:val="bottom"/>
            <w:gridSpan w:val="2"/>
          </w:tcPr>
          <w:p>
            <w:pPr>
              <w:spacing w:after="0"/>
              <w:rPr>
                <w:sz w:val="20"/>
                <w:szCs w:val="20"/>
                <w:color w:val="auto"/>
              </w:rPr>
            </w:pPr>
            <w:r>
              <w:rPr>
                <w:rFonts w:ascii="Arial" w:cs="Arial" w:eastAsia="Arial" w:hAnsi="Arial"/>
                <w:sz w:val="18"/>
                <w:szCs w:val="18"/>
                <w:color w:val="auto"/>
              </w:rPr>
              <w:t>Grand Canyon University, Inc.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Nueva Ventura,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Casa de Amistad,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Amigos de Torrejon,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Piedras Bonitas Inversiones,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La Sonrisa de Siena,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Nuevo Comienzo,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El Vecino de Amigos,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La Fuente de la Comunidad,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(Nos. 333-155973, 333-165019, and 333-179611) on Form S-8 of Grand Canyon Education, Inc. of our reports dated February 20, 2014, with respect to the consolidated balance sheets of Grand Canyon Education, Inc. and subsidiaries as of December 31, 2013 and 2012, and the related consolidated statements of income, comprehensive income, stockholders’ equity, and cash flows for the years then ended, and the effectiveness of internal control over financial reporting as of December 31, 2013, which reports appear in the December 31, 2013, annual report on Form 10-K of Grand Canyon Education,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(Nos. 333-155973, 333-165019, 333-179611) pertaining to the Grand Canyon Education, Inc. 2008 Equity Incentive Plan of our report dated February 21, 2012, with respect to the consolidated financial statements of Grand Canyon Education, Inc., included in its Annual Report (Form 10-K) for the year ended December 31, 2011, filed with the Securities and Exchange Commission.</w:t>
      </w:r>
    </w:p>
    <w:p>
      <w:pPr>
        <w:spacing w:after="0" w:line="18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2014</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20, 2014</w:t>
      </w:r>
      <w:r>
        <w:rPr>
          <w:sz w:val="20"/>
          <w:szCs w:val="20"/>
          <w:color w:val="auto"/>
        </w:rPr>
        <w:tab/>
      </w: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February 20, 2014</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2013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2013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lvl w:ilvl="1">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8"/>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1)"/>
      <w:numFmt w:val="decimal"/>
      <w:start w:val="3"/>
    </w:lvl>
  </w:abstractNum>
  <w:abstractNum w:abstractNumId="37">
    <w:nsid w:val="153EA438"/>
    <w:multiLevelType w:val="hybridMultilevel"/>
    <w:lvl w:ilvl="0">
      <w:lvlJc w:val="left"/>
      <w:lvlText w:val="%1."/>
      <w:numFmt w:val="decimal"/>
      <w:start w:val="3"/>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2019-12-07T18:40:35Z</dcterms:created>
  <dcterms:modified xsi:type="dcterms:W3CDTF">2019-12-07T18:40:35Z</dcterms:modified>
</cp:coreProperties>
</file>