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10"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20" w:right="300" w:hanging="410"/>
        <w:spacing w:after="0" w:line="352" w:lineRule="auto"/>
        <w:tabs>
          <w:tab w:leader="none" w:pos="4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AND EXCHANGE ACT OF 1934 For the quarterly period ended 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420" w:hanging="410"/>
        <w:spacing w:after="0"/>
        <w:tabs>
          <w:tab w:leader="none" w:pos="4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420"/>
        <w:spacing w:after="0"/>
        <w:tabs>
          <w:tab w:leader="none" w:pos="40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12"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20-3356009</w:t>
            </w:r>
          </w:p>
        </w:tc>
      </w:tr>
      <w:tr>
        <w:trPr>
          <w:trHeight w:val="216"/>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8"/>
              </w:rPr>
              <w:t>Incorporation or organization)</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3780" w:type="dxa"/>
            <w:vAlign w:val="bottom"/>
            <w:tcBorders>
              <w:top w:val="single" w:sz="8" w:color="auto"/>
              <w:left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4"/>
                <w:szCs w:val="14"/>
                <w:b w:val="1"/>
                <w:bCs w:val="1"/>
                <w:color w:val="auto"/>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0"/>
        </w:trPr>
        <w:tc>
          <w:tcPr>
            <w:tcW w:w="3780" w:type="dxa"/>
            <w:vAlign w:val="bottom"/>
            <w:tcBorders>
              <w:left w:val="single" w:sz="8" w:color="auto"/>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Common Stock</w:t>
            </w:r>
          </w:p>
        </w:tc>
        <w:tc>
          <w:tcPr>
            <w:tcW w:w="2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LOPE</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ind w:left="20" w:right="28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20"/>
        <w:spacing w:after="0" w:line="207" w:lineRule="exact"/>
        <w:tabs>
          <w:tab w:leader="none" w:pos="582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4" w:lineRule="exact"/>
        <w:rPr>
          <w:sz w:val="24"/>
          <w:szCs w:val="24"/>
          <w:color w:val="auto"/>
        </w:rPr>
      </w:pPr>
    </w:p>
    <w:p>
      <w:pPr>
        <w:ind w:left="20" w:right="460" w:firstLine="648"/>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4"/>
          <w:szCs w:val="24"/>
          <w:color w:val="auto"/>
        </w:rPr>
      </w:pPr>
    </w:p>
    <w:p>
      <w:pPr>
        <w:jc w:val="both"/>
        <w:ind w:left="20" w:right="52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89" w:lineRule="exact"/>
        <w:rPr>
          <w:sz w:val="24"/>
          <w:szCs w:val="24"/>
          <w:color w:val="auto"/>
        </w:rPr>
      </w:pPr>
    </w:p>
    <w:p>
      <w:pPr>
        <w:ind w:left="2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4">
            <w:col w:w="1700" w:space="180"/>
            <w:col w:w="5180" w:space="720"/>
            <w:col w:w="2080" w:space="220"/>
            <w:col w:w="160"/>
          </w:cols>
          <w:pgMar w:left="820" w:top="665" w:right="839" w:bottom="1440" w:gutter="0" w:footer="0" w:header="0"/>
          <w:type w:val="continuous"/>
        </w:sectPr>
      </w:pPr>
    </w:p>
    <w:p>
      <w:pPr>
        <w:ind w:left="20" w:right="340" w:firstLine="648"/>
        <w:spacing w:after="0" w:line="23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 w:lineRule="exact"/>
        <w:rPr>
          <w:sz w:val="24"/>
          <w:szCs w:val="24"/>
          <w:color w:val="auto"/>
        </w:rPr>
      </w:pPr>
    </w:p>
    <w:p>
      <w:pPr>
        <w:ind w:left="660" w:right="120"/>
        <w:spacing w:after="0" w:line="29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August 1, 2023, was 30,274,886.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497840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6497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77470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140" w:type="dxa"/>
            <w:vAlign w:val="bottom"/>
            <w:gridSpan w:val="10"/>
            <w:vMerge w:val="restart"/>
          </w:tcPr>
          <w:p>
            <w:pPr>
              <w:spacing w:after="0"/>
              <w:rPr>
                <w:sz w:val="20"/>
                <w:szCs w:val="20"/>
                <w:color w:val="auto"/>
              </w:rPr>
            </w:pPr>
            <w:r>
              <w:rPr>
                <w:rFonts w:ascii="Arial" w:cs="Arial" w:eastAsia="Arial" w:hAnsi="Arial"/>
                <w:sz w:val="18"/>
                <w:szCs w:val="18"/>
                <w:b w:val="1"/>
                <w:bCs w:val="1"/>
                <w:color w:val="0000EE"/>
              </w:rPr>
              <w:t>PART I – FINANCIAL INFORMATION</w:t>
            </w:r>
          </w:p>
        </w:tc>
        <w:tc>
          <w:tcPr>
            <w:tcW w:w="5360" w:type="dxa"/>
            <w:vAlign w:val="bottom"/>
            <w:gridSpan w:val="4"/>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4"/>
        </w:trPr>
        <w:tc>
          <w:tcPr>
            <w:tcW w:w="3140" w:type="dxa"/>
            <w:vAlign w:val="bottom"/>
            <w:tcBorders>
              <w:bottom w:val="single" w:sz="8" w:color="0000EE"/>
            </w:tcBorders>
            <w:gridSpan w:val="10"/>
            <w:vMerge w:val="continue"/>
          </w:tcPr>
          <w:p>
            <w:pPr>
              <w:spacing w:after="0"/>
              <w:rPr>
                <w:sz w:val="14"/>
                <w:szCs w:val="14"/>
                <w:color w:val="auto"/>
              </w:rPr>
            </w:pPr>
          </w:p>
        </w:tc>
        <w:tc>
          <w:tcPr>
            <w:tcW w:w="5360" w:type="dxa"/>
            <w:vAlign w:val="bottom"/>
            <w:gridSpan w:val="4"/>
            <w:vMerge w:val="continue"/>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412"/>
        </w:trPr>
        <w:tc>
          <w:tcPr>
            <w:tcW w:w="8500" w:type="dxa"/>
            <w:vAlign w:val="bottom"/>
            <w:gridSpan w:val="14"/>
          </w:tcPr>
          <w:p>
            <w:pPr>
              <w:spacing w:after="0"/>
              <w:rPr>
                <w:sz w:val="20"/>
                <w:szCs w:val="20"/>
                <w:color w:val="auto"/>
              </w:rPr>
            </w:pPr>
            <w:r>
              <w:rPr>
                <w:rFonts w:ascii="Arial" w:cs="Arial" w:eastAsia="Arial" w:hAnsi="Arial"/>
                <w:sz w:val="18"/>
                <w:szCs w:val="18"/>
                <w:color w:val="0000EE"/>
              </w:rPr>
              <w:t>Item 1 Financial Statements</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00" w:type="dxa"/>
            <w:vAlign w:val="bottom"/>
            <w:gridSpan w:val="14"/>
          </w:tcPr>
          <w:p>
            <w:pPr>
              <w:spacing w:after="0" w:line="196"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Item 3 Quantitative and Qualitative Disclosures About Market Risk</w:t>
            </w:r>
          </w:p>
        </w:tc>
        <w:tc>
          <w:tcPr>
            <w:tcW w:w="2080" w:type="dxa"/>
            <w:vAlign w:val="bottom"/>
            <w:tcBorders>
              <w:top w:val="single" w:sz="8" w:color="0000EE"/>
            </w:tcBorders>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8500" w:type="dxa"/>
            <w:vAlign w:val="bottom"/>
            <w:gridSpan w:val="14"/>
          </w:tcPr>
          <w:p>
            <w:pPr>
              <w:spacing w:after="0" w:line="196" w:lineRule="exact"/>
              <w:rPr>
                <w:sz w:val="20"/>
                <w:szCs w:val="20"/>
                <w:color w:val="auto"/>
              </w:rPr>
            </w:pPr>
            <w:r>
              <w:rPr>
                <w:rFonts w:ascii="Arial" w:cs="Arial" w:eastAsia="Arial" w:hAnsi="Arial"/>
                <w:sz w:val="18"/>
                <w:szCs w:val="18"/>
                <w:color w:val="0000EE"/>
              </w:rPr>
              <w:t>Item 4 Controls and Procedures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00" w:type="dxa"/>
            <w:vAlign w:val="bottom"/>
            <w:gridSpan w:val="14"/>
          </w:tcPr>
          <w:p>
            <w:pPr>
              <w:spacing w:after="0"/>
              <w:rPr>
                <w:sz w:val="20"/>
                <w:szCs w:val="20"/>
                <w:color w:val="auto"/>
              </w:rPr>
            </w:pPr>
            <w:r>
              <w:rPr>
                <w:rFonts w:ascii="Arial" w:cs="Arial" w:eastAsia="Arial" w:hAnsi="Arial"/>
                <w:sz w:val="18"/>
                <w:szCs w:val="18"/>
                <w:b w:val="1"/>
                <w:bCs w:val="1"/>
                <w:color w:val="0000EE"/>
              </w:rPr>
              <w:t>PART II – OTHER INFORMATION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412"/>
        </w:trPr>
        <w:tc>
          <w:tcPr>
            <w:tcW w:w="18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9"/>
              </w:rPr>
              <w:t>Item 1 Legal Proceedings</w:t>
            </w:r>
          </w:p>
        </w:tc>
        <w:tc>
          <w:tcPr>
            <w:tcW w:w="1000" w:type="dxa"/>
            <w:vAlign w:val="bottom"/>
            <w:tcBorders>
              <w:top w:val="single" w:sz="8" w:color="0000EE"/>
            </w:tcBorders>
            <w:gridSpan w:val="4"/>
          </w:tcPr>
          <w:p>
            <w:pPr>
              <w:spacing w:after="0"/>
              <w:rPr>
                <w:sz w:val="24"/>
                <w:szCs w:val="24"/>
                <w:color w:val="auto"/>
              </w:rPr>
            </w:pPr>
          </w:p>
        </w:tc>
        <w:tc>
          <w:tcPr>
            <w:tcW w:w="566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8500" w:type="dxa"/>
            <w:vAlign w:val="bottom"/>
            <w:gridSpan w:val="14"/>
          </w:tcPr>
          <w:p>
            <w:pPr>
              <w:spacing w:after="0" w:line="196" w:lineRule="exact"/>
              <w:rPr>
                <w:sz w:val="20"/>
                <w:szCs w:val="20"/>
                <w:color w:val="auto"/>
              </w:rPr>
            </w:pPr>
            <w:r>
              <w:rPr>
                <w:rFonts w:ascii="Arial" w:cs="Arial" w:eastAsia="Arial" w:hAnsi="Arial"/>
                <w:sz w:val="18"/>
                <w:szCs w:val="18"/>
                <w:color w:val="0000EE"/>
              </w:rPr>
              <w:t>Item 1A Risk Factors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00" w:type="dxa"/>
            <w:vAlign w:val="bottom"/>
            <w:gridSpan w:val="14"/>
          </w:tcPr>
          <w:p>
            <w:pPr>
              <w:spacing w:after="0" w:line="196"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1"/>
              </w:rPr>
              <w:t>Item 3</w:t>
            </w:r>
          </w:p>
        </w:tc>
        <w:tc>
          <w:tcPr>
            <w:tcW w:w="4360" w:type="dxa"/>
            <w:vAlign w:val="bottom"/>
            <w:tcBorders>
              <w:top w:val="single" w:sz="8" w:color="0000EE"/>
            </w:tcBorders>
            <w:gridSpan w:val="10"/>
          </w:tcPr>
          <w:p>
            <w:pPr>
              <w:ind w:left="20"/>
              <w:spacing w:after="0" w:line="196" w:lineRule="exact"/>
              <w:rPr>
                <w:sz w:val="20"/>
                <w:szCs w:val="20"/>
                <w:color w:val="auto"/>
              </w:rPr>
            </w:pPr>
            <w:r>
              <w:rPr>
                <w:rFonts w:ascii="Arial" w:cs="Arial" w:eastAsia="Arial" w:hAnsi="Arial"/>
                <w:sz w:val="18"/>
                <w:szCs w:val="18"/>
                <w:color w:val="0000EE"/>
              </w:rPr>
              <w:t>Defaults Upon Senior Securities</w:t>
            </w:r>
          </w:p>
        </w:tc>
        <w:tc>
          <w:tcPr>
            <w:tcW w:w="366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1"/>
              </w:rPr>
              <w:t>Item 4</w:t>
            </w:r>
          </w:p>
        </w:tc>
        <w:tc>
          <w:tcPr>
            <w:tcW w:w="2340" w:type="dxa"/>
            <w:vAlign w:val="bottom"/>
            <w:tcBorders>
              <w:top w:val="single" w:sz="8" w:color="0000EE"/>
            </w:tcBorders>
            <w:gridSpan w:val="7"/>
          </w:tcPr>
          <w:p>
            <w:pPr>
              <w:ind w:left="20"/>
              <w:spacing w:after="0" w:line="196" w:lineRule="exact"/>
              <w:rPr>
                <w:sz w:val="20"/>
                <w:szCs w:val="20"/>
                <w:color w:val="auto"/>
              </w:rPr>
            </w:pPr>
            <w:r>
              <w:rPr>
                <w:rFonts w:ascii="Arial" w:cs="Arial" w:eastAsia="Arial" w:hAnsi="Arial"/>
                <w:sz w:val="18"/>
                <w:szCs w:val="18"/>
                <w:color w:val="0000EE"/>
              </w:rPr>
              <w:t>Mine Safety Disclosures</w:t>
            </w:r>
          </w:p>
        </w:tc>
        <w:tc>
          <w:tcPr>
            <w:tcW w:w="568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Item 5</w:t>
            </w:r>
          </w:p>
        </w:tc>
        <w:tc>
          <w:tcPr>
            <w:tcW w:w="1340" w:type="dxa"/>
            <w:vAlign w:val="bottom"/>
            <w:tcBorders>
              <w:top w:val="single" w:sz="8" w:color="0000EE"/>
              <w:bottom w:val="single" w:sz="8" w:color="0000EE"/>
            </w:tcBorders>
            <w:gridSpan w:val="3"/>
          </w:tcPr>
          <w:p>
            <w:pPr>
              <w:ind w:left="20"/>
              <w:spacing w:after="0" w:line="196" w:lineRule="exact"/>
              <w:rPr>
                <w:sz w:val="20"/>
                <w:szCs w:val="20"/>
                <w:color w:val="auto"/>
              </w:rPr>
            </w:pPr>
            <w:r>
              <w:rPr>
                <w:rFonts w:ascii="Arial" w:cs="Arial" w:eastAsia="Arial" w:hAnsi="Arial"/>
                <w:sz w:val="18"/>
                <w:szCs w:val="18"/>
                <w:color w:val="0000EE"/>
                <w:w w:val="92"/>
              </w:rPr>
              <w:t>Other Information</w:t>
            </w:r>
          </w:p>
        </w:tc>
        <w:tc>
          <w:tcPr>
            <w:tcW w:w="440" w:type="dxa"/>
            <w:vAlign w:val="bottom"/>
            <w:tcBorders>
              <w:top w:val="single" w:sz="8" w:color="0000EE"/>
            </w:tcBorders>
            <w:gridSpan w:val="3"/>
          </w:tcPr>
          <w:p>
            <w:pPr>
              <w:spacing w:after="0"/>
              <w:rPr>
                <w:sz w:val="17"/>
                <w:szCs w:val="17"/>
                <w:color w:val="auto"/>
              </w:rPr>
            </w:pPr>
          </w:p>
        </w:tc>
        <w:tc>
          <w:tcPr>
            <w:tcW w:w="62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4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Item 6</w:t>
            </w:r>
          </w:p>
        </w:tc>
        <w:tc>
          <w:tcPr>
            <w:tcW w:w="620" w:type="dxa"/>
            <w:vAlign w:val="bottom"/>
            <w:tcBorders>
              <w:bottom w:val="single" w:sz="8" w:color="0000EE"/>
            </w:tcBorders>
          </w:tcPr>
          <w:p>
            <w:pPr>
              <w:ind w:left="20"/>
              <w:spacing w:after="0" w:line="196" w:lineRule="exact"/>
              <w:rPr>
                <w:sz w:val="20"/>
                <w:szCs w:val="20"/>
                <w:color w:val="auto"/>
              </w:rPr>
            </w:pPr>
            <w:r>
              <w:rPr>
                <w:rFonts w:ascii="Arial" w:cs="Arial" w:eastAsia="Arial" w:hAnsi="Arial"/>
                <w:sz w:val="18"/>
                <w:szCs w:val="18"/>
                <w:color w:val="0000EE"/>
                <w:w w:val="91"/>
              </w:rPr>
              <w:t>Exhibits</w:t>
            </w:r>
          </w:p>
        </w:tc>
        <w:tc>
          <w:tcPr>
            <w:tcW w:w="740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SIGNATURES</w:t>
            </w:r>
          </w:p>
        </w:tc>
        <w:tc>
          <w:tcPr>
            <w:tcW w:w="740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Service revenue</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210,577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199,753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460,702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443,886</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academic services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74,495</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Counseling services and support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72,392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145,741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133,538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Marketing and communication</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103,700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100,586</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19,747</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175,135</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165,908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350,783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332,576</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109,919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111,310</w:t>
            </w: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interest and other</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114,636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111,854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28,214</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88,537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83,640</w:t>
            </w:r>
          </w:p>
        </w:tc>
        <w:tc>
          <w:tcPr>
            <w:tcW w:w="0" w:type="dxa"/>
            <w:vAlign w:val="bottom"/>
          </w:tcPr>
          <w:p>
            <w:pPr>
              <w:spacing w:after="0"/>
              <w:rPr>
                <w:sz w:val="1"/>
                <w:szCs w:val="1"/>
                <w:color w:val="auto"/>
              </w:rPr>
            </w:pPr>
          </w:p>
        </w:tc>
      </w:tr>
      <w:tr>
        <w:trPr>
          <w:trHeight w:val="197"/>
        </w:trPr>
        <w:tc>
          <w:tcPr>
            <w:tcW w:w="52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Earnings per share: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80" w:type="dxa"/>
            <w:vAlign w:val="bottom"/>
          </w:tcPr>
          <w:p>
            <w:pPr>
              <w:ind w:left="120"/>
              <w:spacing w:after="0"/>
              <w:rPr>
                <w:sz w:val="20"/>
                <w:szCs w:val="20"/>
                <w:color w:val="auto"/>
              </w:rPr>
            </w:pPr>
            <w:r>
              <w:rPr>
                <w:rFonts w:ascii="Arial" w:cs="Arial" w:eastAsia="Arial" w:hAnsi="Arial"/>
                <w:sz w:val="18"/>
                <w:szCs w:val="18"/>
                <w:b w:val="1"/>
                <w:bCs w:val="1"/>
                <w:color w:val="auto"/>
              </w:rPr>
              <w:t>Basic income per share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0.96</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6"/>
        </w:trPr>
        <w:tc>
          <w:tcPr>
            <w:tcW w:w="528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Diluted income per share</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97"/>
        </w:trPr>
        <w:tc>
          <w:tcPr>
            <w:tcW w:w="5280" w:type="dxa"/>
            <w:vAlign w:val="bottom"/>
          </w:tcPr>
          <w:p>
            <w:pPr>
              <w:ind w:left="12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30,183</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31,800</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30,321</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33,295</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Diluted weighted average shares outstanding</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30,287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31,877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30,462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33,381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par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48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120,409</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90,444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61,295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77,413</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Arial" w:cs="Arial" w:eastAsia="Arial" w:hAnsi="Arial"/>
                <w:sz w:val="18"/>
                <w:szCs w:val="18"/>
                <w:color w:val="auto"/>
              </w:rPr>
              <w:t>Income tax receivable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09"/>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279,549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273,273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147,504</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76,446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72,719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Amortizable intangible assets,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176,800</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160,766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4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846,217</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832,749</w:t>
            </w:r>
          </w:p>
        </w:tc>
        <w:tc>
          <w:tcPr>
            <w:tcW w:w="0" w:type="dxa"/>
            <w:vAlign w:val="bottom"/>
          </w:tcPr>
          <w:p>
            <w:pPr>
              <w:spacing w:after="0"/>
              <w:rPr>
                <w:sz w:val="1"/>
                <w:szCs w:val="1"/>
                <w:color w:val="auto"/>
              </w:rPr>
            </w:pPr>
          </w:p>
        </w:tc>
      </w:tr>
      <w:tr>
        <w:trPr>
          <w:trHeight w:val="197"/>
        </w:trPr>
        <w:tc>
          <w:tcPr>
            <w:tcW w:w="6480" w:type="dxa"/>
            <w:vAlign w:val="bottom"/>
            <w:shd w:val="clear" w:color="auto" w:fill="CCEEFF"/>
          </w:tcPr>
          <w:p>
            <w:pPr>
              <w:ind w:left="128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20,006</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Arial" w:cs="Arial" w:eastAsia="Arial" w:hAnsi="Arial"/>
                <w:sz w:val="18"/>
                <w:szCs w:val="18"/>
                <w:color w:val="auto"/>
              </w:rPr>
              <w:t>Accrued compensation and benefits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36,412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22,473</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12,167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Current portion of lease liability</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8,648</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99,706</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Deferred income taxes, noncurrent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26,195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less current portion</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72,616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68,793</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200,792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195,130</w:t>
            </w: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80" w:type="dxa"/>
            <w:vAlign w:val="bottom"/>
          </w:tcPr>
          <w:p>
            <w:pPr>
              <w:ind w:left="20"/>
              <w:spacing w:after="0" w:line="201" w:lineRule="exact"/>
              <w:rPr>
                <w:sz w:val="20"/>
                <w:szCs w:val="20"/>
                <w:color w:val="auto"/>
              </w:rPr>
            </w:pPr>
            <w:r>
              <w:rPr>
                <w:rFonts w:ascii="Arial" w:cs="Arial" w:eastAsia="Arial" w:hAnsi="Arial"/>
                <w:sz w:val="18"/>
                <w:szCs w:val="18"/>
                <w:color w:val="auto"/>
              </w:rPr>
              <w:t>Preferred stock, $0.01 par value, 10,000 shares authorized; 0 shares issued and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outstanding at June 30, 2023 and December 31, 2022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Common stock, $0.01 par value, 100,000 shares authorized; 53,970 and 53,830 shares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issued and 30,398 and 31,058 shares outstanding at June 30, 2023 and December 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2"/>
        </w:trPr>
        <w:tc>
          <w:tcPr>
            <w:tcW w:w="6480" w:type="dxa"/>
            <w:vAlign w:val="bottom"/>
          </w:tcPr>
          <w:p>
            <w:pPr>
              <w:ind w:left="20"/>
              <w:spacing w:after="0" w:line="201" w:lineRule="exact"/>
              <w:rPr>
                <w:sz w:val="20"/>
                <w:szCs w:val="20"/>
                <w:color w:val="auto"/>
              </w:rPr>
            </w:pPr>
            <w:r>
              <w:rPr>
                <w:rFonts w:ascii="Arial" w:cs="Arial" w:eastAsia="Arial" w:hAnsi="Arial"/>
                <w:sz w:val="18"/>
                <w:szCs w:val="18"/>
                <w:color w:val="auto"/>
                <w:w w:val="90"/>
              </w:rPr>
              <w:t>Treasury stock, at cost, 23,572 and 22,772 shares of common stock at June 30, 2023 and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December 31, 2022, respectively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(1,798,619)</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(1,711,423)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309,310</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2,128,264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2,039,727</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637,619</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846,217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832,749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560" w:type="dxa"/>
            <w:vAlign w:val="bottom"/>
            <w:gridSpan w:val="3"/>
          </w:tcPr>
          <w:p>
            <w:pPr>
              <w:jc w:val="right"/>
              <w:ind w:right="1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455"/>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640" w:type="dxa"/>
            <w:vAlign w:val="bottom"/>
            <w:gridSpan w:val="2"/>
            <w:vMerge w:val="continue"/>
          </w:tcPr>
          <w:p>
            <w:pPr>
              <w:spacing w:after="0"/>
              <w:rPr>
                <w:sz w:val="12"/>
                <w:szCs w:val="12"/>
                <w:color w:val="auto"/>
              </w:rPr>
            </w:pPr>
          </w:p>
        </w:tc>
        <w:tc>
          <w:tcPr>
            <w:tcW w:w="72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2023</w:t>
            </w:r>
          </w:p>
        </w:tc>
        <w:tc>
          <w:tcPr>
            <w:tcW w:w="84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700" w:type="dxa"/>
            <w:vAlign w:val="bottom"/>
          </w:tcPr>
          <w:p>
            <w:pPr>
              <w:jc w:val="right"/>
              <w:ind w:right="121"/>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2"/>
                <w:szCs w:val="12"/>
                <w:color w:val="auto"/>
              </w:rPr>
            </w:pPr>
          </w:p>
        </w:tc>
        <w:tc>
          <w:tcPr>
            <w:tcW w:w="7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5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$ 28,973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$ 25,562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$ 88,537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$ 83,640</w:t>
            </w:r>
          </w:p>
        </w:tc>
        <w:tc>
          <w:tcPr>
            <w:tcW w:w="0" w:type="dxa"/>
            <w:vAlign w:val="bottom"/>
          </w:tcPr>
          <w:p>
            <w:pPr>
              <w:spacing w:after="0"/>
              <w:rPr>
                <w:sz w:val="1"/>
                <w:szCs w:val="1"/>
                <w:color w:val="auto"/>
              </w:rPr>
            </w:pPr>
          </w:p>
        </w:tc>
      </w:tr>
      <w:tr>
        <w:trPr>
          <w:trHeight w:val="216"/>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net of tax:</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Unrealized losses on available-for-sale securities, net of taxes of $86</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$24 for the three months ended June 30, 2023 and 2022,</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respectively, and $49 and $123 for the six months ended June 30, 2023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vMerge w:val="restart"/>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vMerge w:val="restart"/>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vMerge w:val="restart"/>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7"/>
        </w:trPr>
        <w:tc>
          <w:tcPr>
            <w:tcW w:w="5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and 2022, respectively</w:t>
            </w: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8"/>
              </w:rPr>
              <w:t>$ 28,697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$ 25,487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$ 88,380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$ 83,242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Six Months Ended June 30, 2023</w:t>
            </w: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320" w:type="dxa"/>
            <w:vAlign w:val="bottom"/>
            <w:gridSpan w:val="4"/>
            <w:vMerge w:val="restart"/>
          </w:tcPr>
          <w:p>
            <w:pPr>
              <w:jc w:val="right"/>
              <w:ind w:right="96"/>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160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2"/>
                <w:szCs w:val="12"/>
                <w:color w:val="auto"/>
              </w:rPr>
            </w:pPr>
          </w:p>
        </w:tc>
        <w:tc>
          <w:tcPr>
            <w:tcW w:w="8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4"/>
                <w:szCs w:val="14"/>
                <w:color w:val="auto"/>
              </w:rPr>
            </w:pPr>
          </w:p>
        </w:tc>
        <w:tc>
          <w:tcPr>
            <w:tcW w:w="132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6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Par Value</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9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76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2"/>
                <w:szCs w:val="12"/>
                <w:color w:val="auto"/>
              </w:rPr>
            </w:pPr>
          </w:p>
        </w:tc>
        <w:tc>
          <w:tcPr>
            <w:tcW w:w="7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2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Balance at December 31,</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9"/>
              </w:rPr>
              <w:t>53,830</w:t>
            </w:r>
          </w:p>
        </w:tc>
        <w:tc>
          <w:tcPr>
            <w:tcW w:w="22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22,772</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98"/>
              </w:rPr>
              <w:t>$ (1,711,423)</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$ 309,310</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(533)</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$ 2,039,727</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$ 637,619</w:t>
            </w: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2022</w:t>
            </w:r>
          </w:p>
        </w:tc>
        <w:tc>
          <w:tcPr>
            <w:tcW w:w="600" w:type="dxa"/>
            <w:vAlign w:val="bottom"/>
            <w:vMerge w:val="continue"/>
            <w:shd w:val="clear" w:color="auto" w:fill="CCEEFF"/>
          </w:tcPr>
          <w:p>
            <w:pPr>
              <w:spacing w:after="0"/>
              <w:rPr>
                <w:sz w:val="21"/>
                <w:szCs w:val="21"/>
                <w:color w:val="auto"/>
              </w:rPr>
            </w:pPr>
          </w:p>
        </w:tc>
        <w:tc>
          <w:tcPr>
            <w:tcW w:w="220" w:type="dxa"/>
            <w:vAlign w:val="bottom"/>
            <w:gridSpan w:val="2"/>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66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160" w:type="dxa"/>
            <w:vAlign w:val="bottom"/>
            <w:gridSpan w:val="2"/>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920" w:type="dxa"/>
            <w:vAlign w:val="bottom"/>
            <w:gridSpan w:val="2"/>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240" w:type="dxa"/>
            <w:vAlign w:val="bottom"/>
            <w:tcBorders>
              <w:top w:val="single" w:sz="8" w:color="CCEEFF"/>
            </w:tcBorders>
          </w:tcPr>
          <w:p>
            <w:pPr>
              <w:ind w:left="20"/>
              <w:spacing w:after="0" w:line="183" w:lineRule="exact"/>
              <w:rPr>
                <w:sz w:val="20"/>
                <w:szCs w:val="20"/>
                <w:color w:val="auto"/>
              </w:rPr>
            </w:pPr>
            <w:r>
              <w:rPr>
                <w:rFonts w:ascii="Arial" w:cs="Arial" w:eastAsia="Arial" w:hAnsi="Arial"/>
                <w:sz w:val="18"/>
                <w:szCs w:val="18"/>
                <w:color w:val="auto"/>
              </w:rPr>
              <w:t>Comprehensive income</w:t>
            </w:r>
          </w:p>
        </w:tc>
        <w:tc>
          <w:tcPr>
            <w:tcW w:w="6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119</w:t>
            </w: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59,564</w:t>
            </w:r>
          </w:p>
        </w:tc>
        <w:tc>
          <w:tcPr>
            <w:tcW w:w="6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59,683</w:t>
            </w: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Common stock purchased for</w:t>
            </w: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(35,090)</w:t>
            </w: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(35,090)</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Restricted shares forfeited</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Share-based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(2,962)</w:t>
            </w:r>
          </w:p>
        </w:tc>
        <w:tc>
          <w:tcPr>
            <w:tcW w:w="0" w:type="dxa"/>
            <w:vAlign w:val="bottom"/>
          </w:tcPr>
          <w:p>
            <w:pPr>
              <w:spacing w:after="0"/>
              <w:rPr>
                <w:sz w:val="1"/>
                <w:szCs w:val="1"/>
                <w:color w:val="auto"/>
              </w:rPr>
            </w:pPr>
          </w:p>
        </w:tc>
      </w:tr>
      <w:tr>
        <w:trPr>
          <w:trHeight w:val="196"/>
        </w:trPr>
        <w:tc>
          <w:tcPr>
            <w:tcW w:w="2240" w:type="dxa"/>
            <w:vAlign w:val="bottom"/>
          </w:tcPr>
          <w:p>
            <w:pPr>
              <w:ind w:left="20"/>
              <w:spacing w:after="0" w:line="196" w:lineRule="exact"/>
              <w:rPr>
                <w:sz w:val="20"/>
                <w:szCs w:val="20"/>
                <w:color w:val="auto"/>
              </w:rPr>
            </w:pPr>
            <w:r>
              <w:rPr>
                <w:rFonts w:ascii="Arial" w:cs="Arial" w:eastAsia="Arial" w:hAnsi="Arial"/>
                <w:sz w:val="18"/>
                <w:szCs w:val="18"/>
                <w:color w:val="auto"/>
              </w:rPr>
              <w:t>Balance at March 31, 2023</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53,966</w:t>
            </w:r>
          </w:p>
        </w:tc>
        <w:tc>
          <w:tcPr>
            <w:tcW w:w="60" w:type="dxa"/>
            <w:vAlign w:val="bottom"/>
          </w:tcPr>
          <w:p>
            <w:pPr>
              <w:spacing w:after="0"/>
              <w:rPr>
                <w:sz w:val="17"/>
                <w:szCs w:val="17"/>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540</w:t>
            </w:r>
          </w:p>
        </w:tc>
        <w:tc>
          <w:tcPr>
            <w:tcW w:w="80" w:type="dxa"/>
            <w:vAlign w:val="bottom"/>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23,143</w:t>
            </w:r>
          </w:p>
        </w:tc>
        <w:tc>
          <w:tcPr>
            <w:tcW w:w="6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 (1,752,844)</w:t>
            </w:r>
          </w:p>
        </w:tc>
        <w:tc>
          <w:tcPr>
            <w:tcW w:w="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$ 312,677</w:t>
            </w:r>
          </w:p>
        </w:tc>
        <w:tc>
          <w:tcPr>
            <w:tcW w:w="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$ 2,099,291</w:t>
            </w:r>
          </w:p>
        </w:tc>
        <w:tc>
          <w:tcPr>
            <w:tcW w:w="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$ 659,250</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28,973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28,697</w:t>
            </w:r>
          </w:p>
        </w:tc>
        <w:tc>
          <w:tcPr>
            <w:tcW w:w="0" w:type="dxa"/>
            <w:vAlign w:val="bottom"/>
          </w:tcPr>
          <w:p>
            <w:pPr>
              <w:spacing w:after="0"/>
              <w:rPr>
                <w:sz w:val="1"/>
                <w:szCs w:val="1"/>
                <w:color w:val="auto"/>
              </w:rPr>
            </w:pPr>
          </w:p>
        </w:tc>
      </w:tr>
      <w:tr>
        <w:trPr>
          <w:trHeight w:val="202"/>
        </w:trPr>
        <w:tc>
          <w:tcPr>
            <w:tcW w:w="2240" w:type="dxa"/>
            <w:vAlign w:val="bottom"/>
          </w:tcPr>
          <w:p>
            <w:pPr>
              <w:ind w:left="20"/>
              <w:spacing w:after="0" w:line="201" w:lineRule="exact"/>
              <w:rPr>
                <w:sz w:val="20"/>
                <w:szCs w:val="20"/>
                <w:color w:val="auto"/>
              </w:rPr>
            </w:pPr>
            <w:r>
              <w:rPr>
                <w:rFonts w:ascii="Arial" w:cs="Arial" w:eastAsia="Arial" w:hAnsi="Arial"/>
                <w:sz w:val="18"/>
                <w:szCs w:val="18"/>
                <w:color w:val="auto"/>
                <w:w w:val="93"/>
              </w:rPr>
              <w:t>Common stock purchased for</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treasury</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419</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(45,775)</w:t>
            </w: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(45,775)</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shares forfeited</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240" w:type="dxa"/>
            <w:vAlign w:val="bottom"/>
          </w:tcPr>
          <w:p>
            <w:pPr>
              <w:ind w:left="20"/>
              <w:spacing w:after="0" w:line="202" w:lineRule="exact"/>
              <w:rPr>
                <w:sz w:val="20"/>
                <w:szCs w:val="20"/>
                <w:color w:val="auto"/>
              </w:rPr>
            </w:pPr>
            <w:r>
              <w:rPr>
                <w:rFonts w:ascii="Arial" w:cs="Arial" w:eastAsia="Arial" w:hAnsi="Arial"/>
                <w:sz w:val="18"/>
                <w:szCs w:val="18"/>
                <w:color w:val="auto"/>
                <w:w w:val="99"/>
              </w:rPr>
              <w:t>Share-based compensation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3,253</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3,253</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June 30, 2023</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53,970</w:t>
            </w: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23,572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 (1,798,619)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$ 315,930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$ 2,128,264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$ 645,425</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Six Months Ended June 30, 2022</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340" w:type="dxa"/>
            <w:vAlign w:val="bottom"/>
            <w:gridSpan w:val="4"/>
            <w:vMerge w:val="restart"/>
          </w:tcPr>
          <w:p>
            <w:pPr>
              <w:jc w:val="right"/>
              <w:ind w:right="116"/>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1600" w:type="dxa"/>
            <w:vAlign w:val="bottom"/>
            <w:gridSpan w:val="3"/>
            <w:vMerge w:val="restart"/>
          </w:tcPr>
          <w:p>
            <w:pPr>
              <w:jc w:val="right"/>
              <w:ind w:right="257"/>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8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4"/>
                <w:szCs w:val="14"/>
                <w:color w:val="auto"/>
              </w:rPr>
            </w:pPr>
          </w:p>
        </w:tc>
        <w:tc>
          <w:tcPr>
            <w:tcW w:w="1340" w:type="dxa"/>
            <w:vAlign w:val="bottom"/>
            <w:tcBorders>
              <w:bottom w:val="single" w:sz="8" w:color="auto"/>
            </w:tcBorders>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79"/>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Par Value</w:t>
            </w:r>
          </w:p>
        </w:tc>
        <w:tc>
          <w:tcPr>
            <w:tcW w:w="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38"/>
              <w:spacing w:after="0" w:line="142"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1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Balance at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9"/>
              </w:rPr>
              <w:t>53,637</w:t>
            </w:r>
          </w:p>
        </w:tc>
        <w:tc>
          <w:tcPr>
            <w:tcW w:w="24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15,915</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96"/>
              </w:rPr>
              <w:t>$ (1,107,211)</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$ 296,670</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6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  $ 1,855,052</w:t>
            </w: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1,045,047</w:t>
            </w:r>
          </w:p>
        </w:tc>
        <w:tc>
          <w:tcPr>
            <w:tcW w:w="0" w:type="dxa"/>
            <w:vAlign w:val="bottom"/>
          </w:tcPr>
          <w:p>
            <w:pPr>
              <w:spacing w:after="0"/>
              <w:rPr>
                <w:sz w:val="1"/>
                <w:szCs w:val="1"/>
                <w:color w:val="auto"/>
              </w:rPr>
            </w:pPr>
          </w:p>
        </w:tc>
      </w:tr>
      <w:tr>
        <w:trPr>
          <w:trHeight w:val="217"/>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5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1860" w:type="dxa"/>
            <w:vAlign w:val="bottom"/>
            <w:gridSpan w:val="3"/>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20" w:type="dxa"/>
            <w:vAlign w:val="bottom"/>
            <w:vMerge w:val="continue"/>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7"/>
                <w:szCs w:val="17"/>
                <w:color w:val="auto"/>
              </w:rPr>
              <w:t>(323)</w:t>
            </w:r>
          </w:p>
        </w:tc>
        <w:tc>
          <w:tcPr>
            <w:tcW w:w="60" w:type="dxa"/>
            <w:vAlign w:val="bottom"/>
            <w:vMerge w:val="continue"/>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7"/>
                <w:szCs w:val="17"/>
                <w:color w:val="auto"/>
              </w:rPr>
              <w:t>58,078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57,755</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Common stock purchased</w:t>
            </w: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treasury</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4,575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(394,930)</w:t>
            </w: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(394,930)</w:t>
            </w:r>
          </w:p>
        </w:tc>
        <w:tc>
          <w:tcPr>
            <w:tcW w:w="0" w:type="dxa"/>
            <w:vAlign w:val="bottom"/>
          </w:tcPr>
          <w:p>
            <w:pPr>
              <w:spacing w:after="0"/>
              <w:rPr>
                <w:sz w:val="1"/>
                <w:szCs w:val="1"/>
                <w:color w:val="auto"/>
              </w:rPr>
            </w:pPr>
          </w:p>
        </w:tc>
      </w:tr>
      <w:tr>
        <w:trPr>
          <w:trHeight w:val="216"/>
        </w:trPr>
        <w:tc>
          <w:tcPr>
            <w:tcW w:w="2120" w:type="dxa"/>
            <w:vAlign w:val="bottom"/>
          </w:tcPr>
          <w:p>
            <w:pPr>
              <w:ind w:left="20"/>
              <w:spacing w:after="0"/>
              <w:rPr>
                <w:sz w:val="20"/>
                <w:szCs w:val="20"/>
                <w:color w:val="auto"/>
              </w:rPr>
            </w:pPr>
            <w:r>
              <w:rPr>
                <w:rFonts w:ascii="Arial" w:cs="Arial" w:eastAsia="Arial" w:hAnsi="Arial"/>
                <w:sz w:val="18"/>
                <w:szCs w:val="18"/>
                <w:color w:val="auto"/>
                <w:w w:val="98"/>
              </w:rPr>
              <w:t>Restricted shares forfeited</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(4,625)</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3,188</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(1,435)</w:t>
            </w: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8"/>
                <w:szCs w:val="18"/>
                <w:color w:val="auto"/>
                <w:w w:val="96"/>
              </w:rPr>
              <w:t>Balance at March 31, 2022</w:t>
            </w:r>
          </w:p>
        </w:tc>
        <w:tc>
          <w:tcPr>
            <w:tcW w:w="580" w:type="dxa"/>
            <w:vAlign w:val="bottom"/>
          </w:tcPr>
          <w:p>
            <w:pPr>
              <w:jc w:val="right"/>
              <w:spacing w:after="0"/>
              <w:rPr>
                <w:sz w:val="20"/>
                <w:szCs w:val="20"/>
                <w:color w:val="auto"/>
              </w:rPr>
            </w:pPr>
            <w:r>
              <w:rPr>
                <w:rFonts w:ascii="Arial" w:cs="Arial" w:eastAsia="Arial" w:hAnsi="Arial"/>
                <w:sz w:val="17"/>
                <w:szCs w:val="17"/>
                <w:color w:val="auto"/>
                <w:w w:val="99"/>
              </w:rPr>
              <w:t>53,826</w:t>
            </w:r>
          </w:p>
        </w:tc>
        <w:tc>
          <w:tcPr>
            <w:tcW w:w="240" w:type="dxa"/>
            <w:vAlign w:val="bottom"/>
            <w:gridSpan w:val="2"/>
          </w:tcPr>
          <w:p>
            <w:pPr>
              <w:jc w:val="right"/>
              <w:ind w:right="8"/>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538</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20,548</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6"/>
              </w:rPr>
              <w:t>$ (1,506,766)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97"/>
              </w:rPr>
              <w:t>$ 299,858</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(323)</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w w:val="95"/>
              </w:rPr>
              <w:t>$ 1,913,130</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706,437</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25,562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25,487</w:t>
            </w:r>
          </w:p>
        </w:tc>
        <w:tc>
          <w:tcPr>
            <w:tcW w:w="0" w:type="dxa"/>
            <w:vAlign w:val="bottom"/>
          </w:tcPr>
          <w:p>
            <w:pPr>
              <w:spacing w:after="0"/>
              <w:rPr>
                <w:sz w:val="1"/>
                <w:szCs w:val="1"/>
                <w:color w:val="auto"/>
              </w:rPr>
            </w:pPr>
          </w:p>
        </w:tc>
      </w:tr>
      <w:tr>
        <w:trPr>
          <w:trHeight w:val="202"/>
        </w:trPr>
        <w:tc>
          <w:tcPr>
            <w:tcW w:w="2120" w:type="dxa"/>
            <w:vAlign w:val="bottom"/>
          </w:tcPr>
          <w:p>
            <w:pPr>
              <w:ind w:left="20"/>
              <w:spacing w:after="0" w:line="201" w:lineRule="exact"/>
              <w:rPr>
                <w:sz w:val="20"/>
                <w:szCs w:val="20"/>
                <w:color w:val="auto"/>
              </w:rPr>
            </w:pPr>
            <w:r>
              <w:rPr>
                <w:rFonts w:ascii="Arial" w:cs="Arial" w:eastAsia="Arial" w:hAnsi="Arial"/>
                <w:sz w:val="18"/>
                <w:szCs w:val="18"/>
                <w:color w:val="auto"/>
                <w:w w:val="99"/>
              </w:rPr>
              <w:t>Common stock purchased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color w:val="auto"/>
              </w:rPr>
              <w:t>for treasury</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1,319</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(128,457)</w:t>
            </w: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(128,457)</w:t>
            </w:r>
          </w:p>
        </w:tc>
        <w:tc>
          <w:tcPr>
            <w:tcW w:w="0" w:type="dxa"/>
            <w:vAlign w:val="bottom"/>
          </w:tcPr>
          <w:p>
            <w:pPr>
              <w:spacing w:after="0"/>
              <w:rPr>
                <w:sz w:val="1"/>
                <w:szCs w:val="1"/>
                <w:color w:val="auto"/>
              </w:rPr>
            </w:pPr>
          </w:p>
        </w:tc>
      </w:tr>
      <w:tr>
        <w:trPr>
          <w:trHeight w:val="203"/>
        </w:trPr>
        <w:tc>
          <w:tcPr>
            <w:tcW w:w="21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3,171</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3,171</w:t>
            </w:r>
          </w:p>
        </w:tc>
        <w:tc>
          <w:tcPr>
            <w:tcW w:w="0" w:type="dxa"/>
            <w:vAlign w:val="bottom"/>
          </w:tcPr>
          <w:p>
            <w:pPr>
              <w:spacing w:after="0"/>
              <w:rPr>
                <w:sz w:val="1"/>
                <w:szCs w:val="1"/>
                <w:color w:val="auto"/>
              </w:rPr>
            </w:pPr>
          </w:p>
        </w:tc>
      </w:tr>
      <w:tr>
        <w:trPr>
          <w:trHeight w:val="196"/>
        </w:trPr>
        <w:tc>
          <w:tcPr>
            <w:tcW w:w="2120" w:type="dxa"/>
            <w:vAlign w:val="bottom"/>
          </w:tcPr>
          <w:p>
            <w:pPr>
              <w:ind w:left="20"/>
              <w:spacing w:after="0" w:line="196" w:lineRule="exact"/>
              <w:rPr>
                <w:sz w:val="20"/>
                <w:szCs w:val="20"/>
                <w:color w:val="auto"/>
              </w:rPr>
            </w:pPr>
            <w:r>
              <w:rPr>
                <w:rFonts w:ascii="Arial" w:cs="Arial" w:eastAsia="Arial" w:hAnsi="Arial"/>
                <w:sz w:val="18"/>
                <w:szCs w:val="18"/>
                <w:color w:val="auto"/>
              </w:rPr>
              <w:t>Balance at June 30, 2022</w:t>
            </w:r>
          </w:p>
        </w:tc>
        <w:tc>
          <w:tcPr>
            <w:tcW w:w="580" w:type="dxa"/>
            <w:vAlign w:val="bottom"/>
          </w:tcPr>
          <w:p>
            <w:pPr>
              <w:jc w:val="right"/>
              <w:spacing w:after="0"/>
              <w:rPr>
                <w:sz w:val="20"/>
                <w:szCs w:val="20"/>
                <w:color w:val="auto"/>
              </w:rPr>
            </w:pPr>
            <w:r>
              <w:rPr>
                <w:rFonts w:ascii="Arial" w:cs="Arial" w:eastAsia="Arial" w:hAnsi="Arial"/>
                <w:sz w:val="17"/>
                <w:szCs w:val="17"/>
                <w:color w:val="auto"/>
                <w:w w:val="99"/>
              </w:rPr>
              <w:t>53,830</w:t>
            </w:r>
          </w:p>
        </w:tc>
        <w:tc>
          <w:tcPr>
            <w:tcW w:w="240" w:type="dxa"/>
            <w:vAlign w:val="bottom"/>
            <w:gridSpan w:val="2"/>
          </w:tcPr>
          <w:p>
            <w:pPr>
              <w:jc w:val="right"/>
              <w:ind w:right="8"/>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538</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21,867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w w:val="96"/>
              </w:rPr>
              <w:t>$ (1,635,223)</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97"/>
              </w:rPr>
              <w:t>$ 303,029</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(398)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w w:val="95"/>
              </w:rPr>
              <w:t>$ 1,938,692</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606,638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vMerge w:val="restart"/>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Borders>
              <w:bottom w:val="single" w:sz="8" w:color="auto"/>
            </w:tcBorders>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69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Net income</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88,537</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83,640</w:t>
            </w:r>
          </w:p>
        </w:tc>
        <w:tc>
          <w:tcPr>
            <w:tcW w:w="0" w:type="dxa"/>
            <w:vAlign w:val="bottom"/>
          </w:tcPr>
          <w:p>
            <w:pPr>
              <w:spacing w:after="0"/>
              <w:rPr>
                <w:sz w:val="1"/>
                <w:szCs w:val="1"/>
                <w:color w:val="auto"/>
              </w:rPr>
            </w:pPr>
          </w:p>
        </w:tc>
      </w:tr>
      <w:tr>
        <w:trPr>
          <w:trHeight w:val="148"/>
        </w:trPr>
        <w:tc>
          <w:tcPr>
            <w:tcW w:w="69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Share-based compensation</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6,622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6,361</w:t>
            </w:r>
          </w:p>
        </w:tc>
        <w:tc>
          <w:tcPr>
            <w:tcW w:w="0" w:type="dxa"/>
            <w:vAlign w:val="bottom"/>
          </w:tcPr>
          <w:p>
            <w:pPr>
              <w:spacing w:after="0"/>
              <w:rPr>
                <w:sz w:val="1"/>
                <w:szCs w:val="1"/>
                <w:color w:val="auto"/>
              </w:rPr>
            </w:pPr>
          </w:p>
        </w:tc>
      </w:tr>
      <w:tr>
        <w:trPr>
          <w:trHeight w:val="148"/>
        </w:trPr>
        <w:tc>
          <w:tcPr>
            <w:tcW w:w="69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11,352</w:t>
            </w:r>
          </w:p>
        </w:tc>
        <w:tc>
          <w:tcPr>
            <w:tcW w:w="0" w:type="dxa"/>
            <w:vAlign w:val="bottom"/>
          </w:tcPr>
          <w:p>
            <w:pPr>
              <w:spacing w:after="0"/>
              <w:rPr>
                <w:sz w:val="1"/>
                <w:szCs w:val="1"/>
                <w:color w:val="auto"/>
              </w:rPr>
            </w:pPr>
          </w:p>
        </w:tc>
      </w:tr>
      <w:tr>
        <w:trPr>
          <w:trHeight w:val="148"/>
        </w:trPr>
        <w:tc>
          <w:tcPr>
            <w:tcW w:w="6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Amortization of intangible assets</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4,210</w:t>
            </w:r>
          </w:p>
        </w:tc>
        <w:tc>
          <w:tcPr>
            <w:tcW w:w="0" w:type="dxa"/>
            <w:vAlign w:val="bottom"/>
          </w:tcPr>
          <w:p>
            <w:pPr>
              <w:spacing w:after="0"/>
              <w:rPr>
                <w:sz w:val="1"/>
                <w:szCs w:val="1"/>
                <w:color w:val="auto"/>
              </w:rPr>
            </w:pPr>
          </w:p>
        </w:tc>
      </w:tr>
      <w:tr>
        <w:trPr>
          <w:trHeight w:val="149"/>
        </w:trPr>
        <w:tc>
          <w:tcPr>
            <w:tcW w:w="69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148"/>
        </w:trPr>
        <w:tc>
          <w:tcPr>
            <w:tcW w:w="6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 including fixed asset impairments</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48"/>
        </w:trPr>
        <w:tc>
          <w:tcPr>
            <w:tcW w:w="69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Changes in assets and liabilities:</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Accounts receivable from university partners</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52,731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44,336</w:t>
            </w:r>
          </w:p>
        </w:tc>
        <w:tc>
          <w:tcPr>
            <w:tcW w:w="0" w:type="dxa"/>
            <w:vAlign w:val="bottom"/>
          </w:tcPr>
          <w:p>
            <w:pPr>
              <w:spacing w:after="0"/>
              <w:rPr>
                <w:sz w:val="1"/>
                <w:szCs w:val="1"/>
                <w:color w:val="auto"/>
              </w:rPr>
            </w:pPr>
          </w:p>
        </w:tc>
      </w:tr>
      <w:tr>
        <w:trPr>
          <w:trHeight w:val="148"/>
        </w:trPr>
        <w:tc>
          <w:tcPr>
            <w:tcW w:w="6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(1,332)</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(3,171)</w:t>
            </w:r>
          </w:p>
        </w:tc>
        <w:tc>
          <w:tcPr>
            <w:tcW w:w="0" w:type="dxa"/>
            <w:vAlign w:val="bottom"/>
          </w:tcPr>
          <w:p>
            <w:pPr>
              <w:spacing w:after="0"/>
              <w:rPr>
                <w:sz w:val="1"/>
                <w:szCs w:val="1"/>
                <w:color w:val="auto"/>
              </w:rPr>
            </w:pPr>
          </w:p>
        </w:tc>
      </w:tr>
      <w:tr>
        <w:trPr>
          <w:trHeight w:val="148"/>
        </w:trPr>
        <w:tc>
          <w:tcPr>
            <w:tcW w:w="6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787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49"/>
        </w:trPr>
        <w:tc>
          <w:tcPr>
            <w:tcW w:w="6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(6,285)</w:t>
            </w:r>
          </w:p>
        </w:tc>
        <w:tc>
          <w:tcPr>
            <w:tcW w:w="0" w:type="dxa"/>
            <w:vAlign w:val="bottom"/>
          </w:tcPr>
          <w:p>
            <w:pPr>
              <w:spacing w:after="0"/>
              <w:rPr>
                <w:sz w:val="1"/>
                <w:szCs w:val="1"/>
                <w:color w:val="auto"/>
              </w:rPr>
            </w:pPr>
          </w:p>
        </w:tc>
      </w:tr>
      <w:tr>
        <w:trPr>
          <w:trHeight w:val="148"/>
        </w:trPr>
        <w:tc>
          <w:tcPr>
            <w:tcW w:w="6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2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(460)</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5,568</w:t>
            </w:r>
          </w:p>
        </w:tc>
        <w:tc>
          <w:tcPr>
            <w:tcW w:w="0" w:type="dxa"/>
            <w:vAlign w:val="bottom"/>
          </w:tcPr>
          <w:p>
            <w:pPr>
              <w:spacing w:after="0"/>
              <w:rPr>
                <w:sz w:val="1"/>
                <w:szCs w:val="1"/>
                <w:color w:val="auto"/>
              </w:rPr>
            </w:pPr>
          </w:p>
        </w:tc>
      </w:tr>
      <w:tr>
        <w:trPr>
          <w:trHeight w:val="148"/>
        </w:trPr>
        <w:tc>
          <w:tcPr>
            <w:tcW w:w="6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(18,341)</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(13,555)</w:t>
            </w:r>
          </w:p>
        </w:tc>
        <w:tc>
          <w:tcPr>
            <w:tcW w:w="0" w:type="dxa"/>
            <w:vAlign w:val="bottom"/>
          </w:tcPr>
          <w:p>
            <w:pPr>
              <w:spacing w:after="0"/>
              <w:rPr>
                <w:sz w:val="1"/>
                <w:szCs w:val="1"/>
                <w:color w:val="auto"/>
              </w:rPr>
            </w:pPr>
          </w:p>
        </w:tc>
      </w:tr>
      <w:tr>
        <w:trPr>
          <w:trHeight w:val="148"/>
        </w:trPr>
        <w:tc>
          <w:tcPr>
            <w:tcW w:w="6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9,110</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11,948</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157,128</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146,089</w:t>
            </w:r>
          </w:p>
        </w:tc>
        <w:tc>
          <w:tcPr>
            <w:tcW w:w="0" w:type="dxa"/>
            <w:vAlign w:val="bottom"/>
          </w:tcPr>
          <w:p>
            <w:pPr>
              <w:spacing w:after="0"/>
              <w:rPr>
                <w:sz w:val="1"/>
                <w:szCs w:val="1"/>
                <w:color w:val="auto"/>
              </w:rPr>
            </w:pPr>
          </w:p>
        </w:tc>
      </w:tr>
      <w:tr>
        <w:trPr>
          <w:trHeight w:val="142"/>
        </w:trPr>
        <w:tc>
          <w:tcPr>
            <w:tcW w:w="69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expenditures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(17,599)</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(15,136)</w:t>
            </w:r>
          </w:p>
        </w:tc>
        <w:tc>
          <w:tcPr>
            <w:tcW w:w="0" w:type="dxa"/>
            <w:vAlign w:val="bottom"/>
          </w:tcPr>
          <w:p>
            <w:pPr>
              <w:spacing w:after="0"/>
              <w:rPr>
                <w:sz w:val="1"/>
                <w:szCs w:val="1"/>
                <w:color w:val="auto"/>
              </w:rPr>
            </w:pPr>
          </w:p>
        </w:tc>
      </w:tr>
      <w:tr>
        <w:trPr>
          <w:trHeight w:val="148"/>
        </w:trPr>
        <w:tc>
          <w:tcPr>
            <w:tcW w:w="6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Additions of amortizable content</w:t>
            </w:r>
          </w:p>
        </w:tc>
        <w:tc>
          <w:tcPr>
            <w:tcW w:w="2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(488)</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69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Purchases of investments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(73,807)</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(91,361)</w:t>
            </w:r>
          </w:p>
        </w:tc>
        <w:tc>
          <w:tcPr>
            <w:tcW w:w="0" w:type="dxa"/>
            <w:vAlign w:val="bottom"/>
          </w:tcPr>
          <w:p>
            <w:pPr>
              <w:spacing w:after="0"/>
              <w:rPr>
                <w:sz w:val="1"/>
                <w:szCs w:val="1"/>
                <w:color w:val="auto"/>
              </w:rPr>
            </w:pPr>
          </w:p>
        </w:tc>
      </w:tr>
      <w:tr>
        <w:trPr>
          <w:trHeight w:val="148"/>
        </w:trPr>
        <w:tc>
          <w:tcPr>
            <w:tcW w:w="6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43,837</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26,994</w:t>
            </w:r>
          </w:p>
        </w:tc>
        <w:tc>
          <w:tcPr>
            <w:tcW w:w="0" w:type="dxa"/>
            <w:vAlign w:val="bottom"/>
          </w:tcPr>
          <w:p>
            <w:pPr>
              <w:spacing w:after="0"/>
              <w:rPr>
                <w:sz w:val="1"/>
                <w:szCs w:val="1"/>
                <w:color w:val="auto"/>
              </w:rPr>
            </w:pPr>
          </w:p>
        </w:tc>
      </w:tr>
      <w:tr>
        <w:trPr>
          <w:trHeight w:val="142"/>
        </w:trPr>
        <w:tc>
          <w:tcPr>
            <w:tcW w:w="69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(48,057)</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(79,617)</w:t>
            </w:r>
          </w:p>
        </w:tc>
        <w:tc>
          <w:tcPr>
            <w:tcW w:w="0" w:type="dxa"/>
            <w:vAlign w:val="bottom"/>
          </w:tcPr>
          <w:p>
            <w:pPr>
              <w:spacing w:after="0"/>
              <w:rPr>
                <w:sz w:val="1"/>
                <w:szCs w:val="1"/>
                <w:color w:val="auto"/>
              </w:rPr>
            </w:pPr>
          </w:p>
        </w:tc>
      </w:tr>
      <w:tr>
        <w:trPr>
          <w:trHeight w:val="142"/>
        </w:trPr>
        <w:tc>
          <w:tcPr>
            <w:tcW w:w="6980" w:type="dxa"/>
            <w:vAlign w:val="bottom"/>
            <w:tcBorders>
              <w:top w:val="single" w:sz="8" w:color="CCEEFF"/>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Cash flows used in financing activities:</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Repurchase of common shares and shares withheld in lieu of income taxes</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(86,555)</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(528,012)</w:t>
            </w:r>
          </w:p>
        </w:tc>
        <w:tc>
          <w:tcPr>
            <w:tcW w:w="0" w:type="dxa"/>
            <w:vAlign w:val="bottom"/>
          </w:tcPr>
          <w:p>
            <w:pPr>
              <w:spacing w:after="0"/>
              <w:rPr>
                <w:sz w:val="1"/>
                <w:szCs w:val="1"/>
                <w:color w:val="auto"/>
              </w:rPr>
            </w:pPr>
          </w:p>
        </w:tc>
      </w:tr>
      <w:tr>
        <w:trPr>
          <w:trHeight w:val="148"/>
        </w:trPr>
        <w:tc>
          <w:tcPr>
            <w:tcW w:w="6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Net cash used in financing activities</w:t>
            </w:r>
          </w:p>
        </w:tc>
        <w:tc>
          <w:tcPr>
            <w:tcW w:w="2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(86,555)</w:t>
            </w: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(528,012)</w:t>
            </w:r>
          </w:p>
        </w:tc>
        <w:tc>
          <w:tcPr>
            <w:tcW w:w="0" w:type="dxa"/>
            <w:vAlign w:val="bottom"/>
          </w:tcPr>
          <w:p>
            <w:pPr>
              <w:spacing w:after="0"/>
              <w:rPr>
                <w:sz w:val="1"/>
                <w:szCs w:val="1"/>
                <w:color w:val="auto"/>
              </w:rPr>
            </w:pPr>
          </w:p>
        </w:tc>
      </w:tr>
      <w:tr>
        <w:trPr>
          <w:trHeight w:val="142"/>
        </w:trPr>
        <w:tc>
          <w:tcPr>
            <w:tcW w:w="69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22,516</w:t>
            </w:r>
          </w:p>
        </w:tc>
        <w:tc>
          <w:tcPr>
            <w:tcW w:w="2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(461,540)</w:t>
            </w:r>
          </w:p>
        </w:tc>
        <w:tc>
          <w:tcPr>
            <w:tcW w:w="0" w:type="dxa"/>
            <w:vAlign w:val="bottom"/>
          </w:tcPr>
          <w:p>
            <w:pPr>
              <w:spacing w:after="0"/>
              <w:rPr>
                <w:sz w:val="1"/>
                <w:szCs w:val="1"/>
                <w:color w:val="auto"/>
              </w:rPr>
            </w:pPr>
          </w:p>
        </w:tc>
      </w:tr>
      <w:tr>
        <w:trPr>
          <w:trHeight w:val="148"/>
        </w:trPr>
        <w:tc>
          <w:tcPr>
            <w:tcW w:w="6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120,409</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600,941</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142,925</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139,401</w:t>
            </w:r>
          </w:p>
        </w:tc>
        <w:tc>
          <w:tcPr>
            <w:tcW w:w="0" w:type="dxa"/>
            <w:vAlign w:val="bottom"/>
          </w:tcPr>
          <w:p>
            <w:pPr>
              <w:spacing w:after="0"/>
              <w:rPr>
                <w:sz w:val="1"/>
                <w:szCs w:val="1"/>
                <w:color w:val="auto"/>
              </w:rPr>
            </w:pPr>
          </w:p>
        </w:tc>
      </w:tr>
      <w:tr>
        <w:trPr>
          <w:trHeight w:val="142"/>
        </w:trPr>
        <w:tc>
          <w:tcPr>
            <w:tcW w:w="69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interest</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6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 income taxes</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42,460</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38,841</w:t>
            </w:r>
          </w:p>
        </w:tc>
        <w:tc>
          <w:tcPr>
            <w:tcW w:w="0" w:type="dxa"/>
            <w:vAlign w:val="bottom"/>
          </w:tcPr>
          <w:p>
            <w:pPr>
              <w:spacing w:after="0"/>
              <w:rPr>
                <w:sz w:val="1"/>
                <w:szCs w:val="1"/>
                <w:color w:val="auto"/>
              </w:rPr>
            </w:pPr>
          </w:p>
        </w:tc>
      </w:tr>
      <w:tr>
        <w:trPr>
          <w:trHeight w:val="148"/>
        </w:trPr>
        <w:tc>
          <w:tcPr>
            <w:tcW w:w="69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1,644</w:t>
            </w:r>
          </w:p>
        </w:tc>
        <w:tc>
          <w:tcPr>
            <w:tcW w:w="20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49"/>
        </w:trPr>
        <w:tc>
          <w:tcPr>
            <w:tcW w:w="69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ROU Asset and Liability recognition</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45"/>
        </w:trPr>
        <w:tc>
          <w:tcPr>
            <w:tcW w:w="6980" w:type="dxa"/>
            <w:vAlign w:val="bottom"/>
            <w:gridSpan w:val="2"/>
          </w:tcPr>
          <w:p>
            <w:pPr>
              <w:ind w:left="120"/>
              <w:spacing w:after="0"/>
              <w:rPr>
                <w:sz w:val="20"/>
                <w:szCs w:val="20"/>
                <w:color w:val="auto"/>
              </w:rPr>
            </w:pPr>
            <w:r>
              <w:rPr>
                <w:rFonts w:ascii="Arial" w:cs="Arial" w:eastAsia="Arial" w:hAnsi="Arial"/>
                <w:sz w:val="14"/>
                <w:szCs w:val="14"/>
                <w:color w:val="auto"/>
              </w:rPr>
              <w:t>Excise tax on treasury stock repurchases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641</w:t>
            </w:r>
          </w:p>
        </w:tc>
        <w:tc>
          <w:tcPr>
            <w:tcW w:w="200" w:type="dxa"/>
            <w:vAlign w:val="bottom"/>
          </w:tcPr>
          <w:p>
            <w:pPr>
              <w:spacing w:after="0"/>
              <w:rPr>
                <w:sz w:val="21"/>
                <w:szCs w:val="21"/>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an Arizona non-profit corporation, a comprehensive regionally accredited university that offers graduate and undergraduate degree programs, emphases and certificates across nine colleges both online, on ground at its campus in Phoenix, Arizona and at four off-campus classroom and laboratory sites.</w:t>
      </w:r>
    </w:p>
    <w:p>
      <w:pPr>
        <w:spacing w:after="0" w:line="19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In January 2019, GCE began providing education services to numerous university partners across the United States, through our wholly owned subsidiary, Orbis Education, which we acquired, by merger on January 22, 2019 (the “Acquisition”). Since the Acquisition, GCE, together with Orbis Education, has continued to add additional university partners. In the healthcare field, we work in partnership with a growing number of top 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June 30, 2023, GCE provides education services to 25 university partners across the United States.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 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accompanying unaudited interim consolidated financial statements of the Company have been prepared in</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accordance with U.S. generally accepted accounting principles and pursuant to the rules and regulations of the United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States Securities and Exchange Commission and the instructions to Form 10-Q and Article 10, consistent in all material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respects with those applied in its financial statements included in its Annual Report on Form 10-K for the fiscal year ended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December 31, 2022. They do not include all of the information and footnotes required by U.S. generally accepted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accounting principles for complete financial statements. Such interim financial information is unaudited but reflects all</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adjustments that in the opinion of management are necessary for the fair presentation of the interim periods presented.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Interim results are not necessarily indicative of results for a full year. These consolidated financial statements should be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read in conjunction with the Company’s audited financial statements and footnotes included in its Annual Report 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 10-K for the fiscal year ended December 31, 2022 from which the December 31, 2022 balance sheet information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derived.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As of June 30, 2023 and December 31, 2022, the Company considered its investments in corporate bonds, agency bonds and commercial paper as available-for-sale securities based on the Company’s intent for the respective securities. Available-for-sale securities are carried at fair value, determined using Level 1 and Level 2 of the hierarchy of valuation inputs, with the use of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Arrangements with GCU</w:t>
      </w:r>
    </w:p>
    <w:p>
      <w:pPr>
        <w:spacing w:after="0" w:line="225"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On July 1, 2018, the Company consummated an Asset Purchase Agreement (the “Asset Purchase Agreement”) with GCU. In conjunction with the Asset Purchase Agreement, we received a secured note from GCU as consideration for the transferred assets in the initial principal amount of $870,097 (the “Secured Note”) which was repaid by GCU in the fourth quarter of 2021. In connection therewith, the Company and GCU entered into a long-term master services agreement (the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Software</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straight-line over the estimated useful life of the software, which is generally three years. These assets are a component of our property and equipment, net in our consolidated balance sheets.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64"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June 30, 2023 and December 31, 2022, $1,141 and $910, respectively, net of amortization, of deferred content assets are included in other assets, long-term in the Company’s consolidated balance sheets and amortization is included in technical and academic services where the costs originated.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off-campus classroom and laboratory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The determination of the fair value and useful lives of the intangible assets acquired involves certain judgments and estimates. These judgements can include, but are not limited to, the cash flows that an asset is expected to generate in the future and the appropriate weighted average cost of capital. The net assets and result of operations of an acquired entity are included in the Company’s consolidated financial statements from the acquisition date.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Amortizable Intangible Assets</w:t>
      </w:r>
    </w:p>
    <w:p>
      <w:pPr>
        <w:spacing w:after="0" w:line="225"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has issued guidance that permits an entity to first assess qualitative factors to determine whether it is necessary to perform the quantitative goodwill impairment test. The Company reviews goodwill at least annually or more frequently if an event occurs or circumstances change that would more likely than not reduce the fair value of the reporting unit below its carrying amount.</w:t>
      </w:r>
    </w:p>
    <w:p>
      <w:pPr>
        <w:spacing w:after="0" w:line="181"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Finite-lived intangible assets that are acquired in a business combination are recorded at fair value on their acquisition dates and are amortized using a method that reflects the pattern in which the economic benefits of the intangible assets are consumed or on a straight-line basis over the estimated useful life of the intangible asset if the pattern of economic benefit cannot be reliability determined.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as of June 30, 2023. Recoverability of assets to be held and used is measured by a comparison of the carrying amount of an asset to undiscounted future net cash flows expected to be generated by the assets. If such intangible assets are not recoverable,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a potential impairment loss is recognized to the extent the carrying amounts of the assets exceeds the fair value of the assets.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The Company recognizes forfeitures as they occur.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carrying value of cash and cash equivalents, accounts receivable, accounts payable, accrued compensation and benefits and accrued liabilities expenses approximate their fair value based on the liquidity or the short-term maturities of these instruments.</w:t>
      </w:r>
    </w:p>
    <w:p>
      <w:pPr>
        <w:spacing w:after="0" w:line="184"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fair value of investments was determined using Level 1 and Level 2 of the hierarchy of valuation inputs, with the use of inputs other than quoted prices that are observable for the assets. The unit of account used for valuation is the individual underlying security. The basis for fair value measurements for each level is described below, with Level 1 having the highest priority.</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 inputs are quoted prices (unadjusted) in active markets for identical assets or liabilities.</w:t>
      </w:r>
    </w:p>
    <w:p>
      <w:pPr>
        <w:spacing w:after="0" w:line="225" w:lineRule="exact"/>
        <w:rPr>
          <w:sz w:val="20"/>
          <w:szCs w:val="20"/>
          <w:color w:val="auto"/>
        </w:rPr>
      </w:pPr>
    </w:p>
    <w:p>
      <w:pPr>
        <w:ind w:left="700" w:right="139"/>
        <w:spacing w:after="0" w:line="263" w:lineRule="auto"/>
        <w:rPr>
          <w:sz w:val="20"/>
          <w:szCs w:val="20"/>
          <w:color w:val="auto"/>
        </w:rPr>
      </w:pPr>
      <w:r>
        <w:rPr>
          <w:rFonts w:ascii="Arial" w:cs="Arial" w:eastAsia="Arial" w:hAnsi="Arial"/>
          <w:sz w:val="18"/>
          <w:szCs w:val="18"/>
          <w:color w:val="auto"/>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Investments are comprised of corporate bonds, commercial paper and agency bonds.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60" w:right="459" w:firstLine="648"/>
        <w:spacing w:after="0" w:line="259" w:lineRule="auto"/>
        <w:rPr>
          <w:sz w:val="20"/>
          <w:szCs w:val="20"/>
          <w:color w:val="auto"/>
        </w:rPr>
      </w:pPr>
      <w:r>
        <w:rPr>
          <w:rFonts w:ascii="Arial" w:cs="Arial" w:eastAsia="Arial" w:hAnsi="Arial"/>
          <w:sz w:val="18"/>
          <w:szCs w:val="18"/>
          <w:color w:val="auto"/>
        </w:rPr>
        <w:t>The Company generates all of its revenue through services agreements with its university partners (“Services Agreements”), pursuant to which the Company provides integrated technology and academic services, marketing and communication services, and back-office services to its university partners in return for a percentage of tuition and fee revenue.</w:t>
      </w:r>
    </w:p>
    <w:p>
      <w:pPr>
        <w:spacing w:after="0" w:line="187"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2"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expected credit losses. There have been no amounts written off and no reserves established as of June 30, 2023. The Company will continue to review and revise its allowance methodology based on its collection experience with its partners.</w:t>
      </w:r>
    </w:p>
    <w:p>
      <w:pPr>
        <w:spacing w:after="0" w:line="16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For our partners with unbilled revenue, revenue recognition occurs in advance of billings. Billings for some university partners do not occur until after the service period has commenced and final enrollment information is available. Our unbilled revenue of $5,525 and $5,560 as of June 30, 2023 and December 31, 2022, respectively,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 records its accounts receivable at the net amount expected to be collected. Our accounts receivable are derived through education services provided to university partners.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Bad debt expense is recorded as a technology and academic services expense in the consolidated income statements. The Company monitors the impact of other factors on expected credit losses.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classroom and laboratory sites,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requires investments to have a minimum BBB rating, depending on the type of security, by at least one major rating agency at the time of purchase. All of the Company’s cash equivalents and investments as of June 30, 2023 and December 31, 2022 consist of investments rated BBB or higher by at least one rating agency. Additionally, the Company utilizes at least one financial institution to conduct initial and ongoing credit analysis on its investment portfolio to monitor and lower the potential impact of market risk associated with its cash equivalents and investment portfolio. Financial instruments that potentially subject the Company to concentration of credit risk consist principally of cash balances, which are primarily invested in money market funds or on deposit at high credit quality financial institutions in the U.S. Accounts at each institution are insured by the Federal Deposit Insurance Corporation (“FDIC”) up to $250,000. At June 30, 2023 and December 31, 2022, the Company had $142,172 and $119,639, respectively, in excess of the FDIC insured limit. The Company is also subject to credit risk for its accounts receivable balance. Our dependence on our most significant university partner, with 87.2% and 85.1% of total service revenue for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three-month periods ended June 30, 2023 and 2022, respectively, subjects us to the risk that declines in our customer’s operations would result in a sustained reduction in service revenue for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As of June 30, 2023 and December 31, 2022, the Company had investments of $90,444 and $61,295, respectively, classified as available-for-sale securities.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June 30, 2023, the Company had available-for-sale investments comprised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As of June 30, 2023</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Adjusted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8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6"/>
              </w:rPr>
              <w:t>(Losses)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66,578</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4,918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bonds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91,350</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90,444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For the six months ended June 30, 2023 and 2022, the net unrealized losses were $157 and $398, respectively, net of taxes. Available-for-sale debt securities are carried at fair value on the consolidated balance sheets. The Company estimates the lifetime expected credit losses for all available-for sale debt securities in an unrealized loss position. If our assessment indicates that an expected credit loss exists, we determine the portion of the unrealized loss attributable to credit deterioration and record a reserve for the expected credit loss in the allowance for credit losses in technology and academic services in our consolidated income statements. The Company has the ability and intent to hold these investments until recovery.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tbl>
      <w:tblPr>
        <w:tblLayout w:type="fixed"/>
        <w:tblInd w:w="40" w:type="dxa"/>
        <w:tblCellMar>
          <w:top w:w="0" w:type="dxa"/>
          <w:left w:w="0" w:type="dxa"/>
          <w:bottom w:w="0" w:type="dxa"/>
          <w:right w:w="0" w:type="dxa"/>
        </w:tblCellMar>
      </w:tblPr>
      <w:tr>
        <w:trPr>
          <w:trHeight w:val="207"/>
        </w:trPr>
        <w:tc>
          <w:tcPr>
            <w:tcW w:w="668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58"/>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40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Grand Canyon Education, Inc.</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0" w:type="dxa"/>
            <w:vAlign w:val="bottom"/>
          </w:tcPr>
          <w:p>
            <w:pPr>
              <w:jc w:val="center"/>
              <w:ind w:left="89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9"/>
        </w:trPr>
        <w:tc>
          <w:tcPr>
            <w:tcW w:w="6680" w:type="dxa"/>
            <w:vAlign w:val="bottom"/>
            <w:gridSpan w:val="3"/>
          </w:tcPr>
          <w:p>
            <w:pPr>
              <w:ind w:left="20"/>
              <w:spacing w:after="0"/>
              <w:rPr>
                <w:sz w:val="20"/>
                <w:szCs w:val="20"/>
                <w:color w:val="auto"/>
              </w:rPr>
            </w:pPr>
            <w:r>
              <w:rPr>
                <w:rFonts w:ascii="Arial" w:cs="Arial" w:eastAsia="Arial" w:hAnsi="Arial"/>
                <w:sz w:val="18"/>
                <w:szCs w:val="18"/>
                <w:color w:val="auto"/>
              </w:rPr>
              <w:t>Available-for-sale securities maturing as of December 31:</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1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33,545</w:t>
            </w:r>
          </w:p>
        </w:tc>
      </w:tr>
      <w:tr>
        <w:trPr>
          <w:trHeight w:val="216"/>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5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41,526</w:t>
            </w:r>
          </w:p>
        </w:tc>
      </w:tr>
      <w:tr>
        <w:trPr>
          <w:trHeight w:val="216"/>
        </w:trPr>
        <w:tc>
          <w:tcPr>
            <w:tcW w:w="1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14,422</w:t>
            </w:r>
          </w:p>
        </w:tc>
      </w:tr>
      <w:tr>
        <w:trPr>
          <w:trHeight w:val="216"/>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5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r>
      <w:tr>
        <w:trPr>
          <w:trHeight w:val="223"/>
        </w:trPr>
        <w:tc>
          <w:tcPr>
            <w:tcW w:w="6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Net Income Per Common Share</w:t>
      </w:r>
    </w:p>
    <w:p>
      <w:pPr>
        <w:spacing w:after="0" w:line="229"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94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62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2023</w:t>
            </w:r>
          </w:p>
        </w:tc>
        <w:tc>
          <w:tcPr>
            <w:tcW w:w="80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62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2023</w:t>
            </w:r>
          </w:p>
        </w:tc>
        <w:tc>
          <w:tcPr>
            <w:tcW w:w="78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5940" w:type="dxa"/>
            <w:vAlign w:val="bottom"/>
            <w:vMerge w:val="continue"/>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30,183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31,800</w:t>
            </w:r>
          </w:p>
        </w:tc>
        <w:tc>
          <w:tcPr>
            <w:tcW w:w="7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30,321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33,295</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Arial" w:cs="Arial" w:eastAsia="Arial" w:hAnsi="Arial"/>
                <w:sz w:val="18"/>
                <w:szCs w:val="18"/>
                <w:color w:val="auto"/>
              </w:rPr>
              <w:t>Effect of dilutive stock options and restricted stock</w:t>
            </w: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780" w:type="dxa"/>
            <w:vAlign w:val="bottom"/>
            <w:gridSpan w:val="2"/>
          </w:tcPr>
          <w:p>
            <w:pPr>
              <w:jc w:val="right"/>
              <w:ind w:right="4"/>
              <w:spacing w:after="0"/>
              <w:rPr>
                <w:sz w:val="20"/>
                <w:szCs w:val="20"/>
                <w:color w:val="auto"/>
              </w:rPr>
            </w:pPr>
            <w:r>
              <w:rPr>
                <w:rFonts w:ascii="Arial" w:cs="Arial" w:eastAsia="Arial" w:hAnsi="Arial"/>
                <w:sz w:val="18"/>
                <w:szCs w:val="18"/>
                <w:color w:val="auto"/>
              </w:rPr>
              <w:t>141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30,287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31,877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w w:val="94"/>
              </w:rPr>
              <w:t>30,462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33,381</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in accordance with the treasury stock method. For the three-month periods ended June 30, 2023 and 2022, approximately 107 and 0, respectively, and for both the six-month periods ended June 30, 2023 and 2022, approximately 103 of the Company’s restricted stock awards outstanding were excluded from the calculation of diluted earnings per share as their inclusion would have been anti-dilutive. These restricted stock awards could be dilutive in the future.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Land improvements</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Buildings and leasehold improvements</w:t>
            </w: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21,911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119,316</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21,323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58,904</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16,336</w:t>
            </w:r>
          </w:p>
        </w:tc>
        <w:tc>
          <w:tcPr>
            <w:tcW w:w="0" w:type="dxa"/>
            <w:vAlign w:val="bottom"/>
          </w:tcPr>
          <w:p>
            <w:pPr>
              <w:spacing w:after="0"/>
              <w:rPr>
                <w:sz w:val="1"/>
                <w:szCs w:val="1"/>
                <w:color w:val="auto"/>
              </w:rPr>
            </w:pPr>
          </w:p>
        </w:tc>
      </w:tr>
      <w:tr>
        <w:trPr>
          <w:trHeight w:val="209"/>
        </w:trPr>
        <w:tc>
          <w:tcPr>
            <w:tcW w:w="394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296,529</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0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(158,418)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(149,025)</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154,709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147,504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020" w:type="dxa"/>
            <w:vAlign w:val="bottom"/>
            <w:vMerge w:val="restart"/>
          </w:tcPr>
          <w:p>
            <w:pPr>
              <w:jc w:val="right"/>
              <w:ind w:right="2310"/>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9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9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Amortizable Intangible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January 2019, GCE completed the Acquisition. The Acquisition was accounted for in accordance with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acquisition method of accounting. Under this method the cost of the target is allocated to the identifiable assets acquired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and liabilities assumed based on their estimated fair values at the date of acquisition. Identified intangible assets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$210,280 consisted primarily of university partner relationships that were valued at $210,000. The fair value of university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partner relationships was determined using the multiple-period excess earnings method.</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81"/>
              <w:spacing w:after="0" w:line="119"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100"/>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 (in years)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4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172,590</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1440" w:type="dxa"/>
            <w:vAlign w:val="bottom"/>
            <w:tcBorders>
              <w:bottom w:val="single" w:sz="8" w:color="CCEEFF"/>
            </w:tcBorders>
          </w:tcPr>
          <w:p>
            <w:pPr>
              <w:jc w:val="right"/>
              <w:ind w:right="60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172,590</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8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2024</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2026</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43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134,705</w:t>
            </w:r>
          </w:p>
        </w:tc>
      </w:tr>
      <w:tr>
        <w:trPr>
          <w:trHeight w:val="249"/>
        </w:trPr>
        <w:tc>
          <w:tcPr>
            <w:tcW w:w="4360" w:type="dxa"/>
            <w:vAlign w:val="bottom"/>
            <w:tcBorders>
              <w:bottom w:val="single" w:sz="8" w:color="CCEEFF"/>
            </w:tcBorders>
            <w:shd w:val="clear" w:color="auto" w:fill="CCEEFF"/>
          </w:tcPr>
          <w:p>
            <w:pPr>
              <w:spacing w:after="0"/>
              <w:rPr>
                <w:sz w:val="21"/>
                <w:szCs w:val="21"/>
                <w:color w:val="auto"/>
              </w:rPr>
            </w:pPr>
          </w:p>
        </w:tc>
        <w:tc>
          <w:tcPr>
            <w:tcW w:w="3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172,590</w:t>
            </w:r>
          </w:p>
        </w:tc>
      </w:tr>
    </w:tbl>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The Company has operating leases for off-campus classroom and laboratory sites, office space, office equipment, and optical fiber communication lines. These leases have remaining lease terms that range from three months to 10 years and six months. At lease inception, we determine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had operating lease costs of $6,170 and $4,807 for the six-month periods ended June 30, 2023 and 2022, respectively.</w:t>
      </w:r>
    </w:p>
    <w:p>
      <w:pPr>
        <w:spacing w:after="0" w:line="177"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As of June 30, 2023, the Company had $26,805 of non-cancelable operating lease commitments for seven off-campus classroom and laboratory sites and $192 for optical fiber communication lines that had not yet commenced. The Company’s weighted-average remaining lease term relating to its operating leases is 7.93 years, with a weighted-average discount rate of 3.47%. As of June 30, 2023, the Company had no financing leases.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June 30, 2023, by year and in the aggregate,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32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12,154</w:t>
            </w:r>
          </w:p>
        </w:tc>
      </w:tr>
      <w:tr>
        <w:trPr>
          <w:trHeight w:val="216"/>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w:t>
            </w:r>
          </w:p>
        </w:tc>
      </w:tr>
      <w:tr>
        <w:trPr>
          <w:trHeight w:val="216"/>
        </w:trPr>
        <w:tc>
          <w:tcPr>
            <w:tcW w:w="732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11,867</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11,280</w:t>
            </w:r>
          </w:p>
        </w:tc>
      </w:tr>
      <w:tr>
        <w:trPr>
          <w:trHeight w:val="216"/>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41,746</w:t>
            </w: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94,478</w:t>
            </w:r>
          </w:p>
        </w:tc>
      </w:tr>
      <w:tr>
        <w:trPr>
          <w:trHeight w:val="20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12,523</w:t>
            </w: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81,955</w:t>
            </w: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On May 12, 2020, a securities class action complaint was filed in the U.S. District Court for the District of Delaware by the City of Hialeah Employees’ Retirement System naming the Company, Brian E. Mueller and Daniel E. Bachus as defendants for allegedly making false and materially misleading statements regarding the circumstances surrounding the Company’s sale of Grand Canyon University (the “University”) to a non-profit entity on July 1, 2018 and the subsequent decision of the U.S. Department of Education to continue to treat the University as a for-profit institution for education regulatory purposes (collectively, the “Conversion”). The complaint asserted a putative class period stemming from January 5, 2018, the date when the Company announced that it had applied to the University’s accreditor for approval of the Conversion, to January 27, 2020, the date prior to the publication of a short-seller report focused on the Conversion. A substantially similar complaint was filed in the same court by Grant Walsh on June 12, 2020 making similar allegations against the Company, Mr. Mueller and Mr. Bachus. Both complaints alleged violations of Sections 10(b) and 20(a) of the Securities Exchange Act of 1934, as amended, and Rule 10b-5 promulgated thereunder and sought unspecified monetary relief, interest, and attorneys’ fees.</w:t>
      </w:r>
    </w:p>
    <w:p>
      <w:pPr>
        <w:spacing w:after="0" w:line="179"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On August 13, 2020, the two cases were consolidated and the Fire and Police Association of Colorado, the Oakland County Employees’ Retirement System and the Oakland County Voluntary Employees’ Beneficiary Association Trust were appointed as lead plaintiffs. Thereafter, the plaintiffs filed a consolidated amended complaint on October 20, 2020 and the Company filed a motion to dismiss on December 21, 2020. On August 23, 2021, the Court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granted the Company’s motion to dismiss in its entirety but permitted plaintiffs to file a further amended complaint to correct deficiencies in the initial complaint. The plaintiffs filed further amended complaints on September 28, 2021 and January 21, 2022, and the Company filed a further motion to dismiss on March 15, 2022. On March 28, 2023, the Company’s motion to dismiss was denied.</w:t>
      </w:r>
    </w:p>
    <w:p>
      <w:pPr>
        <w:spacing w:after="0" w:line="187" w:lineRule="exact"/>
        <w:rPr>
          <w:sz w:val="20"/>
          <w:szCs w:val="20"/>
          <w:color w:val="auto"/>
        </w:rPr>
      </w:pPr>
    </w:p>
    <w:p>
      <w:pPr>
        <w:ind w:left="60" w:right="419" w:firstLine="648"/>
        <w:spacing w:after="0" w:line="259" w:lineRule="auto"/>
        <w:rPr>
          <w:sz w:val="20"/>
          <w:szCs w:val="20"/>
          <w:color w:val="auto"/>
        </w:rPr>
      </w:pPr>
      <w:r>
        <w:rPr>
          <w:rFonts w:ascii="Arial" w:cs="Arial" w:eastAsia="Arial" w:hAnsi="Arial"/>
          <w:sz w:val="18"/>
          <w:szCs w:val="18"/>
          <w:color w:val="auto"/>
        </w:rPr>
        <w:t>The Company believes that plaintiffs’ claims are without merit and it intends to defend itself in this legal proceeding vigorously. The outcome of this legal proceeding is uncertain at this point. At present, the Company cannot reasonably estimate a range of loss for this action based on the information available to the Company. Accordingly, the Company has not accrued any liability associated with this action.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right="419" w:firstLine="648"/>
        <w:spacing w:after="0" w:line="301" w:lineRule="auto"/>
        <w:rPr>
          <w:sz w:val="20"/>
          <w:szCs w:val="20"/>
          <w:color w:val="auto"/>
        </w:rPr>
      </w:pPr>
      <w:r>
        <w:rPr>
          <w:rFonts w:ascii="Arial" w:cs="Arial" w:eastAsia="Arial" w:hAnsi="Arial"/>
          <w:sz w:val="16"/>
          <w:szCs w:val="16"/>
          <w:color w:val="auto"/>
        </w:rPr>
        <w:t>In May 2022, we received a civil investigative demand (“CID”) from the Federal Trade Commission (“FTC”) related to the marketing services that we provide on behalf of GCU, and related activities. The CID requests the production of documents and answers to written questions. In January 2023, we received a further CID from the FTC requesting testimony on the same topic. We are cooperating with the FTC in connection with each of these CIDs.</w:t>
      </w:r>
    </w:p>
    <w:p>
      <w:pPr>
        <w:spacing w:after="0" w:line="167" w:lineRule="exact"/>
        <w:rPr>
          <w:sz w:val="20"/>
          <w:szCs w:val="20"/>
          <w:color w:val="auto"/>
        </w:rPr>
      </w:pPr>
    </w:p>
    <w:p>
      <w:pPr>
        <w:ind w:left="700" w:right="6659" w:hanging="650"/>
        <w:spacing w:after="0" w:line="603" w:lineRule="auto"/>
        <w:tabs>
          <w:tab w:leader="none" w:pos="232"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Incentive Plan</w:t>
      </w:r>
    </w:p>
    <w:p>
      <w:pPr>
        <w:spacing w:after="0" w:line="1"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The Company makes equity incentive grants pursuant to our 2017 Equity Incentive Plan (the “2017 Plan”) under which a maximum of 3,000 shares may be granted. As of June 30, 2023, 1,081 shares were available for grants under the 2017 Plan.</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During the six months ended June 30, 2023, the Company granted 136 shares of common stock with a service vesting condition to certain of its executives, officers and employees. The restricted shares have voting rights and vest in five annual installments of 20%, with the first installment vesting in March of the calendar year following the date of grant (the “first vesting date”) and subsequent installments vesting on each of the four anniversaries of the first vesting date. Upon vesting, shares will be withheld in lieu of taxes equivalent to the minimum statutory tax withholding required to be paid when the restricted stock vests. During the six months ended June 30, 2023, the Company withheld 56 shares of common stock in lieu of taxes at a cost of $6,331 on the restricted stock vesting dates. In June 2023, following the annual stockholders meeting, the Company granted 4 shares of common stock to the non-employee members of the Company’s Board of Directors. The restricted shares granted to these directors have voting rights and vest on the earlier of (a) the one year anniversary of the date of grant or (b) immediately prior to the next annual stockholders meeting.</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activity related to restricted stock granted under the Company’s Incentive Plan since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is as follows:</w:t>
      </w:r>
    </w:p>
    <w:tbl>
      <w:tblPr>
        <w:tblLayout w:type="fixed"/>
        <w:tblInd w:w="40" w:type="dxa"/>
        <w:tblCellMar>
          <w:top w:w="0" w:type="dxa"/>
          <w:left w:w="0" w:type="dxa"/>
          <w:bottom w:w="0" w:type="dxa"/>
          <w:right w:w="0" w:type="dxa"/>
        </w:tblCellMar>
      </w:tblPr>
      <w:tr>
        <w:trPr>
          <w:trHeight w:val="148"/>
        </w:trPr>
        <w:tc>
          <w:tcPr>
            <w:tcW w:w="3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2022</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Granted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Forfeited, canceled or expired</w:t>
            </w:r>
          </w:p>
        </w:tc>
        <w:tc>
          <w:tcPr>
            <w:tcW w:w="31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85.90</w:t>
            </w:r>
          </w:p>
        </w:tc>
        <w:tc>
          <w:tcPr>
            <w:tcW w:w="0" w:type="dxa"/>
            <w:vAlign w:val="bottom"/>
          </w:tcPr>
          <w:p>
            <w:pPr>
              <w:spacing w:after="0"/>
              <w:rPr>
                <w:sz w:val="1"/>
                <w:szCs w:val="1"/>
                <w:color w:val="auto"/>
              </w:rPr>
            </w:pPr>
          </w:p>
        </w:tc>
      </w:tr>
      <w:tr>
        <w:trPr>
          <w:trHeight w:val="24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June 30, 2023</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w:t>
            </w:r>
          </w:p>
        </w:tc>
        <w:tc>
          <w:tcPr>
            <w:tcW w:w="0" w:type="dxa"/>
            <w:vAlign w:val="bottom"/>
          </w:tcPr>
          <w:p>
            <w:pPr>
              <w:spacing w:after="0"/>
              <w:rPr>
                <w:sz w:val="1"/>
                <w:szCs w:val="1"/>
                <w:color w:val="auto"/>
              </w:rPr>
            </w:pPr>
          </w:p>
        </w:tc>
      </w:tr>
      <w:tr>
        <w:trPr>
          <w:trHeight w:val="845"/>
        </w:trPr>
        <w:tc>
          <w:tcPr>
            <w:tcW w:w="3620" w:type="dxa"/>
            <w:vAlign w:val="bottom"/>
            <w:tcBorders>
              <w:top w:val="single" w:sz="8" w:color="CCEEFF"/>
            </w:tcBorders>
          </w:tcPr>
          <w:p>
            <w:pPr>
              <w:spacing w:after="0"/>
              <w:rPr>
                <w:sz w:val="24"/>
                <w:szCs w:val="24"/>
                <w:color w:val="auto"/>
              </w:rPr>
            </w:pPr>
          </w:p>
        </w:tc>
        <w:tc>
          <w:tcPr>
            <w:tcW w:w="3100" w:type="dxa"/>
            <w:vAlign w:val="bottom"/>
            <w:tcBorders>
              <w:top w:val="single" w:sz="8" w:color="CCEEFF"/>
            </w:tcBorders>
          </w:tcPr>
          <w:p>
            <w:pPr>
              <w:jc w:val="right"/>
              <w:ind w:right="2070"/>
              <w:spacing w:after="0"/>
              <w:rPr>
                <w:sz w:val="20"/>
                <w:szCs w:val="20"/>
                <w:color w:val="auto"/>
              </w:rPr>
            </w:pPr>
            <w:r>
              <w:rPr>
                <w:rFonts w:ascii="Arial" w:cs="Arial" w:eastAsia="Arial" w:hAnsi="Arial"/>
                <w:sz w:val="18"/>
                <w:szCs w:val="18"/>
                <w:color w:val="auto"/>
              </w:rPr>
              <w:t>18</w:t>
            </w: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six months ended June 30, 2023 and 2022 related to restricted stock granted: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academic services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Counseling services and support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3,143</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and communication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r>
      <w:tr>
        <w:trPr>
          <w:trHeight w:val="210"/>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Tax effect of share-based compensation</w:t>
            </w:r>
          </w:p>
        </w:tc>
        <w:tc>
          <w:tcPr>
            <w:tcW w:w="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r>
      <w:tr>
        <w:trPr>
          <w:trHeight w:val="229"/>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Share-based compensation expense, net of tax</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Treasury Stock</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Our Board of Directors has authorized, under its existing stock repurchase program, an aggregate authorization for share repurchases since the initiation of our program of $1,845,000. The expiration date on the repurchase authorization is December 31, 2023.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161"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During the six months ended June 30, 2023 the Company repurchased 729 shares of common stock, at an aggregate cost of $80,224. As of June 30, 2023, there remained $115,622 available under its current share repurchase authorization. Shares repurchased in lieu of taxes are not included in the repurchase plan totals as they were approved in conjunction with the restricted share awards. Excise taxes of $641 are not included in the repurchase plan totals but are included in the total cost of net share repurchases in the consolidated statement of stockholders’ equity.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Related party transactions include transactions between the Company and certain of its affiliates. The following transactions were in the normal course of operations and were measured at the exchange amount, which was the amount of consideration established and agreed to by the parties.</w:t>
      </w:r>
    </w:p>
    <w:p>
      <w:pPr>
        <w:spacing w:after="0" w:line="184" w:lineRule="exact"/>
        <w:rPr>
          <w:sz w:val="20"/>
          <w:szCs w:val="20"/>
          <w:color w:val="auto"/>
        </w:rPr>
      </w:pPr>
    </w:p>
    <w:p>
      <w:pPr>
        <w:ind w:left="60" w:right="819" w:firstLine="648"/>
        <w:spacing w:after="0" w:line="277" w:lineRule="auto"/>
        <w:rPr>
          <w:sz w:val="20"/>
          <w:szCs w:val="20"/>
          <w:color w:val="auto"/>
        </w:rPr>
      </w:pPr>
      <w:r>
        <w:rPr>
          <w:rFonts w:ascii="Arial" w:cs="Arial" w:eastAsia="Arial" w:hAnsi="Arial"/>
          <w:sz w:val="18"/>
          <w:szCs w:val="18"/>
          <w:color w:val="auto"/>
        </w:rPr>
        <w:t>As of and for the three months ended June 30, 2023 and 2022, related party transactions consisted of the following: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Affiliates</w:t>
      </w:r>
    </w:p>
    <w:p>
      <w:pPr>
        <w:spacing w:after="0" w:line="229"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i w:val="1"/>
          <w:iCs w:val="1"/>
          <w:color w:val="auto"/>
        </w:rPr>
        <w:t xml:space="preserve">GCE Community Fund (“GCECF”) </w:t>
      </w:r>
      <w:r>
        <w:rPr>
          <w:rFonts w:ascii="Arial" w:cs="Arial" w:eastAsia="Arial" w:hAnsi="Arial"/>
          <w:sz w:val="16"/>
          <w:szCs w:val="16"/>
          <w:color w:val="auto"/>
        </w:rPr>
        <w:t>- GCECF was initially formed in 2014. GCECF makes grants for charitable,</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educational, literary, religious or scientific purposes within the meaning of Section 501(c ) (3) of the Internal Revenue Code (the “Code”), including for such purposes as the making of distributions to organizations that qualify as exempt organizations under Section 501 (c ) (3) of the Code. The Company’s Chief Executive Officer serves as the president of GCECF and GCECF’s board of directors is comprised entirely of Company executives. The Company is not the primary beneficiary of GCECF, and accordingly, the Company does not consolidate GCECF’s activities with its financial results. The Company made voluntary charitable contributions of $700 and $200 for both the three and six months ended June 30, 2023 and 2022, respectively, of which no amounts were owed as of June 30, 2023 and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59"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 “Exchange Act”).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 You can also identify forward-looking statements by discussions of strategy, plans or intentions of management.</w:t>
      </w:r>
    </w:p>
    <w:p>
      <w:pPr>
        <w:spacing w:after="0" w:line="168" w:lineRule="exact"/>
        <w:rPr>
          <w:sz w:val="20"/>
          <w:szCs w:val="20"/>
          <w:color w:val="auto"/>
        </w:rPr>
      </w:pPr>
    </w:p>
    <w:p>
      <w:pPr>
        <w:ind w:left="60" w:right="299" w:firstLine="648"/>
        <w:spacing w:after="0" w:line="291"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our actual performance or results to differ materially from those expressed in or suggested by the forward-looking statements, include, but are not limited to:</w:t>
      </w:r>
    </w:p>
    <w:p>
      <w:pPr>
        <w:spacing w:after="0" w:line="166" w:lineRule="exact"/>
        <w:rPr>
          <w:sz w:val="20"/>
          <w:szCs w:val="20"/>
          <w:color w:val="auto"/>
        </w:rPr>
      </w:pPr>
    </w:p>
    <w:p>
      <w:pPr>
        <w:ind w:left="720" w:right="61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harm to our business, results of operations, and financial condition, and harm to our university partners resulting from epidemics, pandemics, or public health crises;</w:t>
      </w:r>
    </w:p>
    <w:p>
      <w:pPr>
        <w:spacing w:after="0" w:line="170" w:lineRule="exact"/>
        <w:rPr>
          <w:rFonts w:ascii="Arial" w:cs="Arial" w:eastAsia="Arial" w:hAnsi="Arial"/>
          <w:sz w:val="18"/>
          <w:szCs w:val="18"/>
          <w:color w:val="auto"/>
        </w:rPr>
      </w:pPr>
    </w:p>
    <w:p>
      <w:pPr>
        <w:ind w:left="720" w:right="9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720" w:right="599" w:hanging="319"/>
        <w:spacing w:after="0" w:line="311"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48" w:lineRule="exact"/>
        <w:rPr>
          <w:rFonts w:ascii="Arial" w:cs="Arial" w:eastAsia="Arial" w:hAnsi="Arial"/>
          <w:sz w:val="16"/>
          <w:szCs w:val="16"/>
          <w:color w:val="auto"/>
        </w:rPr>
      </w:pPr>
    </w:p>
    <w:p>
      <w:pPr>
        <w:ind w:left="720" w:right="159" w:hanging="319"/>
        <w:spacing w:after="0" w:line="311"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48" w:lineRule="exact"/>
        <w:rPr>
          <w:rFonts w:ascii="Arial" w:cs="Arial" w:eastAsia="Arial" w:hAnsi="Arial"/>
          <w:sz w:val="16"/>
          <w:szCs w:val="16"/>
          <w:color w:val="auto"/>
        </w:rPr>
      </w:pPr>
    </w:p>
    <w:p>
      <w:pPr>
        <w:ind w:left="720" w:right="49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pacing w:after="0" w:line="170" w:lineRule="exact"/>
        <w:rPr>
          <w:rFonts w:ascii="Arial" w:cs="Arial" w:eastAsia="Arial" w:hAnsi="Arial"/>
          <w:sz w:val="18"/>
          <w:szCs w:val="18"/>
          <w:color w:val="auto"/>
        </w:rPr>
      </w:pPr>
    </w:p>
    <w:p>
      <w:pPr>
        <w:ind w:left="720" w:right="35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83" w:lineRule="exact"/>
        <w:rPr>
          <w:rFonts w:ascii="Arial" w:cs="Arial" w:eastAsia="Arial" w:hAnsi="Arial"/>
          <w:sz w:val="18"/>
          <w:szCs w:val="18"/>
          <w:color w:val="auto"/>
        </w:rPr>
      </w:pPr>
    </w:p>
    <w:p>
      <w:pPr>
        <w:ind w:left="720" w:right="29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partners;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20" w:right="59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tax payments and tax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risks associated with the competitive environment for marketing the programs of our university partners;</w:t>
      </w:r>
    </w:p>
    <w:p>
      <w:pPr>
        <w:spacing w:after="0" w:line="236" w:lineRule="exact"/>
        <w:rPr>
          <w:rFonts w:ascii="Arial" w:cs="Arial" w:eastAsia="Arial" w:hAnsi="Arial"/>
          <w:sz w:val="17"/>
          <w:szCs w:val="17"/>
          <w:color w:val="auto"/>
        </w:rPr>
      </w:pPr>
    </w:p>
    <w:p>
      <w:pPr>
        <w:ind w:left="720" w:right="31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and</w:t>
      </w:r>
    </w:p>
    <w:p>
      <w:pPr>
        <w:spacing w:after="0" w:line="225"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“2022 Form 10-K”) filed with the Securities and Exchange Commission (“SEC”) for the fiscal year ended December 31, 2022, as updated in our subsequent reports filed with the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nine colleges both online and on ground at its campus in Phoenix, Arizona, and at four off-campus classroom and laboratory sites.</w:t>
      </w:r>
    </w:p>
    <w:p>
      <w:pPr>
        <w:spacing w:after="0" w:line="164"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In January 2019, GCE began providing education services to numerous university partners across the United States, through our wholly owned subsidiary, Orbis Education. GCE, together with Orbis Education, has continued to add additional university partners. In the healthcare field, we work in partnership with a growing number of top</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universities and healthcare networks across the country, offering healthcare-related academic programs at off-campus classroom and laboratory sites located near healthcare providers and developing high-quality, career-ready graduates who enter the workforce ready to meet the demands of the healthcare industry. In addition, we have provided certain services to a university partner to assist them in expanding their online graduate programs. As of June 30, 2023, GCE provides education services to 25 university partners across the United States.</w:t>
      </w:r>
    </w:p>
    <w:p>
      <w:pPr>
        <w:spacing w:after="0" w:line="17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We plan to continue to add additional university partners and to introduce additional programs with both our existing partners and with new partners. We may engage with both new and existing university partners to offer healthcare programs, online only or hybrid programs, or, as is the case for our most significant partner, GCU, both healthcare and other programs. In addition, we have centralized a number of services that historically were provided separately to university partners of Orbis Education. Therefore, we refer to all university partners as “GCE partners” or “our partners”. We do disclose significant information for GCU, such as enrollments, due to its size in comparison to our other university partners.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critical accounting policies are disclosed in the 2022 Form 10-K for the fiscal year ended December 31, 2022.</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During the six months ended June 30, 2023, there were no significant changes in our critical accounting policies.</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following table sets forth certain income statement data as a percentage of revenue for each of the periods indicated. Amortization of intangible assets has been excluded from the table below:</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8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6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3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3"/>
          </w:tcPr>
          <w:p>
            <w:pPr>
              <w:jc w:val="center"/>
              <w:ind w:left="278"/>
              <w:spacing w:after="0"/>
              <w:rPr>
                <w:sz w:val="20"/>
                <w:szCs w:val="20"/>
                <w:color w:val="auto"/>
              </w:rPr>
            </w:pPr>
            <w:r>
              <w:rPr>
                <w:rFonts w:ascii="Arial" w:cs="Arial" w:eastAsia="Arial" w:hAnsi="Arial"/>
                <w:sz w:val="14"/>
                <w:szCs w:val="14"/>
                <w:b w:val="1"/>
                <w:bCs w:val="1"/>
                <w:color w:val="auto"/>
                <w:w w:val="92"/>
              </w:rPr>
              <w:t>June 30,</w:t>
            </w: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r>
      <w:tr>
        <w:trPr>
          <w:trHeight w:val="142"/>
        </w:trPr>
        <w:tc>
          <w:tcPr>
            <w:tcW w:w="53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58"/>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2022</w:t>
            </w:r>
          </w:p>
        </w:tc>
        <w:tc>
          <w:tcPr>
            <w:tcW w:w="3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ind w:right="18"/>
              <w:spacing w:after="0" w:line="142" w:lineRule="exact"/>
              <w:rPr>
                <w:sz w:val="20"/>
                <w:szCs w:val="20"/>
                <w:color w:val="auto"/>
              </w:rPr>
            </w:pPr>
            <w:r>
              <w:rPr>
                <w:rFonts w:ascii="Arial" w:cs="Arial" w:eastAsia="Arial" w:hAnsi="Arial"/>
                <w:sz w:val="14"/>
                <w:szCs w:val="14"/>
                <w:b w:val="1"/>
                <w:bCs w:val="1"/>
                <w:color w:val="auto"/>
              </w:rPr>
              <w:t>2023</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2022</w:t>
            </w:r>
          </w:p>
        </w:tc>
        <w:tc>
          <w:tcPr>
            <w:tcW w:w="400" w:type="dxa"/>
            <w:vAlign w:val="bottom"/>
            <w:shd w:val="clear" w:color="auto" w:fill="CCEEFF"/>
          </w:tcPr>
          <w:p>
            <w:pPr>
              <w:spacing w:after="0"/>
              <w:rPr>
                <w:sz w:val="12"/>
                <w:szCs w:val="12"/>
                <w:color w:val="auto"/>
              </w:rPr>
            </w:pPr>
          </w:p>
        </w:tc>
      </w:tr>
      <w:tr>
        <w:trPr>
          <w:trHeight w:val="209"/>
        </w:trPr>
        <w:tc>
          <w:tcPr>
            <w:tcW w:w="53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Technology and academic services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18.5 %</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19.1 %</w:t>
            </w:r>
          </w:p>
        </w:tc>
        <w:tc>
          <w:tcPr>
            <w:tcW w:w="16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16.6 %   16.8 %</w:t>
            </w: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Counseling services and support</w:t>
            </w:r>
          </w:p>
        </w:tc>
        <w:tc>
          <w:tcPr>
            <w:tcW w:w="580" w:type="dxa"/>
            <w:vAlign w:val="bottom"/>
          </w:tcPr>
          <w:p>
            <w:pPr>
              <w:jc w:val="right"/>
              <w:spacing w:after="0"/>
              <w:rPr>
                <w:sz w:val="20"/>
                <w:szCs w:val="20"/>
                <w:color w:val="auto"/>
              </w:rPr>
            </w:pPr>
            <w:r>
              <w:rPr>
                <w:rFonts w:ascii="Arial" w:cs="Arial" w:eastAsia="Arial" w:hAnsi="Arial"/>
                <w:sz w:val="18"/>
                <w:szCs w:val="18"/>
                <w:color w:val="auto"/>
              </w:rPr>
              <w:t>34.4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33.1</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6"/>
              </w:rPr>
              <w:t>30.1</w:t>
            </w:r>
          </w:p>
        </w:tc>
        <w:tc>
          <w:tcPr>
            <w:tcW w:w="400" w:type="dxa"/>
            <w:vAlign w:val="bottom"/>
          </w:tcPr>
          <w:p>
            <w:pPr>
              <w:spacing w:after="0"/>
              <w:rPr>
                <w:sz w:val="18"/>
                <w:szCs w:val="18"/>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Marketing and communication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22.7</w:t>
            </w:r>
          </w:p>
        </w:tc>
        <w:tc>
          <w:tcPr>
            <w:tcW w:w="400" w:type="dxa"/>
            <w:vAlign w:val="bottom"/>
            <w:shd w:val="clear" w:color="auto" w:fill="CCEEFF"/>
          </w:tcPr>
          <w:p>
            <w:pPr>
              <w:spacing w:after="0"/>
              <w:rPr>
                <w:sz w:val="18"/>
                <w:szCs w:val="18"/>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0"/>
                <w:szCs w:val="20"/>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2023 Compared to Three Months Ended June 30, 2022</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three months ended June 30, 2023 was $210.6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$10.8 million, or 5.4%, as compared to service revenue of $199.8 million for the three months ended June 30, 2022. The increase year over year in service revenue was primarily due to an increase in GCU enrollments to 95,972 at June 30, 2023, an increase of 4.1% over enrollments at June 30, 2022 and an increase in revenue per student year over year. The increase in revenue per student between years is primarily due to the service revenue impact of the increased room, board and other ancillary revenues at GCU in the second quarter of 2023 as compared to the prior year period. In addition, service revenue per student for Accelerated Bachelor of Science in Nursing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The increase in revenue per student in the three months ended June 30, 2023 was also positively impacted by the timing of the Spring semester for the ground traditional campus. The Spring semester started two days later in 2023 and extended four more days into April, which had the effect of shifting $4.5 million in service revenue from the first quarter of 2023 to the second quarter of 2023. Partner enrollments totaled 99,526 at June 30, 2023 as compared to 96,029 at June 30, 2022. University partner enrollments at our off-campus classroom and laboratory sites were 3,904, a decrease of 5.2% over enrollments at June 30, 2022, which includes 350 and 324 GCU students at June 30, 2023 and 2022, respectively. None of our ABSN partners stopped admitting new students due to the clinical faculty challenges that began during the pandemic, however some locations that were scheduled to open were delayed and some existing partners have experienced reduced incoming cohort sizes which has slowed the growth. We believe the growth in the number of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ABSN students is also being negatively impacted by the strong job market as these students have historically been individuals with already completed bachelor’s degrees choosing to re-career into one of these health professions. To address this challenge, we have been working with a number of our university partners to adjust their programs to allow students with the required education experience but without a complete bachelor’s degree to enter their programs. We did open six new off-campus classroom and laboratory sites in the year ended December 31, 2022 and one site in the six months ended June 30, 2023 increasing the total number of these sites to 36 at June 30, 2023 and we anticipate opening three to four more in 2023 which we hope, along with the program change discussed earlier, will re-accelerate the ABSN student enrollment growth. Enrollments for GCU ground students were 7,327 at June 30, 2023 up from 7,101 at June 30, 2022 primarily due to a 3.7% increase in traditional ground students between years. GCU online enrollments were 88,645 at June 30, 2023, up from 85,132 at June 30, 2022. GCU enrollment declines between March 31 and June 30 of each year as ground traditional enrollment at GCU at June 30 of each year only includes traditional-aged students taking summer school classes, which is a small percentage of GCU’s traditional-aged student body. The Spring semester for GCU’s traditional-aged student body ends near the end of April each year.</w:t>
      </w:r>
    </w:p>
    <w:p>
      <w:pPr>
        <w:spacing w:after="0" w:line="174" w:lineRule="exact"/>
        <w:rPr>
          <w:sz w:val="20"/>
          <w:szCs w:val="20"/>
          <w:color w:val="auto"/>
        </w:rPr>
      </w:pPr>
    </w:p>
    <w:p>
      <w:pPr>
        <w:ind w:left="60" w:right="99" w:firstLine="648"/>
        <w:spacing w:after="0" w:line="283"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30, 2023 were $39.0 million, an increase of $0.8 million, or 2.0%, as compared to technology and academic services expenses of $38.2 million for the three months ended June 30, 2022. This increase was primarily due to increases in occupancy and depreciation and in other technology and academic costs of $1.2 million and $0.8 million, respectively, partially offset by a decrease in employee compensation and related expenses, including share-based compensation of $1.2 million. The increased occupancy and depreciation and other technology and academic costs were primarily due to the costs associated with the increased number of off-campus classroom and laboratory sites to support our 25 university partners, and their increased enrollment growth. The decrease in employee compensation and related expenses is primarily due to decreased faculty reimbursements due to the decline in our other partners’ enrollments partially offset by increased headcount to support our 25 university partners, and their increased enrollment growth, tenure-based salary adjustments and the increased number of off-campus classroom and laboratory sites year over year. Our technology and academic services expenses as a percentage of revenue decreased 0.6% to 18.5% for the three months ended June 30, 2023, from</w:t>
      </w:r>
    </w:p>
    <w:p>
      <w:pPr>
        <w:spacing w:after="0" w:line="3" w:lineRule="exact"/>
        <w:rPr>
          <w:sz w:val="20"/>
          <w:szCs w:val="20"/>
          <w:color w:val="auto"/>
        </w:rPr>
      </w:pPr>
    </w:p>
    <w:p>
      <w:pPr>
        <w:ind w:left="60" w:right="119"/>
        <w:spacing w:after="0" w:line="302" w:lineRule="auto"/>
        <w:rPr>
          <w:sz w:val="20"/>
          <w:szCs w:val="20"/>
          <w:color w:val="auto"/>
        </w:rPr>
      </w:pPr>
      <w:r>
        <w:rPr>
          <w:rFonts w:ascii="Arial" w:cs="Arial" w:eastAsia="Arial" w:hAnsi="Arial"/>
          <w:sz w:val="16"/>
          <w:szCs w:val="16"/>
          <w:color w:val="auto"/>
        </w:rPr>
        <w:t>19.1% for the three months ended June 30, 2022. This decrease was primarily due to the decreased faculty reimbursements between years. We anticipate that technology and academic services expenses as a percentage of revenue will increase in the future as we open more off-campus classroom and laboratory sites and our other partners’ enrollments grow.</w:t>
      </w:r>
    </w:p>
    <w:p>
      <w:pPr>
        <w:spacing w:after="0" w:line="15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three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2023 were $72.4 million, an increase of $6.4 million, or 9.6%, as compared to counseling services and support expenses of $66.0 million for the three months ended June 30, 2022. This increase was primarily attributable to increases in employee compensation and related expenses including share-based compensation and in other counseling services and support expenses of $6.6 million and $0.3 million, respectively, partially offset by a decrease in occupancy and depreciation of $0.5 million. The increases in employee compensation and related expenses were primarily due to increased headcount to support our university partners, and their planned increases in enrollment, tenure-based salary adjustments, increased benefit costs and the increased number of off-campus classroom and laboratory sites open year over year. The increase in other counseling services and support expenses is primarily the result of increased travel costs for our 25 university partners. Our counseling services and support expenses as a percentage of revenue increased 1.3% to 34.4% for the three months ended June 30, 2023, from 33.1% for the three months ended June 30, 2022 primarily due to the significant increase year over year in headcount and travel costs. We anticipate that counseling services and support expense as a percentage of revenue will continue to be higher in 2023 than in 2022 as travel expenses will continue to be higher than in the prior year and we continue to grow our employee base and their compensation to meet our university partners’ growth expectations and retain our employees.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 June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2023 were $50.8 million, an increase of $1.1 million, or 2.2%, as compared to marketing and communication expenses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$49.7 million for the three months ended June 30, 2022. This increase was primarily attributable to the increased cost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market our university partners’ programs and to the marketing of new university partners and new locations which resulted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increased advertising of $1.1 million and increased employee compensation, including share-based compensation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$0.2 million, partially offset by a decrease in other marketing and communication expenses of $0.2 million. Our marketing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communication expenses as a percentage of revenue decreased by 0.8% to 24.1% for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both"/>
        <w:ind w:left="60" w:right="239"/>
        <w:spacing w:after="0" w:line="259" w:lineRule="auto"/>
        <w:rPr>
          <w:sz w:val="20"/>
          <w:szCs w:val="20"/>
          <w:color w:val="auto"/>
        </w:rPr>
      </w:pPr>
      <w:r>
        <w:rPr>
          <w:rFonts w:ascii="Arial" w:cs="Arial" w:eastAsia="Arial" w:hAnsi="Arial"/>
          <w:sz w:val="18"/>
          <w:szCs w:val="18"/>
          <w:color w:val="auto"/>
        </w:rPr>
        <w:t>the three months ended June 30, 2023, from 24.9% for the three months ended June 30, 2022, primarily due to our ability to leverage our marketing and communication expenses across an increasing revenue base, partially offset by the number of university partners and their growth expectations and increased off-campus classroom and laboratory sites opened and sites planned to open in the next 12 months.</w:t>
      </w:r>
    </w:p>
    <w:p>
      <w:pPr>
        <w:spacing w:after="0" w:line="187"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three months ended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were $10.9 million, an increase of $1.0 million, or 10.3%, as compared to general and administrative expenses of $9.9 million for the three months ended June 30, 2022. This increase was primarily attributable to increased charitable contributions and increased professional fees of $0.7 million and $0.5 million, respectively, partially offset by a decrease in employee compensation, including share-based expenses of $0.2 million. Our general and administrative expenses as</w:t>
      </w:r>
    </w:p>
    <w:p>
      <w:pPr>
        <w:spacing w:after="0" w:line="2" w:lineRule="exact"/>
        <w:rPr>
          <w:sz w:val="20"/>
          <w:szCs w:val="20"/>
          <w:color w:val="auto"/>
        </w:rPr>
      </w:pPr>
    </w:p>
    <w:p>
      <w:pPr>
        <w:ind w:left="60" w:right="879"/>
        <w:spacing w:after="0" w:line="260" w:lineRule="auto"/>
        <w:rPr>
          <w:sz w:val="20"/>
          <w:szCs w:val="20"/>
          <w:color w:val="auto"/>
        </w:rPr>
      </w:pPr>
      <w:r>
        <w:rPr>
          <w:rFonts w:ascii="Arial" w:cs="Arial" w:eastAsia="Arial" w:hAnsi="Arial"/>
          <w:sz w:val="18"/>
          <w:szCs w:val="18"/>
          <w:color w:val="auto"/>
        </w:rPr>
        <w:t>a percentage of revenue increased by 0.3% to 5.2% for the three months ended June 30, 2023, from 4.9% for the three months ended June 30, 2022.</w:t>
      </w:r>
    </w:p>
    <w:p>
      <w:pPr>
        <w:spacing w:after="0" w:line="18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three months ended June 30,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2022 were $2.1 million for both periods. As a result of the acquisition of our wholly owned subsidiary, Orbis Education, certain identifiable intangible assets were created (primarily customer relationships) that will be amortized over their expected lives.</w:t>
      </w:r>
    </w:p>
    <w:p>
      <w:pPr>
        <w:spacing w:after="0" w:line="187"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i w:val="1"/>
          <w:iCs w:val="1"/>
          <w:color w:val="auto"/>
        </w:rPr>
        <w:t>Investment interest and other</w:t>
      </w:r>
      <w:r>
        <w:rPr>
          <w:rFonts w:ascii="Arial" w:cs="Arial" w:eastAsia="Arial" w:hAnsi="Arial"/>
          <w:sz w:val="18"/>
          <w:szCs w:val="18"/>
          <w:color w:val="auto"/>
        </w:rPr>
        <w:t>. Investment interest and other for the three months ended June 30, 2023 was $2.6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investment interest and other for the three months ended June 30, 2022 of $0.3 million due to higher investment balances and higher returns on those balances.</w:t>
      </w:r>
    </w:p>
    <w:p>
      <w:pPr>
        <w:spacing w:after="0" w:line="184"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three months ended June 30, 2023 was $9.1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$0.5 million, or 5.0%, as compared to income tax expense of $8.6 million for the three months ended June 30, 2022. This increase was the result of an increase in our taxable income, partially offset by a decrease in our effective tax rate between periods. Our effective tax rate was 23.8% during the second quarter of 2023 compared to 25.2% during the second quarter of 2022. In the second quarter of 2023 the effective tax rate was favorably impacted by state tax audits, while in the second quarter of 2022 the effective tax rate was unfavorably impacted by an increase in the state income tax rate.</w:t>
      </w:r>
    </w:p>
    <w:p>
      <w:pPr>
        <w:spacing w:after="0" w:line="195" w:lineRule="exact"/>
        <w:rPr>
          <w:sz w:val="20"/>
          <w:szCs w:val="20"/>
          <w:color w:val="auto"/>
        </w:rPr>
      </w:pPr>
    </w:p>
    <w:p>
      <w:pPr>
        <w:jc w:val="both"/>
        <w:ind w:left="60" w:right="41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June 30, 2023 was $29.0 million, an increase of $3.4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13.3%, as compared to $25.6 million for the three months ended June 30, 2022, due to the factors discussed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June 30, 2023 Compared to Six Months Ended June 30, 2022</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six months ended June 30, 2023 was $460.7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$16.8 million, or 3.8%, as compared to service revenue of $443.9 million for the six months ended June 30, 2022. The increase year over year in service revenue was primarily due to an increase in GCU enrollments to 95,972 at June 30, 2023, an increase of 4.1% over enrollments at June 30, 2022 and an increase in revenue per student year over year. The increase in revenue per student between years is primarily due to the service revenue impact of the increased room, board and other ancillary revenues at GCU’s ground traditional campus between years primarily due to increased enrollment. In addition, service revenue per student for ABSN students at off-campus classroom and laboratory sites generates a significantly higher revenue per student than we earn under our agreement with GCU, as these agreements generally provide us with a higher revenue share percentage, the partners have higher tuition rates than GCU and the majority of their students take more credits on average per semester. Partner enrollments totaled 99,526 at June 30, 2023 as compared to 96,029 at June 30, 2022. University partner enrollments at our off-campus classroom and laboratory sites were 3,904, a decrease of 5.2% over enrollments at June 30, 2022, which includes 350 and 324 GCU students at June 30, 2023 and 2022, respectively. None of our ABSN partners stopped admitting new students due to the clinical faculty challenges that began during the pandemic, however some locations that were scheduled to open were delayed and some existing partners have experienced reduced incoming cohort sizes which has slowed the growth. We believe the growth in the number of ABSN students is also being negatively impacted by the strong job market as these students have historically been individuals with already completed bachelor’s degrees choosing to re-career into one of these health professions. To address this challenge, we have been working with a number of our university partners to adjust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color w:val="auto"/>
        </w:rPr>
        <w:t>their programs to allow students with the required education experience but without a complete bachelor’s degree to enter their programs. We did open six new off-campus classroom and laboratory sites in the year ended December 31, 2022 and one site in the six months ended June 30, 2023 increasing the total number of these sites to 36 at June 30, 2023 and we anticipate opening three to four more in 2023 which we hope, along with the program change discussed earlier, will re-accelerate the ABSN student enrollment growth. Enrollments for GCU ground students were 7,327 at June 30, 2023 up from 7,101 at June 30, 2022 primarily due to a 3.7% increase in traditional ground students between years. GCU online enrollments were 88,645 at June 30, 2023, up from 85,132 at June 30, 2022. GCU enrollment declines between March 31 and June 30 of each year as ground traditional enrollment at GCU at June 30 of each year only includes traditional-aged students taking summer school classes, which is a small percentage of GCU’s traditional-aged student body. The Spring semester for GCU’s traditional-aged student body ends near the end of April each year.</w:t>
      </w:r>
    </w:p>
    <w:p>
      <w:pPr>
        <w:spacing w:after="0" w:line="168"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i w:val="1"/>
          <w:iCs w:val="1"/>
          <w:color w:val="auto"/>
        </w:rPr>
        <w:t>Technology and academic services</w:t>
      </w:r>
      <w:r>
        <w:rPr>
          <w:rFonts w:ascii="Arial" w:cs="Arial" w:eastAsia="Arial" w:hAnsi="Arial"/>
          <w:sz w:val="17"/>
          <w:szCs w:val="17"/>
          <w:color w:val="auto"/>
        </w:rPr>
        <w:t>. Our technology and academic services expenses for the six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2023 were $76.5 million, an increase of $2.0 million, or 2.6%, as compared to technology and academic services expenses of $74.5 million for the six months ended June 30, 2022. This increase was primarily due to increases in occupancy and depreciation and other technology and academic costs of $2.0 million and $0.6 million, respectively, partially offset by a decrease in employee compensation and related expenses, including share-based compensation of $0.6 million. These increases in occupancy and depreciation and other technology and academic costs were primarily due to the costs associated with the increased number of off-campus classroom and laboratory sites. The decrease in employee compensation and related expenses is primarily due to decreased faculty reimbursements due to the decline in our other partners’ enrollments partially offset by increased headcount to support our 25 university partners, and their increased enrollment growth, tenure-based salary adjustments and the increased number of off-campus classroom and laboratory sites year over year. Our technology and academic services expenses as a percentage of revenue decreased 0.2% to 16.6% for the six months ended June 30, 2023, from 16.8% for the six months ended June 30, 2022 due primarily to the decreased faculty reimbursements. We anticipate that technology and academic services expenses as a percentage of revenue will increase in the future as we open more off-campus classroom and laboratory sites and as our other partners’ enrollment returns to growth.</w:t>
      </w:r>
    </w:p>
    <w:p>
      <w:pPr>
        <w:spacing w:after="0" w:line="18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i w:val="1"/>
          <w:iCs w:val="1"/>
          <w:color w:val="auto"/>
        </w:rPr>
        <w:t>Counseling services and support</w:t>
      </w:r>
      <w:r>
        <w:rPr>
          <w:rFonts w:ascii="Arial" w:cs="Arial" w:eastAsia="Arial" w:hAnsi="Arial"/>
          <w:sz w:val="17"/>
          <w:szCs w:val="17"/>
          <w:color w:val="auto"/>
        </w:rPr>
        <w:t>. Our counseling services and support expenses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2023 were $145.7 million, an increase of $12.2 million, or 9.1%, as compared to counseling services and support expenses of $133.5 million for the six months ended June 30, 2022. This increase was primarily attributable to increases in employee compensation and related expenses including share-based compensation and in other counseling services and support expenses of $11.4 million and $1.6 million, respectively, partially offset by a decrease in occupancy and depreciation of $0.8 million. The increases in employee compensation and related expenses were primarily due to increased headcount to support our university partners, and their planned increases in enrollment, tenure-based salary adjustments and the increased number of off-campus classroom and laboratory sites open year over year. The increase in other counseling services and support expenses is primarily the result of increased travel costs for our 25 university partners. Our counseling services and support expenses as a percentage of revenue increased 1.5% to 31.6% for the six months ended June 30, 2023, from 30.1% for the six months ended June 30, 2022 primarily due to the significant increase year over year in headcount and travel costs. We anticipate that counseling services and support expense as a percentage of revenue will continue to be higher in 2023 than in 2022 as travel expenses will continue to be higher than in the prior year and we continue to grow our employee base and their compensation to meet our university partners’ growth expectations and retain our employees.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six months ended June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2023 were $103.7 million, an increase of $3.1 million, or 3.1%, as compared to marketing and communication expenses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$100.6 million for the six months ended June 30, 2022. This increase was primarily attributable to the increased cost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market our university partners’ programs and to the marketing of new university partners and new locations which resulted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increased advertising of $3.2 million and increased employee compensation, including share-based compensation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$0.4 million, partially offset by a decrease in other marketing and communication expenses of $0.5 million. Our marketing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communication expenses as a percentage of revenue decreased by 0.2% to 22.5% for the six months ended June 30,</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2023, from 22.7% for the six months ended June 30, 2022, primarily due to our ability to leverage our marketing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communication expenses across an increasing revenue base, partially offset by the number of university partners and their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growth expectations and increased off-campus classroom and laboratory sites opened and sites planned to open in the next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12 months.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six months ended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were $20.7 million, an increase of $1.0 million, or 4.6%, as compared to general and administrative expenses of $19.7 million for the six months ended June 30, 2022. This increase was primarily attributable to increased charitable contributions and increased professional fees of $0.8 million and $0.5 million, respectively, partially offset by a decrease in employee compensation, including share-based expenses of $0.3 million. Our general and administrative expenses as</w:t>
      </w:r>
    </w:p>
    <w:p>
      <w:pPr>
        <w:spacing w:after="0" w:line="2" w:lineRule="exact"/>
        <w:rPr>
          <w:sz w:val="20"/>
          <w:szCs w:val="20"/>
          <w:color w:val="auto"/>
        </w:rPr>
      </w:pPr>
    </w:p>
    <w:p>
      <w:pPr>
        <w:ind w:left="60" w:right="199"/>
        <w:spacing w:after="0" w:line="260" w:lineRule="auto"/>
        <w:rPr>
          <w:sz w:val="20"/>
          <w:szCs w:val="20"/>
          <w:color w:val="auto"/>
        </w:rPr>
      </w:pPr>
      <w:r>
        <w:rPr>
          <w:rFonts w:ascii="Arial" w:cs="Arial" w:eastAsia="Arial" w:hAnsi="Arial"/>
          <w:sz w:val="18"/>
          <w:szCs w:val="18"/>
          <w:color w:val="auto"/>
        </w:rPr>
        <w:t>a percentage of revenue increased by 0.1% to 4.5% for the six months ended June 30, 2023, from 4.4% for the six months ended June 30, 2022.</w:t>
      </w:r>
    </w:p>
    <w:p>
      <w:pPr>
        <w:spacing w:after="0" w:line="185"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Amortization of intangible assets for the six months ended June 30, 2023 and</w:t>
      </w:r>
      <w:r>
        <w:rPr>
          <w:rFonts w:ascii="Arial" w:cs="Arial" w:eastAsia="Arial" w:hAnsi="Arial"/>
          <w:sz w:val="18"/>
          <w:szCs w:val="18"/>
          <w:i w:val="1"/>
          <w:iCs w:val="1"/>
          <w:color w:val="auto"/>
        </w:rPr>
        <w:t xml:space="preserve"> </w:t>
      </w:r>
      <w:r>
        <w:rPr>
          <w:rFonts w:ascii="Arial" w:cs="Arial" w:eastAsia="Arial" w:hAnsi="Arial"/>
          <w:sz w:val="18"/>
          <w:szCs w:val="18"/>
          <w:color w:val="auto"/>
        </w:rPr>
        <w:t>2022 were $4.2 million for both periods. As a result of the acquisition of our wholly owned subsidiary, Orbis Education, certain identifiable intangible assets were created (primarily customer relationships) that will be amortized over their expected lives.</w:t>
      </w:r>
    </w:p>
    <w:p>
      <w:pPr>
        <w:spacing w:after="0" w:line="187"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i w:val="1"/>
          <w:iCs w:val="1"/>
          <w:color w:val="auto"/>
        </w:rPr>
        <w:t>Investment interest and other</w:t>
      </w:r>
      <w:r>
        <w:rPr>
          <w:rFonts w:ascii="Arial" w:cs="Arial" w:eastAsia="Arial" w:hAnsi="Arial"/>
          <w:sz w:val="18"/>
          <w:szCs w:val="18"/>
          <w:color w:val="auto"/>
        </w:rPr>
        <w:t>. Investment interest and other for the six months ended June 30, 2023 was $4.7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investment interest and other for the six months ended June 30, 2022 of $0.5 million due to higher investment balances and higher returns on those balances.</w:t>
      </w:r>
    </w:p>
    <w:p>
      <w:pPr>
        <w:spacing w:after="0" w:line="184"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six months ended June 30, 2023 was $26.1 million,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$2.1 million, or 7.5%, as compared to income tax expense of $28.2 million for the six months ended June 30, 2022. This decrease was the result of a decrease in our effective tax rate between periods, partially offset by an increase in our taxable income. Our effective tax rate was 22.8% during the six months ended June 30, 2023 compared to 25.2% during the six months ended June 30, 2022. In the six months ended June 30, 2023, the effective tax rate was impacted by excess tax benefits of $0.9 million as compared to only $0.1 million in the six months ended June 30, 2022. In the six months ended June 30, 2023 the effective tax rate was also favorably impacted by state income tax refunds and audits, while in the six months ended June 30, 2022 the effective tax rate was unfavorably impacted by an increase in the state income tax rate.</w:t>
      </w:r>
    </w:p>
    <w:p>
      <w:pPr>
        <w:spacing w:after="0" w:line="165"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six months ended June 30, 2023 was $88.5 million, an increase of $4.9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5.9%, as compared to $83.6 million for the six months ended June 30, 2022, due to the factors discussed above.</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2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As of June 30,  As of December 31,</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investments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  233,369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right="339" w:firstLine="648"/>
        <w:spacing w:after="0" w:line="286" w:lineRule="auto"/>
        <w:rPr>
          <w:sz w:val="20"/>
          <w:szCs w:val="20"/>
          <w:color w:val="auto"/>
        </w:rPr>
      </w:pPr>
      <w:r>
        <w:rPr>
          <w:rFonts w:ascii="Arial" w:cs="Arial" w:eastAsia="Arial" w:hAnsi="Arial"/>
          <w:sz w:val="17"/>
          <w:szCs w:val="17"/>
          <w:color w:val="auto"/>
        </w:rPr>
        <w:t>Our liquidity position, as measured by cash and cash equivalents and investments increased by $51.7 million between December 31, 2022 and June 30, 2023, which was largely attributable to cash flows from operations exceeding share repurchases and capital expenditures during the six months ended June 30, 2023.</w:t>
      </w:r>
    </w:p>
    <w:p>
      <w:pPr>
        <w:spacing w:after="0" w:line="165" w:lineRule="exact"/>
        <w:rPr>
          <w:sz w:val="20"/>
          <w:szCs w:val="20"/>
          <w:color w:val="auto"/>
        </w:rPr>
      </w:pPr>
    </w:p>
    <w:p>
      <w:pPr>
        <w:jc w:val="both"/>
        <w:ind w:left="60" w:right="339" w:firstLine="648"/>
        <w:spacing w:after="0" w:line="311"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vMerge w:val="restart"/>
          </w:tcPr>
          <w:p>
            <w:pPr>
              <w:spacing w:after="0"/>
              <w:rPr>
                <w:sz w:val="14"/>
                <w:szCs w:val="14"/>
                <w:color w:val="auto"/>
              </w:rPr>
            </w:pPr>
          </w:p>
        </w:tc>
        <w:tc>
          <w:tcPr>
            <w:tcW w:w="20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40" w:type="dxa"/>
            <w:vAlign w:val="bottom"/>
            <w:tcBorders>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157,128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146,089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increase in cash generated from operating activities between the six months ended June 30, 2022 and the six months ended June 30, 2023 was primarily due to increased income and changes in working capital balances, primarily accounts receivable, accounts payable, accrued liabilities and income taxes payable. Accounts receivable decreased between December 31, 2022 and June 30, 2023 by $8.4 million more than it did between December 31, 2021 and June 30, 2022 due to the change between periods in the amount due from university partners. Accounts payable increased between December 31, 2022 and June 30, 2023 by $8.6 million more than it did between December 31, 2021 and June 30, 2022 due to the timing of check runs during those periods. These increases in working capital balances were partially offset by decrease in accrued liabilities and income taxes payable that were greater between December 31, 2022 and June 30, 2023 than between December 31, 2021 and June 30, 2022 of $6.0 million and $4.8 million, respectively, due to timing of payments. We define working capital as the assets and liabilities, other than cash, generated through the Company’s primary operating activities. Changes in these balances are included in the changes in assets and liabilities presented in the consolidated statement of cash flows.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84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(48,057)</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Investing activities consumed $48.1 million of cash in the six months ended June 30, 2023 compared to $79.6 million in the six months ended June 30, 2022.</w:t>
      </w:r>
    </w:p>
    <w:p>
      <w:pPr>
        <w:spacing w:after="0" w:line="170"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color w:val="auto"/>
        </w:rPr>
        <w:t>In the first six months of 2023 and 2022 cash used in investing activities consisted of the purchase of available-for-sale securities, net of proceeds from the sale of investments of $30.0 million and $64.4 million, respectively.</w:t>
      </w:r>
    </w:p>
    <w:p>
      <w:pPr>
        <w:spacing w:after="0" w:line="56"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In the first six months of 2023 and 2022 cash used in investing activities also included capital expenditures totaling $17.6 million and $15.1 million, respectively. Capital expenditures for both periods primarily consisted of leasehold improvements and equipment for new off-campus classroom and laboratory sites, as well as purchases of computer equipment, internal use software projects and furniture and equipment to support our increasing employee headcount. The Company incurs upfront expenses and capital expenditures prior to an off-campus classroom and laboratory site being opened. The Company intends to continue to spend approximately $30.0 million to $35.0 million per year for capital expenditures.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860" w:type="dxa"/>
            <w:vAlign w:val="bottom"/>
            <w:gridSpan w:val="2"/>
            <w:vMerge w:val="continue"/>
          </w:tcPr>
          <w:p>
            <w:pPr>
              <w:spacing w:after="0"/>
              <w:rPr>
                <w:sz w:val="12"/>
                <w:szCs w:val="12"/>
                <w:color w:val="auto"/>
              </w:rPr>
            </w:pPr>
          </w:p>
        </w:tc>
        <w:tc>
          <w:tcPr>
            <w:tcW w:w="84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(86,555)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Financing activities consumed $86.6 million of cash in the six months ended June 30, 2023 compared to $528.0 million in the six months ended June 30, 2022.</w:t>
      </w:r>
    </w:p>
    <w:p>
      <w:pPr>
        <w:spacing w:after="0" w:line="103"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During the six months ended June 30, 2023 and 2022, $80.3 million and $523.4 million, respectively was used to purchase treasury stock in accordance with GCE’s share repurchase program. In 2023 and 2022, $6.3 million and $4.6 million, respectively, of cash was utilized to purchase common shares withheld in lieu of income taxes resulting from the vesting of restricted share awards. A significant amount of the share repurchases in 2022 were from the proceeds received on the repayment of the Secured Note. The Company intends to continue using a significant portion of its cash flows from operations to repurchase its shares but share repurchases in future years will be less than in 2022.</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Our Board of Directors has authorized, under its existing stock repurchase program, an aggregate authorization for share repurchases since the initiation of the program of $1,845.0 million. The current expiration date on the repurchase authorization by our Board of Directors is December 31, 2023. Repurchases occur at the Company’s discretion and the Company may modify, suspend or discontinue the repurchase authorization at any time.</w:t>
      </w:r>
    </w:p>
    <w:p>
      <w:pPr>
        <w:spacing w:after="0" w:line="90"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Under our share repurchase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116"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We repurchased 728,410 shares of common stock in the six months ended June 30, 2023. At June 30, 2023, there remains $115.6 million available under our share repurchase authorization.</w:t>
      </w:r>
    </w:p>
    <w:p>
      <w:pPr>
        <w:spacing w:after="0" w:line="89"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60" w:right="459" w:firstLine="648"/>
        <w:spacing w:after="0" w:line="263" w:lineRule="auto"/>
        <w:rPr>
          <w:sz w:val="20"/>
          <w:szCs w:val="20"/>
          <w:color w:val="auto"/>
        </w:rPr>
      </w:pPr>
      <w:r>
        <w:rPr>
          <w:rFonts w:ascii="Arial" w:cs="Arial" w:eastAsia="Arial" w:hAnsi="Arial"/>
          <w:sz w:val="18"/>
          <w:szCs w:val="18"/>
          <w:i w:val="1"/>
          <w:iCs w:val="1"/>
          <w:color w:val="auto"/>
        </w:rPr>
        <w:t>Market risk</w:t>
      </w:r>
      <w:r>
        <w:rPr>
          <w:rFonts w:ascii="Arial" w:cs="Arial" w:eastAsia="Arial" w:hAnsi="Arial"/>
          <w:sz w:val="18"/>
          <w:szCs w:val="18"/>
          <w:color w:val="auto"/>
        </w:rPr>
        <w:t>. As of June 30, 2023, we have no derivative financial instruments or derivative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We invest cash in excess of current operating requirements in money market instruments and commercial paper at multiple financial institutions.</w:t>
      </w:r>
    </w:p>
    <w:p>
      <w:pPr>
        <w:spacing w:after="0" w:line="116"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by investing excess funds in cash equivalents, BBB or higher rated</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bonds, commercial paper, agency bonds, municipal securities, asset backed securities, municipal bonds, and collateralized mortgage obligations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June 30, 2023, a 10% increase or decrease in interest rates would not have a material impact on our future earnings, fair values, or cash flows.</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left="60" w:right="219" w:firstLine="648"/>
        <w:spacing w:after="0" w:line="31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that evaluation, our Chief Executive Officer and Chief Financial Officer concluded that our disclosure controls and procedures are effective, as of June 30, 2023,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7179"/>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jc w:val="center"/>
        <w:ind w:right="7219"/>
        <w:spacing w:after="0"/>
        <w:rPr>
          <w:sz w:val="20"/>
          <w:szCs w:val="20"/>
          <w:color w:val="auto"/>
        </w:rPr>
      </w:pPr>
      <w:r>
        <w:rPr>
          <w:rFonts w:ascii="Arial" w:cs="Arial" w:eastAsia="Arial" w:hAnsi="Arial"/>
          <w:sz w:val="16"/>
          <w:szCs w:val="16"/>
          <w:b w:val="1"/>
          <w:bCs w:val="1"/>
          <w:color w:val="auto"/>
        </w:rPr>
        <w:t>Item 1A. Risk Factors</w:t>
      </w:r>
    </w:p>
    <w:p>
      <w:pPr>
        <w:spacing w:after="0" w:line="185"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The following additional risk factor should be read in conjunction with the risk factors previously disclosed in Part1, Item 1A, “Risk Factors,” of the 2022 Form 10-K, the information contained in this Quarterly Report on Form 10-Q and our other reports and registration statements filed with the SEC. Except as described herein, there have been no material changes to the risk factors disclosed in the 2022 Form 10-K.</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cash and cash equivalents are held at three financial institutions.</w:t>
      </w:r>
    </w:p>
    <w:p>
      <w:pPr>
        <w:spacing w:after="0" w:line="144"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color w:val="auto"/>
        </w:rPr>
        <w:t>Approximately 75% of our cash and cash equivalents are held at a single financial institution and are in excess of amounts insured by the Federal Deposit Insurance Corporation (“FDIC”). This financial institution is among the largest in the United States, and we therefore believe that such funds are stable and at very low risk. The remaining approximately 25% of our cash and cash equivalents are held at two regional banks. We believe that both of these regional banks have strong balance sheets with high liquidity and low debt, and that their percentage of total uninsured deposits are similar or better than the nation’s largest banks. We believe that we have mitigated as much risk as possible by dispersing the operating funds between three banks. However, we may be subject to losses in excess of the FDIC insured limit in the event of a failure of any of these financial institutions and the subsequent lack of intervention by the federal government.</w:t>
      </w:r>
    </w:p>
    <w:p>
      <w:pPr>
        <w:spacing w:after="0" w:line="165"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In the first quarter of 2023, we moved the majority of our operational banking services to one of the aforementioned regional banks; therefore, a larger portion of our cash and cash equivalents may be transferred to the same regional bank’s institutional sweep and depository accounts in the future. We will continually review all three institutions’ financial conditions to ensure that our assets are as safeguarded as possible.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Our Board of Directors has authorized, under its existing stock repurchase program, an aggregate authorization for share repurchases since the initiation of the program of $1,845.0 million. The current expiration date on the repurchase authorization by our Board of Directors is December 31, 2023.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During the six months ended June 30, 2023, 728,410 shares of common stock were repurchased by the Company.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June 30, 2023, there remains $115.6 million available under our share repurchase authorization.</w:t>
      </w:r>
    </w:p>
    <w:p>
      <w:pPr>
        <w:spacing w:after="0" w:line="143"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second quarter of fiscal 2023:</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Value of Shares</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8"/>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 Repurchases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April 1, 2023 – April 30, 2023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91,860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116.44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91,860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150,200,000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1, 2023 – May 30, 2023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109.63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144,549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134,400,000</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June 1, 2023 – June 30, 2023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182,023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103.17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182,023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115,600,000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418,432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108.31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418,432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115,600,000</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Tax Withholdings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 April 30, 2023</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May 1, 2023 – May 30, 2023</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2023 – June 30, 2023</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019"/>
          </w:cols>
          <w:pgMar w:left="1440" w:top="517" w:right="1440" w:bottom="1440" w:gutter="0" w:footer="0" w:header="0"/>
        </w:sectPr>
      </w:pPr>
    </w:p>
    <w:p>
      <w:pPr>
        <w:spacing w:after="0" w:line="22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Mine Safety Disclosures</w:t>
      </w:r>
    </w:p>
    <w:p>
      <w:pPr>
        <w:spacing w:after="0" w:line="222" w:lineRule="exact"/>
        <w:rPr>
          <w:sz w:val="20"/>
          <w:szCs w:val="20"/>
          <w:color w:val="auto"/>
        </w:rPr>
      </w:pPr>
    </w:p>
    <w:p>
      <w:pPr>
        <w:sectPr>
          <w:pgSz w:w="11900" w:h="16838" w:orient="portrait"/>
          <w:cols w:equalWidth="0" w:num="2">
            <w:col w:w="600" w:space="120"/>
            <w:col w:w="8299"/>
          </w:cols>
          <w:pgMar w:left="1440" w:top="517" w:right="1440" w:bottom="1440" w:gutter="0" w:footer="0" w:header="0"/>
          <w:type w:val="continuous"/>
        </w:sectPr>
      </w:pPr>
    </w:p>
    <w:p>
      <w:pPr>
        <w:spacing w:after="0" w:line="4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9019"/>
          </w:cols>
          <w:pgMar w:left="1440" w:top="517" w:right="1440" w:bottom="1440" w:gutter="0" w:footer="0" w:header="0"/>
          <w:type w:val="continuous"/>
        </w:sect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200" w:lineRule="exact"/>
        <w:rPr>
          <w:sz w:val="20"/>
          <w:szCs w:val="20"/>
          <w:color w:val="auto"/>
        </w:rPr>
      </w:pPr>
    </w:p>
    <w:p>
      <w:pPr>
        <w:sectPr>
          <w:pgSz w:w="11900" w:h="16838" w:orient="portrait"/>
          <w:cols w:equalWidth="0" w:num="2">
            <w:col w:w="600" w:space="120"/>
            <w:col w:w="8299"/>
          </w:cols>
          <w:pgMar w:left="1440" w:top="517" w:right="1440" w:bottom="1440" w:gutter="0" w:footer="0" w:header="0"/>
          <w:type w:val="continuous"/>
        </w:sectPr>
      </w:pPr>
    </w:p>
    <w:p>
      <w:pPr>
        <w:spacing w:after="0" w:line="41"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Arial" w:cs="Arial" w:eastAsia="Arial" w:hAnsi="Arial"/>
                <w:sz w:val="18"/>
                <w:szCs w:val="18"/>
                <w:b w:val="1"/>
                <w:bCs w:val="1"/>
                <w:color w:val="auto"/>
                <w:w w:val="98"/>
              </w:rPr>
              <w:t>Item 6.</w:t>
            </w:r>
          </w:p>
        </w:tc>
        <w:tc>
          <w:tcPr>
            <w:tcW w:w="80" w:type="dxa"/>
            <w:vAlign w:val="bottom"/>
          </w:tcPr>
          <w:p>
            <w:pPr>
              <w:spacing w:after="0"/>
              <w:rPr>
                <w:sz w:val="20"/>
                <w:szCs w:val="20"/>
                <w:color w:val="auto"/>
              </w:rPr>
            </w:pPr>
          </w:p>
        </w:tc>
        <w:tc>
          <w:tcPr>
            <w:tcW w:w="4680" w:type="dxa"/>
            <w:vAlign w:val="bottom"/>
            <w:gridSpan w:val="18"/>
          </w:tcPr>
          <w:p>
            <w:pPr>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600" w:type="dxa"/>
            <w:vAlign w:val="bottom"/>
          </w:tcPr>
          <w:p>
            <w:pPr>
              <w:spacing w:after="0"/>
              <w:rPr>
                <w:sz w:val="24"/>
                <w:szCs w:val="24"/>
                <w:color w:val="auto"/>
              </w:rPr>
            </w:pPr>
          </w:p>
        </w:tc>
        <w:tc>
          <w:tcPr>
            <w:tcW w:w="4760" w:type="dxa"/>
            <w:vAlign w:val="bottom"/>
            <w:gridSpan w:val="19"/>
          </w:tcPr>
          <w:p>
            <w:pPr>
              <w:ind w:left="60"/>
              <w:spacing w:after="0"/>
              <w:rPr>
                <w:sz w:val="20"/>
                <w:szCs w:val="20"/>
                <w:color w:val="auto"/>
              </w:rPr>
            </w:pPr>
            <w:r>
              <w:rPr>
                <w:rFonts w:ascii="Arial" w:cs="Arial" w:eastAsia="Arial" w:hAnsi="Arial"/>
                <w:sz w:val="18"/>
                <w:szCs w:val="18"/>
                <w:color w:val="auto"/>
              </w:rPr>
              <w:t>(a)  Exhibits</w:t>
            </w:r>
          </w:p>
        </w:tc>
      </w:tr>
      <w:tr>
        <w:trPr>
          <w:trHeight w:val="270"/>
        </w:trPr>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80" w:type="dxa"/>
            <w:vAlign w:val="bottom"/>
            <w:gridSpan w:val="17"/>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6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w:t>
            </w:r>
          </w:p>
        </w:tc>
        <w:tc>
          <w:tcPr>
            <w:tcW w:w="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700" w:type="dxa"/>
            <w:vAlign w:val="bottom"/>
            <w:tcBorders>
              <w:top w:val="single" w:sz="8" w:color="auto"/>
              <w:bottom w:val="single" w:sz="8" w:color="0000EE"/>
            </w:tcBorders>
            <w:gridSpan w:val="8"/>
          </w:tcPr>
          <w:p>
            <w:pPr>
              <w:spacing w:after="0" w:line="169"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Amended and Restated Certificate of Incorporation.</w:t>
              </w:r>
            </w:hyperlink>
          </w:p>
        </w:tc>
        <w:tc>
          <w:tcPr>
            <w:tcW w:w="760" w:type="dxa"/>
            <w:vAlign w:val="bottom"/>
            <w:tcBorders>
              <w:top w:val="single" w:sz="8" w:color="auto"/>
            </w:tcBorders>
            <w:gridSpan w:val="8"/>
          </w:tcPr>
          <w:p>
            <w:pPr>
              <w:spacing w:after="0"/>
              <w:rPr>
                <w:sz w:val="14"/>
                <w:szCs w:val="14"/>
                <w:color w:val="auto"/>
              </w:rPr>
            </w:pPr>
          </w:p>
        </w:tc>
      </w:tr>
      <w:tr>
        <w:trPr>
          <w:trHeight w:val="777"/>
        </w:trPr>
        <w:tc>
          <w:tcPr>
            <w:tcW w:w="600" w:type="dxa"/>
            <w:vAlign w:val="bottom"/>
          </w:tcPr>
          <w:p>
            <w:pPr>
              <w:ind w:lef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17"/>
          </w:tcPr>
          <w:p>
            <w:pPr>
              <w:spacing w:after="0"/>
              <w:rPr>
                <w:rFonts w:ascii="Arial" w:cs="Arial" w:eastAsia="Arial" w:hAnsi="Arial"/>
                <w:sz w:val="18"/>
                <w:szCs w:val="18"/>
                <w:color w:val="0000EE"/>
              </w:rPr>
            </w:pPr>
            <w:hyperlink r:id="rId45">
              <w:r>
                <w:rPr>
                  <w:rFonts w:ascii="Arial" w:cs="Arial" w:eastAsia="Arial" w:hAnsi="Arial"/>
                  <w:sz w:val="18"/>
                  <w:szCs w:val="18"/>
                  <w:color w:val="0000EE"/>
                </w:rPr>
                <w:t>Third Amended and Restated Bylaws.</w:t>
              </w:r>
            </w:hyperlink>
          </w:p>
        </w:tc>
      </w:tr>
      <w:tr>
        <w:trPr>
          <w:trHeight w:val="777"/>
        </w:trPr>
        <w:tc>
          <w:tcPr>
            <w:tcW w:w="600" w:type="dxa"/>
            <w:vAlign w:val="bottom"/>
          </w:tcPr>
          <w:p>
            <w:pPr>
              <w:ind w:lef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Borders>
              <w:top w:val="single" w:sz="8" w:color="0000EE"/>
            </w:tcBorders>
            <w:gridSpan w:val="4"/>
          </w:tcPr>
          <w:p>
            <w:pPr>
              <w:spacing w:after="0"/>
              <w:rPr>
                <w:rFonts w:ascii="Arial" w:cs="Arial" w:eastAsia="Arial" w:hAnsi="Arial"/>
                <w:sz w:val="18"/>
                <w:szCs w:val="18"/>
                <w:color w:val="0000EE"/>
              </w:rPr>
            </w:pPr>
            <w:hyperlink r:id="rId46">
              <w:r>
                <w:rPr>
                  <w:rFonts w:ascii="Arial" w:cs="Arial" w:eastAsia="Arial" w:hAnsi="Arial"/>
                  <w:sz w:val="18"/>
                  <w:szCs w:val="18"/>
                  <w:color w:val="0000EE"/>
                </w:rPr>
                <w:t>Specimen of Stock Certificate.</w:t>
              </w:r>
            </w:hyperlink>
          </w:p>
        </w:tc>
        <w:tc>
          <w:tcPr>
            <w:tcW w:w="1780" w:type="dxa"/>
            <w:vAlign w:val="bottom"/>
            <w:gridSpan w:val="13"/>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060"/>
        </w:trPr>
        <w:tc>
          <w:tcPr>
            <w:tcW w:w="600" w:type="dxa"/>
            <w:vAlign w:val="bottom"/>
          </w:tcPr>
          <w:p>
            <w:pPr>
              <w:ind w:lef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Borders>
              <w:bottom w:val="single" w:sz="8" w:color="0000EE"/>
            </w:tcBorders>
            <w:gridSpan w:val="10"/>
          </w:tcPr>
          <w:p>
            <w:pPr>
              <w:spacing w:after="0"/>
              <w:rPr>
                <w:rFonts w:ascii="Arial" w:cs="Arial" w:eastAsia="Arial" w:hAnsi="Arial"/>
                <w:sz w:val="18"/>
                <w:szCs w:val="18"/>
                <w:color w:val="0000EE"/>
                <w:w w:val="89"/>
              </w:rPr>
            </w:pPr>
            <w:hyperlink r:id="rId47">
              <w:r>
                <w:rPr>
                  <w:rFonts w:ascii="Arial" w:cs="Arial" w:eastAsia="Arial" w:hAnsi="Arial"/>
                  <w:sz w:val="18"/>
                  <w:szCs w:val="18"/>
                  <w:color w:val="0000EE"/>
                  <w:w w:val="89"/>
                </w:rPr>
                <w:t>Third Amended and Restated Executive Employment</w:t>
              </w:r>
            </w:hyperlink>
          </w:p>
        </w:tc>
        <w:tc>
          <w:tcPr>
            <w:tcW w:w="660" w:type="dxa"/>
            <w:vAlign w:val="bottom"/>
            <w:gridSpan w:val="7"/>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47">
              <w:r>
                <w:rPr>
                  <w:rFonts w:ascii="Arial" w:cs="Arial" w:eastAsia="Arial" w:hAnsi="Arial"/>
                  <w:sz w:val="18"/>
                  <w:szCs w:val="18"/>
                  <w:color w:val="0000EE"/>
                  <w:w w:val="89"/>
                </w:rPr>
                <w:t>Agreement, dated May 1, 2023, by and between Grand</w:t>
              </w:r>
            </w:hyperlink>
          </w:p>
        </w:tc>
        <w:tc>
          <w:tcPr>
            <w:tcW w:w="540" w:type="dxa"/>
            <w:vAlign w:val="bottom"/>
            <w:gridSpan w:val="4"/>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7"/>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Canyon Education, Inc. and Brian E. Mueller†</w:t>
              </w:r>
            </w:hyperlink>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600" w:type="dxa"/>
            <w:vAlign w:val="bottom"/>
          </w:tcPr>
          <w:p>
            <w:pPr>
              <w:ind w:left="2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Borders>
              <w:bottom w:val="single" w:sz="8" w:color="0000EE"/>
            </w:tcBorders>
            <w:gridSpan w:val="10"/>
          </w:tcPr>
          <w:p>
            <w:pPr>
              <w:spacing w:after="0"/>
              <w:rPr>
                <w:rFonts w:ascii="Arial" w:cs="Arial" w:eastAsia="Arial" w:hAnsi="Arial"/>
                <w:sz w:val="18"/>
                <w:szCs w:val="18"/>
                <w:color w:val="0000EE"/>
                <w:w w:val="89"/>
              </w:rPr>
            </w:pPr>
            <w:hyperlink r:id="rId48">
              <w:r>
                <w:rPr>
                  <w:rFonts w:ascii="Arial" w:cs="Arial" w:eastAsia="Arial" w:hAnsi="Arial"/>
                  <w:sz w:val="18"/>
                  <w:szCs w:val="18"/>
                  <w:color w:val="0000EE"/>
                  <w:w w:val="89"/>
                </w:rPr>
                <w:t>Third Amended and Restated Executive Employment</w:t>
              </w:r>
            </w:hyperlink>
          </w:p>
        </w:tc>
        <w:tc>
          <w:tcPr>
            <w:tcW w:w="660" w:type="dxa"/>
            <w:vAlign w:val="bottom"/>
            <w:gridSpan w:val="7"/>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Agreement, dated May 1, 2023, by and between Grand</w:t>
              </w:r>
            </w:hyperlink>
          </w:p>
        </w:tc>
        <w:tc>
          <w:tcPr>
            <w:tcW w:w="540" w:type="dxa"/>
            <w:vAlign w:val="bottom"/>
            <w:gridSpan w:val="4"/>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7"/>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Canyon Education, Inc. and W. Stan Meyer†</w:t>
              </w:r>
            </w:hyperlink>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600" w:type="dxa"/>
            <w:vAlign w:val="bottom"/>
          </w:tcPr>
          <w:p>
            <w:pPr>
              <w:ind w:lef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Borders>
              <w:bottom w:val="single" w:sz="8" w:color="0000EE"/>
            </w:tcBorders>
            <w:gridSpan w:val="10"/>
          </w:tcPr>
          <w:p>
            <w:pPr>
              <w:spacing w:after="0"/>
              <w:rPr>
                <w:rFonts w:ascii="Arial" w:cs="Arial" w:eastAsia="Arial" w:hAnsi="Arial"/>
                <w:sz w:val="18"/>
                <w:szCs w:val="18"/>
                <w:color w:val="0000EE"/>
                <w:w w:val="89"/>
              </w:rPr>
            </w:pPr>
            <w:hyperlink r:id="rId49">
              <w:r>
                <w:rPr>
                  <w:rFonts w:ascii="Arial" w:cs="Arial" w:eastAsia="Arial" w:hAnsi="Arial"/>
                  <w:sz w:val="18"/>
                  <w:szCs w:val="18"/>
                  <w:color w:val="0000EE"/>
                  <w:w w:val="89"/>
                </w:rPr>
                <w:t>Third Amended and Restated Executive Employment</w:t>
              </w:r>
            </w:hyperlink>
          </w:p>
        </w:tc>
        <w:tc>
          <w:tcPr>
            <w:tcW w:w="660" w:type="dxa"/>
            <w:vAlign w:val="bottom"/>
            <w:gridSpan w:val="7"/>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Agreement, dated May 1, 2023, by and between Grand</w:t>
              </w:r>
            </w:hyperlink>
          </w:p>
        </w:tc>
        <w:tc>
          <w:tcPr>
            <w:tcW w:w="540" w:type="dxa"/>
            <w:vAlign w:val="bottom"/>
            <w:gridSpan w:val="4"/>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7"/>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Canyon Education, Inc. and Daniel E. Bachus†</w:t>
              </w:r>
            </w:hyperlink>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600" w:type="dxa"/>
            <w:vAlign w:val="bottom"/>
          </w:tcPr>
          <w:p>
            <w:pPr>
              <w:ind w:lef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17"/>
          </w:tcPr>
          <w:p>
            <w:pPr>
              <w:spacing w:after="0"/>
              <w:rPr>
                <w:rFonts w:ascii="Arial" w:cs="Arial" w:eastAsia="Arial" w:hAnsi="Arial"/>
                <w:sz w:val="18"/>
                <w:szCs w:val="18"/>
                <w:color w:val="0000EE"/>
              </w:rPr>
            </w:pPr>
            <w:hyperlink r:id="rId50">
              <w:r>
                <w:rPr>
                  <w:rFonts w:ascii="Arial" w:cs="Arial" w:eastAsia="Arial" w:hAnsi="Arial"/>
                  <w:sz w:val="18"/>
                  <w:szCs w:val="18"/>
                  <w:color w:val="0000EE"/>
                </w:rPr>
                <w:t>Second Amended and Restated Executive Employment</w:t>
              </w:r>
            </w:hyperlink>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50">
              <w:r>
                <w:rPr>
                  <w:rFonts w:ascii="Arial" w:cs="Arial" w:eastAsia="Arial" w:hAnsi="Arial"/>
                  <w:sz w:val="18"/>
                  <w:szCs w:val="18"/>
                  <w:color w:val="0000EE"/>
                  <w:w w:val="89"/>
                </w:rPr>
                <w:t>Agreement, dated May 1, 2023, by and between Grand</w:t>
              </w:r>
            </w:hyperlink>
          </w:p>
        </w:tc>
        <w:tc>
          <w:tcPr>
            <w:tcW w:w="540" w:type="dxa"/>
            <w:vAlign w:val="bottom"/>
            <w:gridSpan w:val="4"/>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Canyon Education, Inc. and Dilek Marsh†</w:t>
              </w:r>
            </w:hyperlink>
          </w:p>
        </w:tc>
        <w:tc>
          <w:tcPr>
            <w:tcW w:w="1460" w:type="dxa"/>
            <w:vAlign w:val="bottom"/>
            <w:gridSpan w:val="12"/>
          </w:tcPr>
          <w:p>
            <w:pPr>
              <w:spacing w:after="0"/>
              <w:rPr>
                <w:sz w:val="17"/>
                <w:szCs w:val="17"/>
                <w:color w:val="auto"/>
              </w:rPr>
            </w:pPr>
          </w:p>
        </w:tc>
      </w:tr>
      <w:tr>
        <w:trPr>
          <w:trHeight w:val="412"/>
        </w:trPr>
        <w:tc>
          <w:tcPr>
            <w:tcW w:w="600" w:type="dxa"/>
            <w:vAlign w:val="bottom"/>
          </w:tcPr>
          <w:p>
            <w:pPr>
              <w:ind w:lef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tcBorders>
              <w:bottom w:val="single" w:sz="8" w:color="0000EE"/>
            </w:tcBorders>
            <w:gridSpan w:val="10"/>
          </w:tcPr>
          <w:p>
            <w:pPr>
              <w:spacing w:after="0"/>
              <w:rPr>
                <w:rFonts w:ascii="Arial" w:cs="Arial" w:eastAsia="Arial" w:hAnsi="Arial"/>
                <w:sz w:val="18"/>
                <w:szCs w:val="18"/>
                <w:color w:val="0000EE"/>
                <w:w w:val="89"/>
              </w:rPr>
            </w:pPr>
            <w:hyperlink r:id="rId51">
              <w:r>
                <w:rPr>
                  <w:rFonts w:ascii="Arial" w:cs="Arial" w:eastAsia="Arial" w:hAnsi="Arial"/>
                  <w:sz w:val="18"/>
                  <w:szCs w:val="18"/>
                  <w:color w:val="0000EE"/>
                  <w:w w:val="89"/>
                </w:rPr>
                <w:t>Third Amended and Restated Executive Employment</w:t>
              </w:r>
            </w:hyperlink>
          </w:p>
        </w:tc>
        <w:tc>
          <w:tcPr>
            <w:tcW w:w="660" w:type="dxa"/>
            <w:vAlign w:val="bottom"/>
            <w:gridSpan w:val="7"/>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51">
              <w:r>
                <w:rPr>
                  <w:rFonts w:ascii="Arial" w:cs="Arial" w:eastAsia="Arial" w:hAnsi="Arial"/>
                  <w:sz w:val="18"/>
                  <w:szCs w:val="18"/>
                  <w:color w:val="0000EE"/>
                  <w:w w:val="89"/>
                </w:rPr>
                <w:t>Agreement, dated May 1, 2023, by and between Grand</w:t>
              </w:r>
            </w:hyperlink>
          </w:p>
        </w:tc>
        <w:tc>
          <w:tcPr>
            <w:tcW w:w="540" w:type="dxa"/>
            <w:vAlign w:val="bottom"/>
            <w:gridSpan w:val="4"/>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Canyon Education, Inc. and Daniel J. Briggs†</w:t>
              </w:r>
            </w:hyperlink>
          </w:p>
        </w:tc>
        <w:tc>
          <w:tcPr>
            <w:tcW w:w="1160" w:type="dxa"/>
            <w:vAlign w:val="bottom"/>
            <w:gridSpan w:val="10"/>
          </w:tcPr>
          <w:p>
            <w:pPr>
              <w:spacing w:after="0"/>
              <w:rPr>
                <w:sz w:val="17"/>
                <w:szCs w:val="17"/>
                <w:color w:val="auto"/>
              </w:rPr>
            </w:pPr>
          </w:p>
        </w:tc>
      </w:tr>
      <w:tr>
        <w:trPr>
          <w:trHeight w:val="412"/>
        </w:trPr>
        <w:tc>
          <w:tcPr>
            <w:tcW w:w="600" w:type="dxa"/>
            <w:vAlign w:val="bottom"/>
          </w:tcPr>
          <w:p>
            <w:pPr>
              <w:ind w:left="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17"/>
          </w:tcPr>
          <w:p>
            <w:pPr>
              <w:spacing w:after="0"/>
              <w:rPr>
                <w:sz w:val="20"/>
                <w:szCs w:val="20"/>
                <w:color w:val="auto"/>
              </w:rPr>
            </w:pPr>
            <w:r>
              <w:rPr>
                <w:rFonts w:ascii="Arial" w:cs="Arial" w:eastAsia="Arial" w:hAnsi="Arial"/>
                <w:sz w:val="18"/>
                <w:szCs w:val="18"/>
                <w:color w:val="0000EE"/>
              </w:rPr>
              <w:t>Certification of Principal Executive Officer pursuant to</w:t>
            </w: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7"/>
              </w:rPr>
              <w:t>Rules 13a-14(a) and 15d-14(a), as adopted pursuant to</w:t>
            </w:r>
          </w:p>
        </w:tc>
        <w:tc>
          <w:tcPr>
            <w:tcW w:w="40" w:type="dxa"/>
            <w:vAlign w:val="bottom"/>
            <w:tcBorders>
              <w:top w:val="single" w:sz="8" w:color="0000EE"/>
            </w:tcBorders>
            <w:gridSpan w:val="2"/>
          </w:tcPr>
          <w:p>
            <w:pPr>
              <w:spacing w:after="0"/>
              <w:rPr>
                <w:sz w:val="17"/>
                <w:szCs w:val="17"/>
                <w:color w:val="auto"/>
              </w:rPr>
            </w:pPr>
          </w:p>
        </w:tc>
        <w:tc>
          <w:tcPr>
            <w:tcW w:w="540" w:type="dxa"/>
            <w:vAlign w:val="bottom"/>
            <w:gridSpan w:val="4"/>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7"/>
          </w:tcPr>
          <w:p>
            <w:pPr>
              <w:spacing w:after="0" w:line="196" w:lineRule="exact"/>
              <w:rPr>
                <w:sz w:val="20"/>
                <w:szCs w:val="20"/>
                <w:color w:val="auto"/>
              </w:rPr>
            </w:pPr>
            <w:r>
              <w:rPr>
                <w:rFonts w:ascii="Arial" w:cs="Arial" w:eastAsia="Arial" w:hAnsi="Arial"/>
                <w:sz w:val="18"/>
                <w:szCs w:val="18"/>
                <w:color w:val="0000EE"/>
              </w:rPr>
              <w:t>Section 302 of the Sarbanes-Oxley Act of 2002.</w:t>
            </w: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600" w:type="dxa"/>
            <w:vAlign w:val="bottom"/>
          </w:tcPr>
          <w:p>
            <w:pPr>
              <w:ind w:left="2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3"/>
              </w:rPr>
              <w:t>Certification of Principal Financial Officer pursuant to</w:t>
            </w:r>
          </w:p>
        </w:tc>
        <w:tc>
          <w:tcPr>
            <w:tcW w:w="560" w:type="dxa"/>
            <w:vAlign w:val="bottom"/>
            <w:gridSpan w:val="5"/>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7"/>
              </w:rPr>
              <w:t>Rules 13a-14(a) and 15d-14(a), as adopted pursuant to</w:t>
            </w:r>
          </w:p>
        </w:tc>
        <w:tc>
          <w:tcPr>
            <w:tcW w:w="580" w:type="dxa"/>
            <w:vAlign w:val="bottom"/>
            <w:gridSpan w:val="6"/>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7"/>
          </w:tcPr>
          <w:p>
            <w:pPr>
              <w:spacing w:after="0" w:line="196" w:lineRule="exact"/>
              <w:rPr>
                <w:sz w:val="20"/>
                <w:szCs w:val="20"/>
                <w:color w:val="auto"/>
              </w:rPr>
            </w:pPr>
            <w:r>
              <w:rPr>
                <w:rFonts w:ascii="Arial" w:cs="Arial" w:eastAsia="Arial" w:hAnsi="Arial"/>
                <w:sz w:val="18"/>
                <w:szCs w:val="18"/>
                <w:color w:val="0000EE"/>
              </w:rPr>
              <w:t>Section 302 of the Sarbanes-Oxley Act of 2002.</w:t>
            </w: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5"/>
        </w:trPr>
        <w:tc>
          <w:tcPr>
            <w:tcW w:w="600" w:type="dxa"/>
            <w:vAlign w:val="bottom"/>
          </w:tcPr>
          <w:p>
            <w:pPr>
              <w:ind w:left="2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2"/>
              </w:rPr>
              <w:t>Certification of Principal Executive Officer pursuant to 18</w:t>
            </w:r>
          </w:p>
        </w:tc>
        <w:tc>
          <w:tcPr>
            <w:tcW w:w="300" w:type="dxa"/>
            <w:vAlign w:val="bottom"/>
            <w:gridSpan w:val="2"/>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7"/>
          </w:tcPr>
          <w:p>
            <w:pPr>
              <w:spacing w:after="0" w:line="196" w:lineRule="exact"/>
              <w:rPr>
                <w:sz w:val="20"/>
                <w:szCs w:val="20"/>
                <w:color w:val="auto"/>
              </w:rPr>
            </w:pPr>
            <w:r>
              <w:rPr>
                <w:rFonts w:ascii="Arial" w:cs="Arial" w:eastAsia="Arial" w:hAnsi="Arial"/>
                <w:sz w:val="18"/>
                <w:szCs w:val="18"/>
                <w:color w:val="0000EE"/>
                <w:w w:val="93"/>
              </w:rPr>
              <w:t>U.S.C. Section 1350, as adopted pursuant to Section 906 of</w:t>
            </w: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the Sarbanes-Oxley Act of 2002. ††</w:t>
            </w:r>
          </w:p>
        </w:tc>
        <w:tc>
          <w:tcPr>
            <w:tcW w:w="1680" w:type="dxa"/>
            <w:vAlign w:val="bottom"/>
            <w:tcBorders>
              <w:top w:val="single" w:sz="8" w:color="0000EE"/>
            </w:tcBorders>
            <w:gridSpan w:val="13"/>
          </w:tcPr>
          <w:p>
            <w:pPr>
              <w:spacing w:after="0"/>
              <w:rPr>
                <w:sz w:val="17"/>
                <w:szCs w:val="17"/>
                <w:color w:val="auto"/>
              </w:rPr>
            </w:pPr>
          </w:p>
        </w:tc>
        <w:tc>
          <w:tcPr>
            <w:tcW w:w="240" w:type="dxa"/>
            <w:vAlign w:val="bottom"/>
          </w:tcPr>
          <w:p>
            <w:pPr>
              <w:spacing w:after="0"/>
              <w:rPr>
                <w:sz w:val="17"/>
                <w:szCs w:val="17"/>
                <w:color w:val="auto"/>
              </w:rPr>
            </w:pPr>
          </w:p>
        </w:tc>
      </w:tr>
      <w:tr>
        <w:trPr>
          <w:trHeight w:val="344"/>
        </w:trPr>
        <w:tc>
          <w:tcPr>
            <w:tcW w:w="600" w:type="dxa"/>
            <w:vAlign w:val="bottom"/>
          </w:tcPr>
          <w:p>
            <w:pPr>
              <w:ind w:left="2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17"/>
          </w:tcPr>
          <w:p>
            <w:pPr>
              <w:spacing w:after="0"/>
              <w:rPr>
                <w:sz w:val="20"/>
                <w:szCs w:val="20"/>
                <w:color w:val="auto"/>
              </w:rPr>
            </w:pPr>
            <w:r>
              <w:rPr>
                <w:rFonts w:ascii="Arial" w:cs="Arial" w:eastAsia="Arial" w:hAnsi="Arial"/>
                <w:sz w:val="18"/>
                <w:szCs w:val="18"/>
                <w:color w:val="0000EE"/>
              </w:rPr>
              <w:t>Certification of Principal Financial Officer pursuant to 18</w:t>
            </w: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120" w:type="dxa"/>
            <w:vAlign w:val="bottom"/>
            <w:gridSpan w:val="1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80" w:type="dxa"/>
            <w:vAlign w:val="bottom"/>
            <w:gridSpan w:val="17"/>
          </w:tcPr>
          <w:p>
            <w:pPr>
              <w:spacing w:after="0" w:line="196" w:lineRule="exact"/>
              <w:rPr>
                <w:sz w:val="20"/>
                <w:szCs w:val="20"/>
                <w:color w:val="auto"/>
              </w:rPr>
            </w:pPr>
            <w:r>
              <w:rPr>
                <w:rFonts w:ascii="Arial" w:cs="Arial" w:eastAsia="Arial" w:hAnsi="Arial"/>
                <w:sz w:val="18"/>
                <w:szCs w:val="18"/>
                <w:color w:val="0000EE"/>
                <w:w w:val="93"/>
              </w:rPr>
              <w:t>U.S.C. Section 1350, as adopted pursuant to Section 906 of</w:t>
            </w:r>
          </w:p>
        </w:tc>
      </w:tr>
      <w:tr>
        <w:trPr>
          <w:trHeight w:val="196"/>
        </w:trPr>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tcBorders>
              <w:top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the Sarbanes-Oxley Act of 2002. ††</w:t>
            </w:r>
          </w:p>
        </w:tc>
        <w:tc>
          <w:tcPr>
            <w:tcW w:w="240" w:type="dxa"/>
            <w:vAlign w:val="bottom"/>
          </w:tcPr>
          <w:p>
            <w:pPr>
              <w:spacing w:after="0"/>
              <w:rPr>
                <w:sz w:val="17"/>
                <w:szCs w:val="17"/>
                <w:color w:val="auto"/>
              </w:rPr>
            </w:pPr>
          </w:p>
        </w:tc>
      </w:tr>
      <w:tr>
        <w:trPr>
          <w:trHeight w:val="817"/>
        </w:trPr>
        <w:tc>
          <w:tcPr>
            <w:tcW w:w="60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2560" w:type="dxa"/>
            <w:vAlign w:val="bottom"/>
            <w:tcBorders>
              <w:top w:val="single" w:sz="8" w:color="0000EE"/>
            </w:tcBorders>
            <w:gridSpan w:val="3"/>
          </w:tcPr>
          <w:p>
            <w:pPr>
              <w:spacing w:after="0"/>
              <w:rPr>
                <w:sz w:val="24"/>
                <w:szCs w:val="24"/>
                <w:color w:val="auto"/>
              </w:rPr>
            </w:pPr>
          </w:p>
        </w:tc>
        <w:tc>
          <w:tcPr>
            <w:tcW w:w="1160" w:type="dxa"/>
            <w:vAlign w:val="bottom"/>
            <w:gridSpan w:val="6"/>
          </w:tcPr>
          <w:p>
            <w:pPr>
              <w:jc w:val="right"/>
              <w:ind w:righ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342900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160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 w:lineRule="exact"/>
        <w:rPr>
          <w:sz w:val="20"/>
          <w:szCs w:val="20"/>
          <w:color w:val="auto"/>
        </w:rPr>
      </w:pPr>
    </w:p>
    <w:p>
      <w:pPr>
        <w:jc w:val="both"/>
        <w:ind w:right="99"/>
        <w:spacing w:after="0" w:line="276" w:lineRule="auto"/>
        <w:rPr>
          <w:sz w:val="20"/>
          <w:szCs w:val="20"/>
          <w:color w:val="auto"/>
        </w:rPr>
      </w:pPr>
      <w:r>
        <w:rPr>
          <w:rFonts w:ascii="Arial" w:cs="Arial" w:eastAsia="Arial" w:hAnsi="Arial"/>
          <w:sz w:val="17"/>
          <w:szCs w:val="17"/>
          <w:color w:val="auto"/>
        </w:rPr>
        <w:t>Incorporated by reference to Exhibit 3.1 to the Company’s Annual Report on Form 10-K filed with the SEC on February 20, 2019.</w:t>
      </w:r>
    </w:p>
    <w:p>
      <w:pPr>
        <w:spacing w:after="0" w:line="106" w:lineRule="exact"/>
        <w:rPr>
          <w:sz w:val="20"/>
          <w:szCs w:val="20"/>
          <w:color w:val="auto"/>
        </w:rPr>
      </w:pPr>
    </w:p>
    <w:p>
      <w:pPr>
        <w:jc w:val="both"/>
        <w:ind w:right="119"/>
        <w:spacing w:after="0" w:line="286" w:lineRule="auto"/>
        <w:rPr>
          <w:sz w:val="20"/>
          <w:szCs w:val="20"/>
          <w:color w:val="auto"/>
        </w:rPr>
      </w:pPr>
      <w:r>
        <w:rPr>
          <w:rFonts w:ascii="Arial" w:cs="Arial" w:eastAsia="Arial" w:hAnsi="Arial"/>
          <w:sz w:val="17"/>
          <w:szCs w:val="17"/>
          <w:color w:val="auto"/>
        </w:rPr>
        <w:t>Incorporated by reference to Exhibit 3.1 to the Company’s Current Report on Form 8-K filed with the SEC on October 29, 2014.</w:t>
      </w:r>
    </w:p>
    <w:p>
      <w:pPr>
        <w:spacing w:after="0" w:line="98" w:lineRule="exact"/>
        <w:rPr>
          <w:sz w:val="20"/>
          <w:szCs w:val="20"/>
          <w:color w:val="auto"/>
        </w:rPr>
      </w:pPr>
    </w:p>
    <w:p>
      <w:pPr>
        <w:ind w:right="119"/>
        <w:spacing w:after="0" w:line="259" w:lineRule="auto"/>
        <w:rPr>
          <w:sz w:val="20"/>
          <w:szCs w:val="20"/>
          <w:color w:val="auto"/>
        </w:rPr>
      </w:pPr>
      <w:r>
        <w:rPr>
          <w:rFonts w:ascii="Arial" w:cs="Arial" w:eastAsia="Arial" w:hAnsi="Arial"/>
          <w:sz w:val="18"/>
          <w:szCs w:val="18"/>
          <w:color w:val="auto"/>
        </w:rPr>
        <w:t>Incorporated by reference to Exhibit 4.1 to Amendment No. 2 to the Company’s Registration Statement on Form S-1 filed with the SEC on September 29, 2008.</w:t>
      </w:r>
    </w:p>
    <w:p>
      <w:pPr>
        <w:spacing w:after="0" w:line="187" w:lineRule="exact"/>
        <w:rPr>
          <w:sz w:val="20"/>
          <w:szCs w:val="20"/>
          <w:color w:val="auto"/>
        </w:rPr>
      </w:pPr>
    </w:p>
    <w:p>
      <w:pPr>
        <w:ind w:right="159"/>
        <w:spacing w:after="0" w:line="286" w:lineRule="auto"/>
        <w:rPr>
          <w:sz w:val="20"/>
          <w:szCs w:val="20"/>
          <w:color w:val="auto"/>
        </w:rPr>
      </w:pPr>
      <w:r>
        <w:rPr>
          <w:rFonts w:ascii="Arial" w:cs="Arial" w:eastAsia="Arial" w:hAnsi="Arial"/>
          <w:sz w:val="17"/>
          <w:szCs w:val="17"/>
          <w:color w:val="auto"/>
        </w:rPr>
        <w:t>Incorporated by reference to Exhibit 10.1 to the Company’s Quarterly Report on Form 10-Q filed with the SEC on May 2, 2023.</w:t>
      </w:r>
    </w:p>
    <w:p>
      <w:pPr>
        <w:spacing w:after="0" w:line="165" w:lineRule="exact"/>
        <w:rPr>
          <w:sz w:val="20"/>
          <w:szCs w:val="20"/>
          <w:color w:val="auto"/>
        </w:rPr>
      </w:pPr>
    </w:p>
    <w:p>
      <w:pPr>
        <w:ind w:right="159"/>
        <w:spacing w:after="0" w:line="286" w:lineRule="auto"/>
        <w:rPr>
          <w:sz w:val="20"/>
          <w:szCs w:val="20"/>
          <w:color w:val="auto"/>
        </w:rPr>
      </w:pPr>
      <w:r>
        <w:rPr>
          <w:rFonts w:ascii="Arial" w:cs="Arial" w:eastAsia="Arial" w:hAnsi="Arial"/>
          <w:sz w:val="17"/>
          <w:szCs w:val="17"/>
          <w:color w:val="auto"/>
        </w:rPr>
        <w:t>Incorporated by reference to Exhibit 10.2 to the Company’s Quarterly Report on Form 10-Q filed with the SEC on May 2, 2023.</w:t>
      </w:r>
    </w:p>
    <w:p>
      <w:pPr>
        <w:spacing w:after="0" w:line="165" w:lineRule="exact"/>
        <w:rPr>
          <w:sz w:val="20"/>
          <w:szCs w:val="20"/>
          <w:color w:val="auto"/>
        </w:rPr>
      </w:pPr>
    </w:p>
    <w:p>
      <w:pPr>
        <w:ind w:right="159"/>
        <w:spacing w:after="0" w:line="286" w:lineRule="auto"/>
        <w:rPr>
          <w:sz w:val="20"/>
          <w:szCs w:val="20"/>
          <w:color w:val="auto"/>
        </w:rPr>
      </w:pPr>
      <w:r>
        <w:rPr>
          <w:rFonts w:ascii="Arial" w:cs="Arial" w:eastAsia="Arial" w:hAnsi="Arial"/>
          <w:sz w:val="17"/>
          <w:szCs w:val="17"/>
          <w:color w:val="auto"/>
        </w:rPr>
        <w:t>Incorporated by reference to Exhibit 10.3 to the Company’s Quarterly Report on Form 10-Q filed with the SEC on May 2, 2023.</w:t>
      </w:r>
    </w:p>
    <w:p>
      <w:pPr>
        <w:spacing w:after="0" w:line="165" w:lineRule="exact"/>
        <w:rPr>
          <w:sz w:val="20"/>
          <w:szCs w:val="20"/>
          <w:color w:val="auto"/>
        </w:rPr>
      </w:pPr>
    </w:p>
    <w:p>
      <w:pPr>
        <w:ind w:right="159"/>
        <w:spacing w:after="0" w:line="286" w:lineRule="auto"/>
        <w:rPr>
          <w:sz w:val="20"/>
          <w:szCs w:val="20"/>
          <w:color w:val="auto"/>
        </w:rPr>
      </w:pPr>
      <w:r>
        <w:rPr>
          <w:rFonts w:ascii="Arial" w:cs="Arial" w:eastAsia="Arial" w:hAnsi="Arial"/>
          <w:sz w:val="17"/>
          <w:szCs w:val="17"/>
          <w:color w:val="auto"/>
        </w:rPr>
        <w:t>Incorporated by reference to Exhibit 10.4 to the Company’s Quarterly Report on Form 10-Q filed with the SEC on May 2, 2023.</w:t>
      </w:r>
    </w:p>
    <w:p>
      <w:pPr>
        <w:spacing w:after="0" w:line="165" w:lineRule="exact"/>
        <w:rPr>
          <w:sz w:val="20"/>
          <w:szCs w:val="20"/>
          <w:color w:val="auto"/>
        </w:rPr>
      </w:pPr>
    </w:p>
    <w:p>
      <w:pPr>
        <w:ind w:right="159"/>
        <w:spacing w:after="0" w:line="286" w:lineRule="auto"/>
        <w:rPr>
          <w:sz w:val="20"/>
          <w:szCs w:val="20"/>
          <w:color w:val="auto"/>
        </w:rPr>
      </w:pPr>
      <w:r>
        <w:rPr>
          <w:rFonts w:ascii="Arial" w:cs="Arial" w:eastAsia="Arial" w:hAnsi="Arial"/>
          <w:sz w:val="17"/>
          <w:szCs w:val="17"/>
          <w:color w:val="auto"/>
        </w:rPr>
        <w:t>Incorporated by reference to Exhibit 10.5 to the Company’s Quarterly Report on Form 10-Q filed with the SEC on May 2,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5400" w:space="160"/>
            <w:col w:w="3459"/>
          </w:cols>
          <w:pgMar w:left="1440" w:top="517" w:right="1440"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540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18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749"/>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The following financial statements from the Company’s</w:t>
            </w:r>
          </w:p>
        </w:tc>
        <w:tc>
          <w:tcPr>
            <w:tcW w:w="1180" w:type="dxa"/>
            <w:vAlign w:val="bottom"/>
          </w:tcPr>
          <w:p>
            <w:pPr>
              <w:ind w:left="100"/>
              <w:spacing w:after="0"/>
              <w:rPr>
                <w:sz w:val="20"/>
                <w:szCs w:val="20"/>
                <w:color w:val="auto"/>
              </w:rPr>
            </w:pPr>
            <w:r>
              <w:rPr>
                <w:rFonts w:ascii="Arial" w:cs="Arial" w:eastAsia="Arial" w:hAnsi="Arial"/>
                <w:sz w:val="18"/>
                <w:szCs w:val="18"/>
                <w:color w:val="auto"/>
                <w:w w:val="90"/>
              </w:rPr>
              <w:t>Filed herewith.</w:t>
            </w:r>
          </w:p>
        </w:tc>
      </w:tr>
      <w:tr>
        <w:trPr>
          <w:trHeight w:val="216"/>
        </w:trPr>
        <w:tc>
          <w:tcPr>
            <w:tcW w:w="540" w:type="dxa"/>
            <w:vAlign w:val="bottom"/>
          </w:tcPr>
          <w:p>
            <w:pPr>
              <w:spacing w:after="0"/>
              <w:rPr>
                <w:sz w:val="18"/>
                <w:szCs w:val="18"/>
                <w:color w:val="auto"/>
              </w:rPr>
            </w:pP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w w:val="91"/>
              </w:rPr>
              <w:t>Quarterly Report on Form 10-Q for the quarter ended June 30,</w:t>
            </w:r>
          </w:p>
        </w:tc>
        <w:tc>
          <w:tcPr>
            <w:tcW w:w="11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2023, formatted in Inline XBRL: (i) Consolidated Income</w:t>
            </w:r>
          </w:p>
        </w:tc>
        <w:tc>
          <w:tcPr>
            <w:tcW w:w="11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w w:val="94"/>
              </w:rPr>
              <w:t>Statements, (ii) Consolidated Statements of Comprehensive</w:t>
            </w:r>
          </w:p>
        </w:tc>
        <w:tc>
          <w:tcPr>
            <w:tcW w:w="11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w w:val="94"/>
              </w:rPr>
              <w:t>Income, (iii) Consolidated Balance Sheets, (iv) Consolidated</w:t>
            </w:r>
          </w:p>
        </w:tc>
        <w:tc>
          <w:tcPr>
            <w:tcW w:w="11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Statements of Stockholders’ Equity, (v) Consolidated</w:t>
            </w:r>
          </w:p>
        </w:tc>
        <w:tc>
          <w:tcPr>
            <w:tcW w:w="11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w w:val="98"/>
              </w:rPr>
              <w:t>Statements of Cash Flows, and (vi) Notes to Consolidated</w:t>
            </w:r>
          </w:p>
        </w:tc>
        <w:tc>
          <w:tcPr>
            <w:tcW w:w="11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w w:val="95"/>
              </w:rPr>
              <w:t>Financial Statements tagged as blocks of text and including</w:t>
            </w:r>
          </w:p>
        </w:tc>
        <w:tc>
          <w:tcPr>
            <w:tcW w:w="11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detailed tags.</w:t>
            </w:r>
          </w:p>
        </w:tc>
        <w:tc>
          <w:tcPr>
            <w:tcW w:w="1180" w:type="dxa"/>
            <w:vAlign w:val="bottom"/>
          </w:tcPr>
          <w:p>
            <w:pPr>
              <w:spacing w:after="0"/>
              <w:rPr>
                <w:sz w:val="20"/>
                <w:szCs w:val="20"/>
                <w:color w:val="auto"/>
              </w:rPr>
            </w:pPr>
          </w:p>
        </w:tc>
      </w:tr>
      <w:tr>
        <w:trPr>
          <w:trHeight w:val="350"/>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w w:val="99"/>
              </w:rPr>
              <w:t>The cover page from the Company’s Quarterly Report on</w:t>
            </w:r>
          </w:p>
        </w:tc>
        <w:tc>
          <w:tcPr>
            <w:tcW w:w="1180" w:type="dxa"/>
            <w:vAlign w:val="bottom"/>
          </w:tcPr>
          <w:p>
            <w:pPr>
              <w:ind w:left="100"/>
              <w:spacing w:after="0"/>
              <w:rPr>
                <w:sz w:val="20"/>
                <w:szCs w:val="20"/>
                <w:color w:val="auto"/>
              </w:rPr>
            </w:pPr>
            <w:r>
              <w:rPr>
                <w:rFonts w:ascii="Arial" w:cs="Arial" w:eastAsia="Arial" w:hAnsi="Arial"/>
                <w:sz w:val="18"/>
                <w:szCs w:val="18"/>
                <w:color w:val="auto"/>
                <w:w w:val="90"/>
              </w:rPr>
              <w:t>Filed herewith.</w:t>
            </w:r>
          </w:p>
        </w:tc>
      </w:tr>
      <w:tr>
        <w:trPr>
          <w:trHeight w:val="216"/>
        </w:trPr>
        <w:tc>
          <w:tcPr>
            <w:tcW w:w="540" w:type="dxa"/>
            <w:vAlign w:val="bottom"/>
          </w:tcPr>
          <w:p>
            <w:pPr>
              <w:spacing w:after="0"/>
              <w:rPr>
                <w:sz w:val="18"/>
                <w:szCs w:val="18"/>
                <w:color w:val="auto"/>
              </w:rPr>
            </w:pP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w w:val="93"/>
              </w:rPr>
              <w:t>Form 10-Q for the quarter ended June 30, 2023, formatted in</w:t>
            </w:r>
          </w:p>
        </w:tc>
        <w:tc>
          <w:tcPr>
            <w:tcW w:w="11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860" w:type="dxa"/>
            <w:vAlign w:val="bottom"/>
            <w:gridSpan w:val="2"/>
          </w:tcPr>
          <w:p>
            <w:pPr>
              <w:ind w:left="300"/>
              <w:spacing w:after="0"/>
              <w:rPr>
                <w:sz w:val="20"/>
                <w:szCs w:val="20"/>
                <w:color w:val="auto"/>
              </w:rPr>
            </w:pPr>
            <w:r>
              <w:rPr>
                <w:rFonts w:ascii="Arial" w:cs="Arial" w:eastAsia="Arial" w:hAnsi="Arial"/>
                <w:sz w:val="18"/>
                <w:szCs w:val="18"/>
                <w:color w:val="auto"/>
              </w:rPr>
              <w:t>Inline XBRL (included as Exhibit 101).</w:t>
            </w: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7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182" w:lineRule="exact"/>
        <w:rPr>
          <w:sz w:val="20"/>
          <w:szCs w:val="20"/>
          <w:color w:val="auto"/>
        </w:rPr>
      </w:pPr>
    </w:p>
    <w:p>
      <w:pPr>
        <w:ind w:left="380" w:right="199" w:hanging="330"/>
        <w:spacing w:after="0" w:line="259" w:lineRule="auto"/>
        <w:tabs>
          <w:tab w:leader="none" w:pos="37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3020" w:type="dxa"/>
            <w:vAlign w:val="bottom"/>
          </w:tcPr>
          <w:p>
            <w:pPr>
              <w:spacing w:after="0"/>
              <w:rPr>
                <w:sz w:val="20"/>
                <w:szCs w:val="20"/>
                <w:color w:val="auto"/>
              </w:rPr>
            </w:pPr>
            <w:r>
              <w:rPr>
                <w:rFonts w:ascii="Arial" w:cs="Arial" w:eastAsia="Arial" w:hAnsi="Arial"/>
                <w:sz w:val="18"/>
                <w:szCs w:val="18"/>
                <w:color w:val="auto"/>
              </w:rPr>
              <w:t>Date: August 3, 2023</w:t>
            </w:r>
          </w:p>
        </w:tc>
        <w:tc>
          <w:tcPr>
            <w:tcW w:w="5880" w:type="dxa"/>
            <w:vAlign w:val="bottom"/>
            <w:gridSpan w:val="2"/>
          </w:tcPr>
          <w:p>
            <w:pPr>
              <w:ind w:left="1520"/>
              <w:spacing w:after="0"/>
              <w:rPr>
                <w:sz w:val="20"/>
                <w:szCs w:val="20"/>
                <w:color w:val="auto"/>
              </w:rPr>
            </w:pPr>
            <w:r>
              <w:rPr>
                <w:rFonts w:ascii="Arial" w:cs="Arial" w:eastAsia="Arial" w:hAnsi="Arial"/>
                <w:sz w:val="18"/>
                <w:szCs w:val="18"/>
                <w:color w:val="auto"/>
              </w:rPr>
              <w:t>By: /s/ Daniel E. Bachus</w:t>
            </w:r>
          </w:p>
        </w:tc>
      </w:tr>
      <w:tr>
        <w:trPr>
          <w:trHeight w:val="20"/>
        </w:trPr>
        <w:tc>
          <w:tcPr>
            <w:tcW w:w="3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95"/>
        </w:trPr>
        <w:tc>
          <w:tcPr>
            <w:tcW w:w="3020" w:type="dxa"/>
            <w:vAlign w:val="bottom"/>
          </w:tcPr>
          <w:p>
            <w:pPr>
              <w:spacing w:after="0"/>
              <w:rPr>
                <w:sz w:val="16"/>
                <w:szCs w:val="16"/>
                <w:color w:val="auto"/>
              </w:rPr>
            </w:pPr>
          </w:p>
        </w:tc>
        <w:tc>
          <w:tcPr>
            <w:tcW w:w="5880" w:type="dxa"/>
            <w:vAlign w:val="bottom"/>
            <w:gridSpan w:val="2"/>
          </w:tcPr>
          <w:p>
            <w:pPr>
              <w:ind w:left="1520"/>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020" w:type="dxa"/>
            <w:vAlign w:val="bottom"/>
          </w:tcPr>
          <w:p>
            <w:pPr>
              <w:spacing w:after="0"/>
              <w:rPr>
                <w:sz w:val="18"/>
                <w:szCs w:val="18"/>
                <w:color w:val="auto"/>
              </w:rPr>
            </w:pPr>
          </w:p>
        </w:tc>
        <w:tc>
          <w:tcPr>
            <w:tcW w:w="5880" w:type="dxa"/>
            <w:vAlign w:val="bottom"/>
            <w:gridSpan w:val="2"/>
          </w:tcPr>
          <w:p>
            <w:pPr>
              <w:ind w:left="1520"/>
              <w:spacing w:after="0"/>
              <w:rPr>
                <w:sz w:val="20"/>
                <w:szCs w:val="20"/>
                <w:color w:val="auto"/>
              </w:rPr>
            </w:pPr>
            <w:r>
              <w:rPr>
                <w:rFonts w:ascii="Arial" w:cs="Arial" w:eastAsia="Arial" w:hAnsi="Arial"/>
                <w:sz w:val="18"/>
                <w:szCs w:val="18"/>
                <w:color w:val="auto"/>
              </w:rPr>
              <w:t>Chief Financial Officer</w:t>
            </w:r>
          </w:p>
        </w:tc>
      </w:tr>
      <w:tr>
        <w:trPr>
          <w:trHeight w:val="230"/>
        </w:trPr>
        <w:tc>
          <w:tcPr>
            <w:tcW w:w="3020" w:type="dxa"/>
            <w:vAlign w:val="bottom"/>
          </w:tcPr>
          <w:p>
            <w:pPr>
              <w:spacing w:after="0"/>
              <w:rPr>
                <w:sz w:val="20"/>
                <w:szCs w:val="20"/>
                <w:color w:val="auto"/>
              </w:rPr>
            </w:pPr>
          </w:p>
        </w:tc>
        <w:tc>
          <w:tcPr>
            <w:tcW w:w="5880" w:type="dxa"/>
            <w:vAlign w:val="bottom"/>
            <w:gridSpan w:val="2"/>
          </w:tcPr>
          <w:p>
            <w:pPr>
              <w:ind w:left="15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20" w:hanging="188"/>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June 30, 2023 of Grand Canyon Education, Inc.;</w:t>
      </w:r>
    </w:p>
    <w:p>
      <w:pPr>
        <w:spacing w:after="0" w:line="236" w:lineRule="exact"/>
        <w:rPr>
          <w:rFonts w:ascii="Arial" w:cs="Arial" w:eastAsia="Arial" w:hAnsi="Arial"/>
          <w:sz w:val="17"/>
          <w:szCs w:val="17"/>
          <w:color w:val="auto"/>
        </w:rPr>
      </w:pPr>
    </w:p>
    <w:p>
      <w:pPr>
        <w:ind w:right="500" w:firstLine="332"/>
        <w:spacing w:after="0" w:line="263" w:lineRule="auto"/>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firstLine="527"/>
        <w:spacing w:after="0" w:line="342" w:lineRule="auto"/>
        <w:tabs>
          <w:tab w:leader="none" w:pos="693"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03"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Date: August 3, 2023</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06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0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0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20" w:hanging="188"/>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June 30, 2023 of Grand Canyon Education, Inc.;</w:t>
      </w:r>
    </w:p>
    <w:p>
      <w:pPr>
        <w:spacing w:after="0" w:line="236" w:lineRule="exact"/>
        <w:rPr>
          <w:rFonts w:ascii="Arial" w:cs="Arial" w:eastAsia="Arial" w:hAnsi="Arial"/>
          <w:sz w:val="17"/>
          <w:szCs w:val="17"/>
          <w:color w:val="auto"/>
        </w:rPr>
      </w:pPr>
    </w:p>
    <w:p>
      <w:pPr>
        <w:ind w:right="500" w:firstLine="332"/>
        <w:spacing w:after="0" w:line="263" w:lineRule="auto"/>
        <w:tabs>
          <w:tab w:leader="none" w:pos="50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2"/>
        <w:spacing w:after="0" w:line="263" w:lineRule="auto"/>
        <w:tabs>
          <w:tab w:leader="none" w:pos="50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2"/>
        <w:spacing w:after="0" w:line="263" w:lineRule="auto"/>
        <w:tabs>
          <w:tab w:leader="none" w:pos="50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2"/>
        <w:spacing w:after="0" w:line="263" w:lineRule="auto"/>
        <w:tabs>
          <w:tab w:leader="none" w:pos="50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firstLine="527"/>
        <w:spacing w:after="0" w:line="342" w:lineRule="auto"/>
        <w:tabs>
          <w:tab w:leader="none" w:pos="693"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firstLine="527"/>
        <w:spacing w:after="0" w:line="277" w:lineRule="auto"/>
        <w:tabs>
          <w:tab w:leader="none" w:pos="703"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Date: August 3, 2023</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06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0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50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2023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2023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6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44" Type="http://schemas.openxmlformats.org/officeDocument/2006/relationships/hyperlink" Target="http://www.sec.gov/Archives/edgar/data/1434588/000155837019000782/lope-20181231ex31395dfc9.htm" TargetMode="External"/><Relationship Id="rId45" Type="http://schemas.openxmlformats.org/officeDocument/2006/relationships/hyperlink" Target="http://www.sec.gov/Archives/edgar/data/1434588/000119312514387149/d812440dex31.htm" TargetMode="External"/><Relationship Id="rId46" Type="http://schemas.openxmlformats.org/officeDocument/2006/relationships/hyperlink" Target="http://www.sec.gov/Archives/edgar/data/1434588/000095015308001671/p75463a2exv4w1.htm" TargetMode="External"/><Relationship Id="rId47" Type="http://schemas.openxmlformats.org/officeDocument/2006/relationships/hyperlink" Target="https://www.sec.gov/Archives/edgar/data/1434588/000155837023007660/lope-20230331xex10d1.htm" TargetMode="External"/><Relationship Id="rId48" Type="http://schemas.openxmlformats.org/officeDocument/2006/relationships/hyperlink" Target="https://www.sec.gov/Archives/edgar/data/1434588/000155837023007660/lope-20230331xex10d2.htm" TargetMode="External"/><Relationship Id="rId49" Type="http://schemas.openxmlformats.org/officeDocument/2006/relationships/hyperlink" Target="https://www.sec.gov/Archives/edgar/data/1434588/000155837023007660/lope-20230331xex10d3.htm" TargetMode="External"/><Relationship Id="rId50" Type="http://schemas.openxmlformats.org/officeDocument/2006/relationships/hyperlink" Target="https://www.sec.gov/Archives/edgar/data/1434588/000155837023007660/lope-20230331xex10d4.htm" TargetMode="External"/><Relationship Id="rId51" Type="http://schemas.openxmlformats.org/officeDocument/2006/relationships/hyperlink" Target="https://www.sec.gov/Archives/edgar/data/1434588/000155837023007660/lope-20230331xex10d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2023-08-03T15:43:10Z</dcterms:created>
  <dcterms:modified xsi:type="dcterms:W3CDTF">2023-08-03T15:43:10Z</dcterms:modified>
</cp:coreProperties>
</file>