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50506x8k.htm"/>
      <w:bookmarkStart w:id="1" w:name="kslope20250506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0f79042a_b12a_470c_96bb_0a1ac57823af"/>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May 6, 2025</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Vx_tfizPN0K4Dh8-qvCDYw_3_0"/>
      <w:bookmarkStart w:id="4" w:name="Tc_fG2dhZ9gAEenhXlCX96n9w_2_4"/>
      <w:bookmarkStart w:id="5" w:name="Tc_JqkVWs_hpkedI4k1rs8eyg_2_2"/>
      <w:bookmarkStart w:id="6" w:name="Tc_ROU4qpnjmUW_6i_Yndz3Iw_2_0"/>
      <w:bookmarkStart w:id="7" w:name="_7fa0ebfc_0c79_4dbe_87e0_6617c5cbb49e"/>
      <w:bookmarkStart w:id="8" w:name="Tc_Vx_tfizPN0K4Dh8-qvCDYw_3_0"/>
      <w:bookmarkStart w:id="9" w:name="Tc_fG2dhZ9gAEenhXlCX96n9w_2_4"/>
      <w:bookmarkStart w:id="10" w:name="Tc_JqkVWs_hpkedI4k1rs8eyg_2_2"/>
      <w:bookmarkStart w:id="11" w:name="Tc_ROU4qpnjmUW_6i_Yndz3Iw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QNcth7gJfkCuuNUtiK1QqA_3_1"/>
      <w:bookmarkStart w:id="14" w:name="Tc_9u7A-jBHB0abA1RkMisLkg_3_0"/>
      <w:bookmarkStart w:id="15" w:name="Tc_SIiTVnNmRE-mUzWhA4GAKQ_2_0"/>
      <w:bookmarkStart w:id="16" w:name="_9a323b27_c53c_42df_98ef_985e5341818d"/>
      <w:bookmarkStart w:id="17" w:name="Tc_QNcth7gJfkCuuNUtiK1QqA_3_1"/>
      <w:bookmarkStart w:id="18" w:name="Tc_9u7A-jBHB0abA1RkMisLkg_3_0"/>
      <w:bookmarkStart w:id="19" w:name="Tc_SIiTVnNmRE-mUzWhA4GAKQ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pL2j16lruEyFu_6wKnOOMg_0_2"/>
      <w:bookmarkStart w:id="22" w:name="Tc_fPmq5HwbYkOYMbUdQi8Jng_0_1"/>
      <w:bookmarkStart w:id="23" w:name="Tc_2fU7Yk6OYEiDzIurKUT2IA_0_0"/>
      <w:bookmarkStart w:id="24" w:name="_2f4b5bca_6f5b_4b11_908f_f1dd216d9493"/>
      <w:bookmarkStart w:id="25" w:name="Tc_pL2j16lruEyFu_6wKnOOMg_0_2"/>
      <w:bookmarkStart w:id="26" w:name="Tc_fPmq5HwbYkOYMbUdQi8Jng_0_1"/>
      <w:bookmarkStart w:id="27" w:name="Tc_2fU7Yk6OYEiDzIurKUT2IA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6, 2025, the Company reported its results for the quarter ended March 31, 2025.  The press release dated May 6, 2025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Consolidated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50506xex99d1.htm">
        <w:r>
          <w:rPr>
            <w:rStyle w:val="InternetLink"/>
            <w:rFonts w:ascii="Times New Roman;Times;serif" w:hAnsi="Times New Roman;Times;serif"/>
            <w:b w:val="false"/>
            <w:i w:val="false"/>
            <w:caps w:val="false"/>
            <w:smallCaps w:val="false"/>
            <w:sz w:val="20"/>
          </w:rPr>
          <w:t>Press Release dated May 6, 2025</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Date File (imbedded within the Inline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18" w:type="dxa"/>
        <w:jc w:val="left"/>
        <w:tblInd w:w="0" w:type="dxa"/>
        <w:tblLayout w:type="fixed"/>
        <w:tblCellMar>
          <w:top w:w="0" w:type="dxa"/>
          <w:left w:w="0" w:type="dxa"/>
          <w:bottom w:w="0" w:type="dxa"/>
          <w:right w:w="0" w:type="dxa"/>
        </w:tblCellMar>
      </w:tblPr>
      <w:tblGrid>
        <w:gridCol w:w="946"/>
        <w:gridCol w:w="326"/>
        <w:gridCol w:w="604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60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pPr>
            <w:hyperlink w:anchor="lope-20250506xex99d1.htm">
              <w:r>
                <w:rPr>
                  <w:rStyle w:val="InternetLink"/>
                  <w:rFonts w:ascii="Times New Roman;Times;serif" w:hAnsi="Times New Roman;Times;serif"/>
                  <w:b w:val="false"/>
                  <w:i w:val="false"/>
                  <w:caps w:val="false"/>
                  <w:smallCaps w:val="false"/>
                  <w:sz w:val="20"/>
                </w:rPr>
                <w:t>Press Release dated May 6, 2025</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(imbedded within the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937" w:type="dxa"/>
        <w:jc w:val="left"/>
        <w:tblInd w:w="0" w:type="dxa"/>
        <w:tblLayout w:type="fixed"/>
        <w:tblCellMar>
          <w:top w:w="0" w:type="dxa"/>
          <w:left w:w="0" w:type="dxa"/>
          <w:bottom w:w="0" w:type="dxa"/>
          <w:right w:w="0" w:type="dxa"/>
        </w:tblCellMar>
      </w:tblPr>
      <w:tblGrid>
        <w:gridCol w:w="1636"/>
        <w:gridCol w:w="422"/>
        <w:gridCol w:w="2879"/>
      </w:tblGrid>
      <w:tr>
        <w:trPr/>
        <w:tc>
          <w:tcPr>
            <w:tcW w:w="163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63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50506xex99d1.htm"/>
      <w:bookmarkStart w:id="30" w:name="kslope20250506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 2025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May 6, 2025</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22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March 31, 2025.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2025:</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for the three months ended March 31, 2025 was $289.3 million, an increase of $14.6 million, or 5.3%, as compared to service revenue of $274.7 million for the three months ended March 31, 2024. The increase year over year in service revenue was primarily due to an increase in partner enrollments of 5.8% to 127,779 at March 31, 2025 as compared to 120,788 at March 31, 2024. Revenue per student decreased slightly between years primarily due to the additional day for leap year in 2024 which added additional service revenue of $1.5 million as compared to the current year and contract modifications for some of our university partners in which the revenue share percentage was reduced in exchange for us no longer reimbursing the partner for certain faculty costs both of which had the effect of reducing revenue per student partially offset by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GCU enrollments increased to 123,773 at March 31, 2025, an increase of 5.8% over enrollments at March 31, 2024.</w:t>
            </w:r>
            <w:r>
              <w:rPr>
                <w:caps w:val="false"/>
                <w:smallCaps w:val="false"/>
              </w:rPr>
              <w:t xml:space="preserve"> </w:t>
            </w:r>
            <w:r>
              <w:rPr>
                <w:rFonts w:ascii="Times New Roman;Times;serif" w:hAnsi="Times New Roman;Times;serif"/>
                <w:b w:val="false"/>
                <w:i w:val="false"/>
                <w:caps w:val="false"/>
                <w:smallCaps w:val="false"/>
                <w:sz w:val="20"/>
              </w:rPr>
              <w:t>University partner enrollments at our off-campus classroom and laboratory sites were 5,027, an increase of 12.1% over enrollments at March 31, 2024, which includes 1,021 and 650 GCU students at March 31, 2025 and 2024, respectively. Excluding sites closing in 2024 to new enrollments, total enrollments at our off-campus classroom and laboratory sites increased 16.5% between years. We opened six sites in the year ended December 31, 2024 and opened one site in the three months ended March 31, 2025 increasing the total number of these sites to 46 at March 31, 2025, which has also positively impacted the enrollment growth. Enrollments for GCU ground students were 22,330 at March 31, 2025 down from 22,965 at March 31, 2024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101,443 at March 31, 2025, up from 93,987 at December 31, 2024, an increase of 7.9% between years.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three months ended March 31, 2025 was $88.0 million, an increase of $3.5 million, or 4.2%, as compared to $84.5 million for the same period in 2024. The operating margin for the three months ended March 31, 2025 and 2024 was 30.4% and 30.8%, respectively. The first quarter operating income and operating margin were negatively impacted on a year over year basis by the additional day for leap year in 2024 which added additional service revenue of $1.5 million as compared to the current year partially offset by contract modifications for some of our university partners in which the revenue share percentage was reduced in exchange for us no longer reimbursing the partner for certain faculty costs both of which had the effect of reducing revenue per student.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for the three months ended March 31, 2025 was $19.8 million, a decrease of $0.4 million, or 2.0%, as compared to income tax expense of $20.2 million for the three months ended March 31, 2024. Our effective tax rate was 21.6% during the first quarter of 2025 compared to 22.9% during the first quarter of 2024. The effective tax rate decreased year over year primarily due to an increase in excess tax benefits to $2.7 million as compared to $1.5 million in the three months ended March 31, 2025 and 2024, respectively, partially offset by higher state income taxes.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March 31, 2025 was $71.6 million, an increase of $3.6 million, or 5.3% as compared to $68.0 million for the same period in 2024. As adjusted net income was $73.3 million and $69.6 million for the first quarters of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$2.52 and $2.29 for the first quarters of 2025 and 2024, respectively. As adjusted diluted net income per share was $2.57 and $2.35 for the first quarters of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3.4% to $102.0 million for the first quarter of 2025, compared to $98.6 million for the same period in 2024.</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$20.0 million between December 31, 2024 and March 31, 2025, which was largely attributable to share repurchases, changes in our investment balance and capital expenditures exceeding our cash provided by operations during the three months ended March 31, 2025. Our unrestricted cash and cash equivalents and investments were $304.7 million and $324.6 million at March 31, 2025 and December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First Quarter 2025 Results and Full Year Outlook 2025</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2025 Outlook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Q2 2025:</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$239.0 million and $241.5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18.8% and 19.4%;</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$1.28 and $1.33;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 million diluted shares.</w:t>
            </w:r>
          </w:p>
        </w:tc>
      </w:tr>
    </w:tbl>
    <w:p>
      <w:pPr>
        <w:pStyle w:val="TextBody"/>
        <w:bidi w:val="0"/>
        <w:spacing w:before="0" w:after="120"/>
        <w:ind w:left="360" w:right="0" w:firstLine="36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$1.34 and $1.39.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Q3 2025:</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$250.5 million and $257.5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22.0% and 23.2%;</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$1.56 and $1.68;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$1.62 and $1.74.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2025:</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$301.0 million and $311.5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35.5% and 36.3%;</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24.1%;</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$3.00 and $3.17;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$3.06 and $3.23.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2025:</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$1,079.8 million and $1,099.8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27.3% and 28.0%;</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23.7%;</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$8.36 and $8.70;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$6.5 million, which equates to a $0.23 impact on diluted EPS. Thus, as adjusted, non-GAAP diluted income per share of between $8.59 and $8.93.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within the meaning of Federal securities laws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tLeast" w:line="220" w:before="0" w:after="120"/>
        <w:ind w:left="0" w:right="0" w:hanging="0"/>
        <w:jc w:val="left"/>
        <w:rPr>
          <w:rFonts w:ascii="Times New Roman;Times;serif" w:hAnsi="Times New Roman;Times;serif"/>
          <w:sz w:val="20"/>
        </w:rPr>
      </w:pPr>
      <w:r>
        <w:rPr>
          <w:rFonts w:ascii="Times New Roman;Times;serif" w:hAnsi="Times New Roman;Times;serif"/>
          <w:sz w:val="20"/>
        </w:rPr>
        <w:t xml:space="preserve">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w:t>
      </w:r>
    </w:p>
    <w:p>
      <w:pPr>
        <w:pStyle w:val="TextBody"/>
        <w:bidi w:val="0"/>
        <w:spacing w:lineRule="atLeast" w:line="220" w:before="0" w:after="12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Grand Canyon Education, Inc. will discuss its first quarter 2025 results and full year 2025 outlook during a conference call scheduled for today, May 6, 2025 at 4:30 p.m. Eastern time (ET). </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 </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Q1 2025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shd w:fill="FFFFFF" w:val="clear"/>
        <w:bidi w:val="0"/>
        <w:spacing w:before="0" w:after="120"/>
        <w:ind w:left="0" w:right="0" w:firstLine="72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22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6893" w:type="dxa"/>
        <w:jc w:val="left"/>
        <w:tblInd w:w="0" w:type="dxa"/>
        <w:tblLayout w:type="fixed"/>
        <w:tblCellMar>
          <w:top w:w="0" w:type="dxa"/>
          <w:left w:w="0" w:type="dxa"/>
          <w:bottom w:w="0" w:type="dxa"/>
          <w:right w:w="0" w:type="dxa"/>
        </w:tblCellMar>
      </w:tblPr>
      <w:tblGrid>
        <w:gridCol w:w="3886"/>
        <w:gridCol w:w="326"/>
        <w:gridCol w:w="211"/>
        <w:gridCol w:w="781"/>
        <w:gridCol w:w="326"/>
        <w:gridCol w:w="211"/>
        <w:gridCol w:w="781"/>
        <w:gridCol w:w="37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5585" cy="175260"/>
                      <wp:effectExtent l="0" t="0" r="0" b="0"/>
                      <wp:wrapNone/>
                      <wp:docPr id="10" name="Frame1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274,675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82,884</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10,730</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190,197</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88,205</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29,459</w:t>
            </w:r>
          </w:p>
        </w:tc>
        <w:tc>
          <w:tcPr>
            <w:tcW w:w="37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29,639</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38"/>
        <w:gridCol w:w="326"/>
        <w:gridCol w:w="214"/>
        <w:gridCol w:w="1031"/>
        <w:gridCol w:w="326"/>
        <w:gridCol w:w="226"/>
        <w:gridCol w:w="1144"/>
      </w:tblGrid>
      <w:tr>
        <w:trPr/>
        <w:tc>
          <w:tcPr>
            <w:tcW w:w="6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05630" cy="175260"/>
                      <wp:effectExtent l="0" t="0" r="0" b="0"/>
                      <wp:wrapNone/>
                      <wp:docPr id="11" name="Frame11"/>
                      <a:graphic xmlns:a="http://schemas.openxmlformats.org/drawingml/2006/main">
                        <a:graphicData uri="http://schemas.microsoft.com/office/word/2010/wordprocessingShape">
                          <wps:wsp>
                            <wps:cNvSpPr txBox="1"/>
                            <wps:spPr>
                              <a:xfrm>
                                <a:off x="0" y="0"/>
                                <a:ext cx="440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4685" cy="175260"/>
                      <wp:effectExtent l="0" t="0" r="0" b="0"/>
                      <wp:wrapNone/>
                      <wp:docPr id="14" name="Frame1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6440" cy="175260"/>
                      <wp:effectExtent l="0" t="0" r="0" b="0"/>
                      <wp:wrapNone/>
                      <wp:docPr id="17" name="Frame1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9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160,144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115,696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82,948</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436,436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419,976</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177,758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176,823</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99,541</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157,857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159,962</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1,031,448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1,018,425</w:t>
            </w:r>
          </w:p>
        </w:tc>
      </w:tr>
      <w:tr>
        <w:trPr/>
        <w:tc>
          <w:tcPr>
            <w:tcW w:w="69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33,183</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29,620</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128,204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110,966</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26,527</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95,635</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234,572</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2025 and December 31, 2024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54,176 and 54,090 shares issued and 28,496 and 28,858 shares outstanding at March 31,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25,680 and 25,232 shares of common stock at March 31,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(2,102,760)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(2,024,370)</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340,365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336,736</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2,542,564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2,470,946</w:t>
            </w:r>
          </w:p>
        </w:tc>
      </w:tr>
      <w:tr>
        <w:trPr/>
        <w:tc>
          <w:tcPr>
            <w:tcW w:w="69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780,704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783,853</w:t>
            </w:r>
          </w:p>
        </w:tc>
      </w:tr>
      <w:tr>
        <w:trPr/>
        <w:tc>
          <w:tcPr>
            <w:tcW w:w="69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1,031,448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1,018,425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537" w:type="dxa"/>
        <w:jc w:val="left"/>
        <w:tblInd w:w="0" w:type="dxa"/>
        <w:tblLayout w:type="fixed"/>
        <w:tblCellMar>
          <w:top w:w="0" w:type="dxa"/>
          <w:left w:w="0" w:type="dxa"/>
          <w:bottom w:w="0" w:type="dxa"/>
          <w:right w:w="0" w:type="dxa"/>
        </w:tblCellMar>
      </w:tblPr>
      <w:tblGrid>
        <w:gridCol w:w="6721"/>
        <w:gridCol w:w="326"/>
        <w:gridCol w:w="211"/>
        <w:gridCol w:w="901"/>
        <w:gridCol w:w="326"/>
        <w:gridCol w:w="211"/>
        <w:gridCol w:w="84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67835" cy="175260"/>
                      <wp:effectExtent l="0" t="0" r="0" b="0"/>
                      <wp:wrapNone/>
                      <wp:docPr id="18" name="Frame18"/>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72135" cy="175260"/>
                      <wp:effectExtent l="0" t="0" r="0" b="0"/>
                      <wp:wrapNone/>
                      <wp:docPr id="21" name="Frame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34035" cy="175260"/>
                      <wp:effectExtent l="0" t="0" r="0" b="0"/>
                      <wp:wrapNone/>
                      <wp:docPr id="24" name="Frame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including fixed asset disposals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from university partners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84,963</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equity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(29,970)</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(decrease) increase in cash and cash equivalents and restricted cash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49,733</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196,208</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 and Liability recognition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2025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tbl>
      <w:tblPr>
        <w:tblW w:w="6128" w:type="dxa"/>
        <w:jc w:val="center"/>
        <w:tblInd w:w="0" w:type="dxa"/>
        <w:tblLayout w:type="fixed"/>
        <w:tblCellMar>
          <w:top w:w="0" w:type="dxa"/>
          <w:left w:w="0" w:type="dxa"/>
          <w:bottom w:w="0" w:type="dxa"/>
          <w:right w:w="0" w:type="dxa"/>
        </w:tblCellMar>
      </w:tblPr>
      <w:tblGrid>
        <w:gridCol w:w="3211"/>
        <w:gridCol w:w="326"/>
        <w:gridCol w:w="211"/>
        <w:gridCol w:w="781"/>
        <w:gridCol w:w="326"/>
        <w:gridCol w:w="211"/>
        <w:gridCol w:w="691"/>
        <w:gridCol w:w="37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38985" cy="175260"/>
                      <wp:effectExtent l="0" t="0" r="0" b="0"/>
                      <wp:wrapNone/>
                      <wp:docPr id="25" name="Frame2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6220" cy="175260"/>
                      <wp:effectExtent l="0" t="0" r="0" b="0"/>
                      <wp:wrapNone/>
                      <wp:docPr id="32" name="Frame3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612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20,195</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98,589</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 months ended March 31, 2025 and 2024, the table below provides reconciliations of these non-GAAP items to GAAP net income and GAAP diluted income per share, respectively:</w:t>
      </w:r>
    </w:p>
    <w:tbl>
      <w:tblPr>
        <w:tblW w:w="7797" w:type="dxa"/>
        <w:jc w:val="center"/>
        <w:tblInd w:w="0" w:type="dxa"/>
        <w:tblLayout w:type="fixed"/>
        <w:tblCellMar>
          <w:top w:w="0" w:type="dxa"/>
          <w:left w:w="0" w:type="dxa"/>
          <w:bottom w:w="0" w:type="dxa"/>
          <w:right w:w="0" w:type="dxa"/>
        </w:tblCellMar>
      </w:tblPr>
      <w:tblGrid>
        <w:gridCol w:w="4186"/>
        <w:gridCol w:w="456"/>
        <w:gridCol w:w="295"/>
        <w:gridCol w:w="947"/>
        <w:gridCol w:w="152"/>
        <w:gridCol w:w="295"/>
        <w:gridCol w:w="947"/>
        <w:gridCol w:w="519"/>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58110" cy="175260"/>
                      <wp:effectExtent l="0" t="0" r="0" b="0"/>
                      <wp:wrapNone/>
                      <wp:docPr id="33" name="Frame3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9560" cy="175260"/>
                      <wp:effectExtent l="0" t="0" r="0" b="0"/>
                      <wp:wrapNone/>
                      <wp:docPr id="34" name="Frame34"/>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7325" cy="175260"/>
                      <wp:effectExtent l="0" t="0" r="0" b="0"/>
                      <wp:wrapNone/>
                      <wp:docPr id="35" name="Frame3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1345" cy="175260"/>
                      <wp:effectExtent l="0" t="0" r="0" b="0"/>
                      <wp:wrapNone/>
                      <wp:docPr id="36" name="Frame36"/>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6520" cy="175260"/>
                      <wp:effectExtent l="0" t="0" r="0" b="0"/>
                      <wp:wrapNone/>
                      <wp:docPr id="37" name="Frame37"/>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7325" cy="175260"/>
                      <wp:effectExtent l="0" t="0" r="0" b="0"/>
                      <wp:wrapNone/>
                      <wp:docPr id="38" name="Frame3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01345" cy="175260"/>
                      <wp:effectExtent l="0" t="0" r="0" b="0"/>
                      <wp:wrapNone/>
                      <wp:docPr id="39" name="Frame39"/>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9565" cy="175260"/>
                      <wp:effectExtent l="0" t="0" r="0" b="0"/>
                      <wp:wrapNone/>
                      <wp:docPr id="40" name="Frame40"/>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6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2" w:type="dxa"/>
            <w:tcBorders/>
            <w:vAlign w:val="center"/>
          </w:tcPr>
          <w:p>
            <w:pPr>
              <w:pStyle w:val="TableContents"/>
              <w:bidi w:val="0"/>
              <w:spacing w:before="0" w:after="0"/>
              <w:ind w:left="0" w:right="0" w:hanging="0"/>
              <w:jc w:val="left"/>
              <w:rPr/>
            </w:pPr>
            <w:r>
              <w:rPr/>
              <w:t>​</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19" w:type="dxa"/>
            <w:tcBorders/>
            <w:vAlign w:val="center"/>
          </w:tcPr>
          <w:p>
            <w:pPr>
              <w:pStyle w:val="TableContents"/>
              <w:bidi w:val="0"/>
              <w:spacing w:before="0" w:after="0"/>
              <w:ind w:left="0" w:right="0" w:hanging="0"/>
              <w:jc w:val="left"/>
              <w:rPr/>
            </w:pPr>
            <w:r>
              <w:rPr/>
              <w:t>    </w:t>
            </w:r>
          </w:p>
        </w:tc>
      </w:tr>
      <w:tr>
        <w:trPr/>
        <w:tc>
          <w:tcPr>
            <w:tcW w:w="779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611"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c>
          <w:tcPr>
            <w:tcW w:w="51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pPr>
            <w:r>
              <w:rPr/>
              <w:t>—</w:t>
            </w:r>
          </w:p>
        </w:tc>
        <w:tc>
          <w:tcPr>
            <w:tcW w:w="51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effects of adjustments(1)</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152"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73,280</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69,633</w:t>
            </w:r>
          </w:p>
        </w:tc>
        <w:tc>
          <w:tcPr>
            <w:tcW w:w="51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51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(2)</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152"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51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 (3)</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1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152"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519"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$0.02 for both of the three months ended March 31, 2025 and 2024, respectively.</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the three months ended March 31,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4387</Words>
  <Characters>24463</Characters>
  <CharactersWithSpaces>29058</CharactersWithSpaces>
  <Paragraphs>1243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