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pe-20250630x10q.htm"/>
        <w:bookmarkStart w:id="1" w:name="kslope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db78ff5b_d46f_4ce4_8502_51501f9605ec"/>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wnmh6lSuM0-UAubf70Lnzg_2_1"/>
      <w:bookmarkStart w:id="4" w:name="Tc_0nvq-ksCYUuFZ59McmznLg_0_1"/>
      <w:bookmarkStart w:id="5" w:name="_3686098e_700e_402f_aca5_708f1036acad"/>
      <w:bookmarkStart w:id="6" w:name="Tc_wnmh6lSuM0-UAubf70Lnzg_2_1"/>
      <w:bookmarkStart w:id="7" w:name="Tc_0nvq-ksCYUuFZ59McmznLg_0_1"/>
      <w:bookmarkStart w:id="8" w:name="_3686098e_700e_402f_aca5_708f1036acad"/>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AND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June 30, 2025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 w:name="Tc_BW_DksZhkEeSDte9hWJECA_3_1"/>
      <w:bookmarkStart w:id="10" w:name="Tc_0Xwo55cXg0uCJxui5Im11Q_1_1"/>
      <w:bookmarkStart w:id="11" w:name="_2e915763_74e6_4785_9417_f193d4dd04bc"/>
      <w:bookmarkStart w:id="12" w:name="Tc_BW_DksZhkEeSDte9hWJECA_3_1"/>
      <w:bookmarkStart w:id="13" w:name="Tc_0Xwo55cXg0uCJxui5Im11Q_1_1"/>
      <w:bookmarkStart w:id="14" w:name="_2e915763_74e6_4785_9417_f193d4dd04bc"/>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5IkfHZ7PdEieCsctglKMZg_2_2"/>
      <w:bookmarkStart w:id="16" w:name="Tc_WaGKFVFiWEqfuDFD8as1bg_2_0"/>
      <w:bookmarkStart w:id="17" w:name="_ab6b0fdd_ca48_4162_a11d_9c80f8b48fcb"/>
      <w:bookmarkStart w:id="18" w:name="Tc_5IkfHZ7PdEieCsctglKMZg_2_2"/>
      <w:bookmarkStart w:id="19" w:name="Tc_WaGKFVFiWEqfuDFD8as1bg_2_0"/>
      <w:bookmarkStart w:id="20" w:name="_ab6b0fdd_ca48_4162_a11d_9c80f8b48fcb"/>
      <w:bookmarkEnd w:id="18"/>
      <w:bookmarkEnd w:id="19"/>
      <w:bookmarkEnd w:id="20"/>
    </w:p>
    <w:tbl>
      <w:tblPr>
        <w:tblW w:w="4693" w:type="dxa"/>
        <w:jc w:val="left"/>
        <w:tblInd w:w="0" w:type="dxa"/>
        <w:tblLayout w:type="fixed"/>
        <w:tblCellMar>
          <w:top w:w="0" w:type="dxa"/>
          <w:left w:w="0" w:type="dxa"/>
          <w:bottom w:w="0" w:type="dxa"/>
          <w:right w:w="0" w:type="dxa"/>
        </w:tblCellMar>
      </w:tblPr>
      <w:tblGrid>
        <w:gridCol w:w="2686"/>
        <w:gridCol w:w="326"/>
        <w:gridCol w:w="1681"/>
      </w:tblGrid>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1" w:name="Tc_nDRnRdYUI0egmfM4f4SjvQ_0_2"/>
      <w:bookmarkStart w:id="22" w:name="Tc_2h8foJzRDUGze-5PfVzqoQ_0_1"/>
      <w:bookmarkStart w:id="23" w:name="Tc_C_rbZ_7S-0iW_1ftSEci5Q_0_0"/>
      <w:bookmarkStart w:id="24" w:name="_e7d5e65e_9e52_4cbe_be02_5582863c8dcf"/>
      <w:bookmarkStart w:id="25" w:name="Tc_nDRnRdYUI0egmfM4f4SjvQ_0_2"/>
      <w:bookmarkStart w:id="26" w:name="Tc_2h8foJzRDUGze-5PfVzqoQ_0_1"/>
      <w:bookmarkStart w:id="27" w:name="Tc_C_rbZ_7S-0iW_1ftSEci5Q_0_0"/>
      <w:bookmarkStart w:id="28" w:name="_e7d5e65e_9e52_4cbe_be02_5582863c8dcf"/>
      <w:bookmarkEnd w:id="25"/>
      <w:bookmarkEnd w:id="26"/>
      <w:bookmarkEnd w:id="27"/>
      <w:bookmarkEnd w:id="28"/>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both"/>
        <w:rPr/>
      </w:pPr>
      <w:bookmarkStart w:id="29" w:name="_cp_table_9_2"/>
      <w:bookmarkEnd w:id="29"/>
      <w:r>
        <w:rPr>
          <w:u w:val="single"/>
        </w:rPr>
        <w:t>​ ​​ ​</w:t>
      </w: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firstLine="720"/>
        <w:jc w:val="left"/>
        <w:rPr/>
      </w:pPr>
      <w:r>
        <w:rPr/>
        <w:t>​</w:t>
      </w:r>
    </w:p>
    <w:tbl>
      <w:tblPr>
        <w:tblW w:w="5623" w:type="dxa"/>
        <w:jc w:val="left"/>
        <w:tblInd w:w="0" w:type="dxa"/>
        <w:tblLayout w:type="fixed"/>
        <w:tblCellMar>
          <w:top w:w="0" w:type="dxa"/>
          <w:left w:w="0" w:type="dxa"/>
          <w:bottom w:w="0" w:type="dxa"/>
          <w:right w:w="0" w:type="dxa"/>
        </w:tblCellMar>
      </w:tblPr>
      <w:tblGrid>
        <w:gridCol w:w="2416"/>
        <w:gridCol w:w="326"/>
        <w:gridCol w:w="2881"/>
      </w:tblGrid>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41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common stock outstanding as of August 1, 2025, was 28,087,210.</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5458cab2_f210_416b_ad5b_8626719c393c"/>
      <w:bookmarkEnd w:id="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Layout w:type="fixed"/>
        <w:tblCellMar>
          <w:top w:w="0" w:type="dxa"/>
          <w:left w:w="0" w:type="dxa"/>
          <w:bottom w:w="0" w:type="dxa"/>
          <w:right w:w="0" w:type="dxa"/>
        </w:tblCellMar>
      </w:tblPr>
      <w:tblGrid>
        <w:gridCol w:w="7936"/>
        <w:gridCol w:w="511"/>
      </w:tblGrid>
      <w:tr>
        <w:trPr/>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0"/>
              <w:ind w:left="0" w:right="0" w:hanging="0"/>
              <w:jc w:val="lef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36" w:type="dxa"/>
            <w:tcBorders/>
            <w:vAlign w:val="center"/>
          </w:tcPr>
          <w:p>
            <w:pPr>
              <w:pStyle w:val="TableContents"/>
              <w:bidi w:val="0"/>
              <w:spacing w:before="0" w:after="0"/>
              <w:ind w:left="0" w:right="0" w:hanging="0"/>
              <w:jc w:val="left"/>
              <w:rPr/>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3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93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36" w:type="dxa"/>
            <w:tcBorders/>
            <w:vAlign w:val="center"/>
          </w:tcPr>
          <w:p>
            <w:pPr>
              <w:pStyle w:val="TableContents"/>
              <w:bidi w:val="0"/>
              <w:spacing w:before="0" w:after="0"/>
              <w:ind w:left="0" w:right="0" w:hanging="0"/>
              <w:jc w:val="left"/>
              <w:rPr/>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PARTIFINANCIALINFORMATION_228034"/>
      <w:bookmarkStart w:id="33" w:name="_2e09b560_e2b9_4dc9_b66f_6b75ec3bcc4e"/>
      <w:bookmarkEnd w:id="32"/>
      <w:bookmarkEnd w:id="3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 w:name="Tc_7tgnf7hdnUmtBG9acU6qLw_22_0"/>
      <w:bookmarkStart w:id="36" w:name="Tc_pWYKgSDJaUqJ8k0Qo9g-ag_21_0"/>
      <w:bookmarkStart w:id="37" w:name="Tc_TY3-bJ9fCEeidjnnNCWh9A_20_10"/>
      <w:bookmarkStart w:id="38" w:name="Tc_5BrQZUaSlkqndPAEEbGrig_20_7"/>
      <w:bookmarkStart w:id="39" w:name="Tc_EP7qBZBrWUCcGXHtCLvcdw_20_4"/>
      <w:bookmarkStart w:id="40" w:name="Tc_jA3_GA9vRkO0U-Owe2k8jA_20_1"/>
      <w:bookmarkStart w:id="41" w:name="Tc_FLQTiKuEkkW7gAWL87A3TQ_20_0"/>
      <w:bookmarkStart w:id="42" w:name="Tc_QDR2iIB2cUGPMll93iIY7Q_19_10"/>
      <w:bookmarkStart w:id="43" w:name="Tc_h-OSEYuwX0WgYhTbkSu6LQ_19_7"/>
      <w:bookmarkStart w:id="44" w:name="Tc_dp9ykxhti0enePD8vvA10w_19_4"/>
      <w:bookmarkStart w:id="45" w:name="Tc_9LX2ao6oT0i0QdWDzSUXGA_19_1"/>
      <w:bookmarkStart w:id="46" w:name="Tc_h0zkoJurwUeO7KWpsMKopA_19_0"/>
      <w:bookmarkStart w:id="47" w:name="Tc_oUfCoWQbikaK2BOJQD0Sxw_18_0"/>
      <w:bookmarkStart w:id="48" w:name="Tc_ED2tZRz3lUKvCYIQcXhklQ_17_10"/>
      <w:bookmarkStart w:id="49" w:name="Tc_G33PpfyFFUWB33YS2Rl2BA_17_7"/>
      <w:bookmarkStart w:id="50" w:name="Tc_TMITUodysE65cpdV3SN3Iw_17_4"/>
      <w:bookmarkStart w:id="51" w:name="Tc_lj6pL8lH_kymcTGTZAx1BA_17_1"/>
      <w:bookmarkStart w:id="52" w:name="Tc_Jv9gUEMlfU2EiWsF_UZIfg_17_0"/>
      <w:bookmarkStart w:id="53" w:name="Tc_2qCQkKivyky-RuQO0nk3fw_16_0"/>
      <w:bookmarkStart w:id="54" w:name="Tc_TuQUzbY65UeyJq2-o9zDHA_15_0"/>
      <w:bookmarkStart w:id="55" w:name="Tc_vD0iFo9iYUqxbhmDzGp51w_14_0"/>
      <w:bookmarkStart w:id="56" w:name="Tc_4BrR4m8e6kOqtkRLLlzWFw_13_8"/>
      <w:bookmarkStart w:id="57" w:name="Tc_KBlCcXZOJkOwKF1Y5v1VDg_13_2"/>
      <w:bookmarkStart w:id="58" w:name="Tc_AlQYKRn370urPluFj2pvag_13_0"/>
      <w:bookmarkStart w:id="59" w:name="Tc_OnGlI31mqkCMa8chfywT-Q_12_0"/>
      <w:bookmarkStart w:id="60" w:name="Tc_b70Yc-xIs0GMY4An0RwUtQ_11_0"/>
      <w:bookmarkStart w:id="61" w:name="Tc_sL0WV2bwsEmvcu6k0NHegg_10_0"/>
      <w:bookmarkStart w:id="62" w:name="Tc_3FlB8CXDkEyyUDl1yaeqLA_9_0"/>
      <w:bookmarkStart w:id="63" w:name="Tc_hxwWTVikhEa2pzyAhoqPbA_8_0"/>
      <w:bookmarkStart w:id="64" w:name="Tc_xa_cgu97JE2R6Bu8tlsi1w_7_0"/>
      <w:bookmarkStart w:id="65" w:name="Tc_dE4wH-hfNEGZP78lilX4QQ_6_0"/>
      <w:bookmarkStart w:id="66" w:name="Tc_qC3dfz2k2UuhWmy5itP1kw_5_0"/>
      <w:bookmarkStart w:id="67" w:name="Tc_F3P7myurVk2g6VX_uYYeIw_4_10"/>
      <w:bookmarkStart w:id="68" w:name="Tc_dZ7HCw_gvEeNCtHBh8-Few_4_7"/>
      <w:bookmarkStart w:id="69" w:name="Tc_yuiOF13Zqk6yPiSJlwXUPg_4_4"/>
      <w:bookmarkStart w:id="70" w:name="Tc_vrg3a2fnr0imeTM1AK1F1w_4_1"/>
      <w:bookmarkStart w:id="71" w:name="Tc_oao2pL9W3EyasiIcslIiVQ_4_0"/>
      <w:bookmarkStart w:id="72" w:name="Tc_sruaG2SdKUi3-iPMl8bLag_3_10"/>
      <w:bookmarkStart w:id="73" w:name="Tc_NeULW-MsZEaK7ybLtk_wiA_3_7"/>
      <w:bookmarkStart w:id="74" w:name="Tc_GyZxTfbANUimsuUIrco32A_3_4"/>
      <w:bookmarkStart w:id="75" w:name="Tc_BJ5whqttAkKjZS87n05CZg_3_1"/>
      <w:bookmarkStart w:id="76" w:name="Tc_yLfbim_ztEuawSbgQ2psZQ_3_0"/>
      <w:bookmarkStart w:id="77" w:name="Tc__P2klfQmaUa64hM-tK9WvA_2_7"/>
      <w:bookmarkStart w:id="78" w:name="Tc_oYxqCoQc8kqmbXiITgC5bg_2_1"/>
      <w:bookmarkStart w:id="79" w:name="Tc_-rkzSsHyxEumCfDh-lbOOA_1_7"/>
      <w:bookmarkStart w:id="80" w:name="Tc_PzGLYbQrsEmx1mPph8tfKA_1_1"/>
      <w:bookmarkStart w:id="81" w:name="_3eb421a5_33df_466a_80ca_91955d2e906a"/>
      <w:bookmarkStart w:id="82" w:name="Tc_7tgnf7hdnUmtBG9acU6qLw_22_0"/>
      <w:bookmarkStart w:id="83" w:name="Tc_pWYKgSDJaUqJ8k0Qo9g-ag_21_0"/>
      <w:bookmarkStart w:id="84" w:name="Tc_TY3-bJ9fCEeidjnnNCWh9A_20_10"/>
      <w:bookmarkStart w:id="85" w:name="Tc_5BrQZUaSlkqndPAEEbGrig_20_7"/>
      <w:bookmarkStart w:id="86" w:name="Tc_EP7qBZBrWUCcGXHtCLvcdw_20_4"/>
      <w:bookmarkStart w:id="87" w:name="Tc_jA3_GA9vRkO0U-Owe2k8jA_20_1"/>
      <w:bookmarkStart w:id="88" w:name="Tc_FLQTiKuEkkW7gAWL87A3TQ_20_0"/>
      <w:bookmarkStart w:id="89" w:name="Tc_QDR2iIB2cUGPMll93iIY7Q_19_10"/>
      <w:bookmarkStart w:id="90" w:name="Tc_h-OSEYuwX0WgYhTbkSu6LQ_19_7"/>
      <w:bookmarkStart w:id="91" w:name="Tc_dp9ykxhti0enePD8vvA10w_19_4"/>
      <w:bookmarkStart w:id="92" w:name="Tc_9LX2ao6oT0i0QdWDzSUXGA_19_1"/>
      <w:bookmarkStart w:id="93" w:name="Tc_h0zkoJurwUeO7KWpsMKopA_19_0"/>
      <w:bookmarkStart w:id="94" w:name="Tc_oUfCoWQbikaK2BOJQD0Sxw_18_0"/>
      <w:bookmarkStart w:id="95" w:name="Tc_ED2tZRz3lUKvCYIQcXhklQ_17_10"/>
      <w:bookmarkStart w:id="96" w:name="Tc_G33PpfyFFUWB33YS2Rl2BA_17_7"/>
      <w:bookmarkStart w:id="97" w:name="Tc_TMITUodysE65cpdV3SN3Iw_17_4"/>
      <w:bookmarkStart w:id="98" w:name="Tc_lj6pL8lH_kymcTGTZAx1BA_17_1"/>
      <w:bookmarkStart w:id="99" w:name="Tc_Jv9gUEMlfU2EiWsF_UZIfg_17_0"/>
      <w:bookmarkStart w:id="100" w:name="Tc_2qCQkKivyky-RuQO0nk3fw_16_0"/>
      <w:bookmarkStart w:id="101" w:name="Tc_TuQUzbY65UeyJq2-o9zDHA_15_0"/>
      <w:bookmarkStart w:id="102" w:name="Tc_vD0iFo9iYUqxbhmDzGp51w_14_0"/>
      <w:bookmarkStart w:id="103" w:name="Tc_4BrR4m8e6kOqtkRLLlzWFw_13_8"/>
      <w:bookmarkStart w:id="104" w:name="Tc_KBlCcXZOJkOwKF1Y5v1VDg_13_2"/>
      <w:bookmarkStart w:id="105" w:name="Tc_AlQYKRn370urPluFj2pvag_13_0"/>
      <w:bookmarkStart w:id="106" w:name="Tc_OnGlI31mqkCMa8chfywT-Q_12_0"/>
      <w:bookmarkStart w:id="107" w:name="Tc_b70Yc-xIs0GMY4An0RwUtQ_11_0"/>
      <w:bookmarkStart w:id="108" w:name="Tc_sL0WV2bwsEmvcu6k0NHegg_10_0"/>
      <w:bookmarkStart w:id="109" w:name="Tc_3FlB8CXDkEyyUDl1yaeqLA_9_0"/>
      <w:bookmarkStart w:id="110" w:name="Tc_hxwWTVikhEa2pzyAhoqPbA_8_0"/>
      <w:bookmarkStart w:id="111" w:name="Tc_xa_cgu97JE2R6Bu8tlsi1w_7_0"/>
      <w:bookmarkStart w:id="112" w:name="Tc_dE4wH-hfNEGZP78lilX4QQ_6_0"/>
      <w:bookmarkStart w:id="113" w:name="Tc_qC3dfz2k2UuhWmy5itP1kw_5_0"/>
      <w:bookmarkStart w:id="114" w:name="Tc_F3P7myurVk2g6VX_uYYeIw_4_10"/>
      <w:bookmarkStart w:id="115" w:name="Tc_dZ7HCw_gvEeNCtHBh8-Few_4_7"/>
      <w:bookmarkStart w:id="116" w:name="Tc_yuiOF13Zqk6yPiSJlwXUPg_4_4"/>
      <w:bookmarkStart w:id="117" w:name="Tc_vrg3a2fnr0imeTM1AK1F1w_4_1"/>
      <w:bookmarkStart w:id="118" w:name="Tc_oao2pL9W3EyasiIcslIiVQ_4_0"/>
      <w:bookmarkStart w:id="119" w:name="Tc_sruaG2SdKUi3-iPMl8bLag_3_10"/>
      <w:bookmarkStart w:id="120" w:name="Tc_NeULW-MsZEaK7ybLtk_wiA_3_7"/>
      <w:bookmarkStart w:id="121" w:name="Tc_GyZxTfbANUimsuUIrco32A_3_4"/>
      <w:bookmarkStart w:id="122" w:name="Tc_BJ5whqttAkKjZS87n05CZg_3_1"/>
      <w:bookmarkStart w:id="123" w:name="Tc_yLfbim_ztEuawSbgQ2psZQ_3_0"/>
      <w:bookmarkStart w:id="124" w:name="Tc__P2klfQmaUa64hM-tK9WvA_2_7"/>
      <w:bookmarkStart w:id="125" w:name="Tc_oYxqCoQc8kqmbXiITgC5bg_2_1"/>
      <w:bookmarkStart w:id="126" w:name="Tc_-rkzSsHyxEumCfDh-lbOOA_1_7"/>
      <w:bookmarkStart w:id="127" w:name="Tc_PzGLYbQrsEmx1mPph8tfKA_1_1"/>
      <w:bookmarkStart w:id="128" w:name="_3eb421a5_33df_466a_80ca_91955d2e906a"/>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bl>
      <w:tblPr>
        <w:tblW w:w="8877" w:type="dxa"/>
        <w:jc w:val="left"/>
        <w:tblInd w:w="0" w:type="dxa"/>
        <w:tblLayout w:type="fixed"/>
        <w:tblCellMar>
          <w:top w:w="0" w:type="dxa"/>
          <w:left w:w="0" w:type="dxa"/>
          <w:bottom w:w="0" w:type="dxa"/>
          <w:right w:w="0" w:type="dxa"/>
        </w:tblCellMar>
      </w:tblPr>
      <w:tblGrid>
        <w:gridCol w:w="3886"/>
        <w:gridCol w:w="211"/>
        <w:gridCol w:w="781"/>
        <w:gridCol w:w="326"/>
        <w:gridCol w:w="211"/>
        <w:gridCol w:w="781"/>
        <w:gridCol w:w="326"/>
        <w:gridCol w:w="211"/>
        <w:gridCol w:w="781"/>
        <w:gridCol w:w="326"/>
        <w:gridCol w:w="211"/>
        <w:gridCol w:w="826"/>
      </w:tblGrid>
      <w:tr>
        <w:trPr/>
        <w:tc>
          <w:tcPr>
            <w:tcW w:w="38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33985" cy="175260"/>
                      <wp:effectExtent l="0" t="0" r="0" b="0"/>
                      <wp:wrapNone/>
                      <wp:docPr id="2" name="Frame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95935" cy="175260"/>
                      <wp:effectExtent l="0" t="0" r="0" b="0"/>
                      <wp:wrapNone/>
                      <wp:docPr id="3" name="Frame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24510" cy="175260"/>
                      <wp:effectExtent l="0" t="0" r="0" b="0"/>
                      <wp:wrapNone/>
                      <wp:docPr id="12" name="Frame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88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247,499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536,809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502,138</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80,126</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169,845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160,991</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108,248</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21,366</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184,744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396,997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374,941</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127,197</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7,841</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135,034</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32,146</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41,546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102,888</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29,372</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29,527</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9" w:name="_ccc24c1f_7c71_4179_808c_813bddd070bc"/>
      <w:bookmarkEnd w:id="129"/>
      <w:r>
        <w:rPr>
          <w:rFonts w:ascii="Times New Roman;Times;serif" w:hAnsi="Times New Roman;Times;serif"/>
          <w:b/>
          <w:sz w:val="20"/>
        </w:rPr>
        <w:t>GRAND CANYON EDUCATION,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130" w:name="Tc__Qlh_sgSPUyOoJ9Pd46epQ_40_5"/>
      <w:bookmarkStart w:id="131" w:name="Tc_85cQkbvsq0GamxAniiNXIg_40_2"/>
      <w:bookmarkStart w:id="132" w:name="Tc_frsrsR1AeUedEews-nLDpQ_40_0"/>
      <w:bookmarkStart w:id="133" w:name="Tc_ZIS_-TzqNUOVhk_D0jwdCg_39_0"/>
      <w:bookmarkStart w:id="134" w:name="Tc_ZjpT9S58lUOaU9aU7nsytw_38_0"/>
      <w:bookmarkStart w:id="135" w:name="Tc_6O-LkY9eO02Tg20H9vN7gw_37_6"/>
      <w:bookmarkStart w:id="136" w:name="Tc_-OxARv_B7Um9ju0rQmw_-w_37_0"/>
      <w:bookmarkStart w:id="137" w:name="Tc_5X7mLGdWWEOZ4dnLtzNtBw_36_0"/>
      <w:bookmarkStart w:id="138" w:name="Tc_TOiAgCbPV0uYXbD8vMNJuQ_35_0"/>
      <w:bookmarkStart w:id="139" w:name="Tc_Pw7Vp9iNcEqMLUb29Ez2wQ_34_0"/>
      <w:bookmarkStart w:id="140" w:name="Tc_KEHpw6RQKE24dZU8QiS1uw_33_6"/>
      <w:bookmarkStart w:id="141" w:name="Tc_S6kyWWKyjUq2U1HsX-vzHw_33_3"/>
      <w:bookmarkStart w:id="142" w:name="Tc_5u_5tRT2XEia-E9Tp4lk8g_33_0"/>
      <w:bookmarkStart w:id="143" w:name="Tc_qWjJx_xagEG8_mpwD_dPBA_32_0"/>
      <w:bookmarkStart w:id="144" w:name="Tc_wKq66nzQ-Ey4U4ypg0xutw_31_0"/>
      <w:bookmarkStart w:id="145" w:name="Tc_rpSu1ikYSE-4j47rToGnqw_30_0"/>
      <w:bookmarkStart w:id="146" w:name="Tc_DlMYGt3mI0ilrYy4LvAWBg_29_0"/>
      <w:bookmarkStart w:id="147" w:name="Tc_GERnccLN4ki-ys2L2GCFiw_28_0"/>
      <w:bookmarkStart w:id="148" w:name="Tc_GnyYOSU10kqBiN-KpRMfMw_27_0"/>
      <w:bookmarkStart w:id="149" w:name="Tc_pTN7Wxv-uU6c3rC6oKCPMw_26_0"/>
      <w:bookmarkStart w:id="150" w:name="Tc_rIr1oLaCi0KIoFakPX22pA_25_0"/>
      <w:bookmarkStart w:id="151" w:name="Tc_n2Go6BMGpkmiyII1je_pfg_24_6"/>
      <w:bookmarkStart w:id="152" w:name="Tc_1DYSOGHSckqb2zOhHGcYfA_24_0"/>
      <w:bookmarkStart w:id="153" w:name="Tc_pHNBFTItiEiTuTMl129FQw_23_0"/>
      <w:bookmarkStart w:id="154" w:name="Tc_n6TrnviPNUWPeMwCz1AA0w_22_0"/>
      <w:bookmarkStart w:id="155" w:name="Tc_wck6wsXXYk-UBisuOEwfeA_21_0"/>
      <w:bookmarkStart w:id="156" w:name="Tc_VMB7Cr4V70WNy0vOEhi8Wg_20_5"/>
      <w:bookmarkStart w:id="157" w:name="Tc_B4RME5M-jEuqRXwExe-XMA_20_2"/>
      <w:bookmarkStart w:id="158" w:name="Tc_5x6ted5EH0q_DuMr2RwNYA_20_0"/>
      <w:bookmarkStart w:id="159" w:name="Tc_3GUtZ4_ZiUWj0uI0d2hj3g_19_0"/>
      <w:bookmarkStart w:id="160" w:name="Tc_wvBGsRfWq0KwuVYtkxezpg_18_0"/>
      <w:bookmarkStart w:id="161" w:name="Tc_Q-ZBoLBze0eh6fYPSL1Oyw_17_5"/>
      <w:bookmarkStart w:id="162" w:name="Tc_YkzPtQljwUaScEzSNKU5uA_17_2"/>
      <w:bookmarkStart w:id="163" w:name="Tc_jJIxyRPb7ki1dDOCZrH2Lw_17_0"/>
      <w:bookmarkStart w:id="164" w:name="Tc_wL51FPTeTk60FdKlw3gqiQ_16_0"/>
      <w:bookmarkStart w:id="165" w:name="Tc_C3OFAwNlMUi66LXpfiEtzw_15_0"/>
      <w:bookmarkStart w:id="166" w:name="Tc_HpKO8efQAEOJefHX1zaznw_14_0"/>
      <w:bookmarkStart w:id="167" w:name="Tc_uikYtDYmfkqGmeQIcP83ug_13_0"/>
      <w:bookmarkStart w:id="168" w:name="Tc_gmtKHboadEyd8AqKXKOHHQ_12_0"/>
      <w:bookmarkStart w:id="169" w:name="Tc_hJNO45be-0aFgdfeytNA-A_11_0"/>
      <w:bookmarkStart w:id="170" w:name="Tc_8ju6MI1oskWgbKJuN8i6Jw_10_0"/>
      <w:bookmarkStart w:id="171" w:name="Tc_-h5JFMsVskS0cRNv98WU5A_9_0"/>
      <w:bookmarkStart w:id="172" w:name="Tc_PrN6iKlGEk2MFvi5AaL0FA_8_0"/>
      <w:bookmarkStart w:id="173" w:name="Tc_qVCorMLsnEyxIfG4GoI09g_7_6"/>
      <w:bookmarkStart w:id="174" w:name="Tc_GkOizk-NMUe-W5XvknIIvQ_7_0"/>
      <w:bookmarkStart w:id="175" w:name="Tc_v_fOfAij-kubKFhKVHbNcg_6_5"/>
      <w:bookmarkStart w:id="176" w:name="Tc_5JCkPGhQUkqViokXOQmb6g_6_2"/>
      <w:bookmarkStart w:id="177" w:name="Tc_r16cqgNbE06vZj49UOgtfg_6_0"/>
      <w:bookmarkStart w:id="178" w:name="Tc_dcglm1pFVUK9lrTJT5qExg_5_0"/>
      <w:bookmarkStart w:id="179" w:name="Tc_pi6QIX35t0CG5MD-KeOvNQ_4_0"/>
      <w:bookmarkStart w:id="180" w:name="Tc_nwA0DEyUzkWNK_ub9XynQA_3_2"/>
      <w:bookmarkStart w:id="181" w:name="Tc_awSMpwvGxEOza7eU-r3Mkg_2_5"/>
      <w:bookmarkStart w:id="182" w:name="Tc_oCUYXjdMNU6gS86TSlXvuA_2_2"/>
      <w:bookmarkStart w:id="183" w:name="Tc_EPo3YhuahU6ix8MvMNrd3w_2_0"/>
      <w:bookmarkStart w:id="184" w:name="Tc_hEi96jKUNkCc42ganIpL-Q_1_5"/>
      <w:bookmarkStart w:id="185" w:name="Tc_l5BZkE2PZ0-drVg8Jwru1A_1_2"/>
      <w:bookmarkStart w:id="186" w:name="_6c3c0cba_dd8e_483d_ae5e_303dce73d637"/>
      <w:bookmarkStart w:id="187" w:name="Tc__Qlh_sgSPUyOoJ9Pd46epQ_40_5"/>
      <w:bookmarkStart w:id="188" w:name="Tc_85cQkbvsq0GamxAniiNXIg_40_2"/>
      <w:bookmarkStart w:id="189" w:name="Tc_frsrsR1AeUedEews-nLDpQ_40_0"/>
      <w:bookmarkStart w:id="190" w:name="Tc_ZIS_-TzqNUOVhk_D0jwdCg_39_0"/>
      <w:bookmarkStart w:id="191" w:name="Tc_ZjpT9S58lUOaU9aU7nsytw_38_0"/>
      <w:bookmarkStart w:id="192" w:name="Tc_6O-LkY9eO02Tg20H9vN7gw_37_6"/>
      <w:bookmarkStart w:id="193" w:name="Tc_-OxARv_B7Um9ju0rQmw_-w_37_0"/>
      <w:bookmarkStart w:id="194" w:name="Tc_5X7mLGdWWEOZ4dnLtzNtBw_36_0"/>
      <w:bookmarkStart w:id="195" w:name="Tc_TOiAgCbPV0uYXbD8vMNJuQ_35_0"/>
      <w:bookmarkStart w:id="196" w:name="Tc_Pw7Vp9iNcEqMLUb29Ez2wQ_34_0"/>
      <w:bookmarkStart w:id="197" w:name="Tc_KEHpw6RQKE24dZU8QiS1uw_33_6"/>
      <w:bookmarkStart w:id="198" w:name="Tc_S6kyWWKyjUq2U1HsX-vzHw_33_3"/>
      <w:bookmarkStart w:id="199" w:name="Tc_5u_5tRT2XEia-E9Tp4lk8g_33_0"/>
      <w:bookmarkStart w:id="200" w:name="Tc_qWjJx_xagEG8_mpwD_dPBA_32_0"/>
      <w:bookmarkStart w:id="201" w:name="Tc_wKq66nzQ-Ey4U4ypg0xutw_31_0"/>
      <w:bookmarkStart w:id="202" w:name="Tc_rpSu1ikYSE-4j47rToGnqw_30_0"/>
      <w:bookmarkStart w:id="203" w:name="Tc_DlMYGt3mI0ilrYy4LvAWBg_29_0"/>
      <w:bookmarkStart w:id="204" w:name="Tc_GERnccLN4ki-ys2L2GCFiw_28_0"/>
      <w:bookmarkStart w:id="205" w:name="Tc_GnyYOSU10kqBiN-KpRMfMw_27_0"/>
      <w:bookmarkStart w:id="206" w:name="Tc_pTN7Wxv-uU6c3rC6oKCPMw_26_0"/>
      <w:bookmarkStart w:id="207" w:name="Tc_rIr1oLaCi0KIoFakPX22pA_25_0"/>
      <w:bookmarkStart w:id="208" w:name="Tc_n2Go6BMGpkmiyII1je_pfg_24_6"/>
      <w:bookmarkStart w:id="209" w:name="Tc_1DYSOGHSckqb2zOhHGcYfA_24_0"/>
      <w:bookmarkStart w:id="210" w:name="Tc_pHNBFTItiEiTuTMl129FQw_23_0"/>
      <w:bookmarkStart w:id="211" w:name="Tc_n6TrnviPNUWPeMwCz1AA0w_22_0"/>
      <w:bookmarkStart w:id="212" w:name="Tc_wck6wsXXYk-UBisuOEwfeA_21_0"/>
      <w:bookmarkStart w:id="213" w:name="Tc_VMB7Cr4V70WNy0vOEhi8Wg_20_5"/>
      <w:bookmarkStart w:id="214" w:name="Tc_B4RME5M-jEuqRXwExe-XMA_20_2"/>
      <w:bookmarkStart w:id="215" w:name="Tc_5x6ted5EH0q_DuMr2RwNYA_20_0"/>
      <w:bookmarkStart w:id="216" w:name="Tc_3GUtZ4_ZiUWj0uI0d2hj3g_19_0"/>
      <w:bookmarkStart w:id="217" w:name="Tc_wvBGsRfWq0KwuVYtkxezpg_18_0"/>
      <w:bookmarkStart w:id="218" w:name="Tc_Q-ZBoLBze0eh6fYPSL1Oyw_17_5"/>
      <w:bookmarkStart w:id="219" w:name="Tc_YkzPtQljwUaScEzSNKU5uA_17_2"/>
      <w:bookmarkStart w:id="220" w:name="Tc_jJIxyRPb7ki1dDOCZrH2Lw_17_0"/>
      <w:bookmarkStart w:id="221" w:name="Tc_wL51FPTeTk60FdKlw3gqiQ_16_0"/>
      <w:bookmarkStart w:id="222" w:name="Tc_C3OFAwNlMUi66LXpfiEtzw_15_0"/>
      <w:bookmarkStart w:id="223" w:name="Tc_HpKO8efQAEOJefHX1zaznw_14_0"/>
      <w:bookmarkStart w:id="224" w:name="Tc_uikYtDYmfkqGmeQIcP83ug_13_0"/>
      <w:bookmarkStart w:id="225" w:name="Tc_gmtKHboadEyd8AqKXKOHHQ_12_0"/>
      <w:bookmarkStart w:id="226" w:name="Tc_hJNO45be-0aFgdfeytNA-A_11_0"/>
      <w:bookmarkStart w:id="227" w:name="Tc_8ju6MI1oskWgbKJuN8i6Jw_10_0"/>
      <w:bookmarkStart w:id="228" w:name="Tc_-h5JFMsVskS0cRNv98WU5A_9_0"/>
      <w:bookmarkStart w:id="229" w:name="Tc_PrN6iKlGEk2MFvi5AaL0FA_8_0"/>
      <w:bookmarkStart w:id="230" w:name="Tc_qVCorMLsnEyxIfG4GoI09g_7_6"/>
      <w:bookmarkStart w:id="231" w:name="Tc_GkOizk-NMUe-W5XvknIIvQ_7_0"/>
      <w:bookmarkStart w:id="232" w:name="Tc_v_fOfAij-kubKFhKVHbNcg_6_5"/>
      <w:bookmarkStart w:id="233" w:name="Tc_5JCkPGhQUkqViokXOQmb6g_6_2"/>
      <w:bookmarkStart w:id="234" w:name="Tc_r16cqgNbE06vZj49UOgtfg_6_0"/>
      <w:bookmarkStart w:id="235" w:name="Tc_dcglm1pFVUK9lrTJT5qExg_5_0"/>
      <w:bookmarkStart w:id="236" w:name="Tc_pi6QIX35t0CG5MD-KeOvNQ_4_0"/>
      <w:bookmarkStart w:id="237" w:name="Tc_nwA0DEyUzkWNK_ub9XynQA_3_2"/>
      <w:bookmarkStart w:id="238" w:name="Tc_awSMpwvGxEOza7eU-r3Mkg_2_5"/>
      <w:bookmarkStart w:id="239" w:name="Tc_oCUYXjdMNU6gS86TSlXvuA_2_2"/>
      <w:bookmarkStart w:id="240" w:name="Tc_EPo3YhuahU6ix8MvMNrd3w_2_0"/>
      <w:bookmarkStart w:id="241" w:name="Tc_hEi96jKUNkCc42ganIpL-Q_1_5"/>
      <w:bookmarkStart w:id="242" w:name="Tc_l5BZkE2PZ0-drVg8Jwru1A_1_2"/>
      <w:bookmarkStart w:id="243" w:name="_6c3c0cba_dd8e_483d_ae5e_303dce73d63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tbl>
      <w:tblPr>
        <w:tblW w:w="10205" w:type="dxa"/>
        <w:jc w:val="left"/>
        <w:tblInd w:w="0" w:type="dxa"/>
        <w:tblLayout w:type="fixed"/>
        <w:tblCellMar>
          <w:top w:w="0" w:type="dxa"/>
          <w:left w:w="0" w:type="dxa"/>
          <w:bottom w:w="0" w:type="dxa"/>
          <w:right w:w="0" w:type="dxa"/>
        </w:tblCellMar>
      </w:tblPr>
      <w:tblGrid>
        <w:gridCol w:w="7230"/>
        <w:gridCol w:w="146"/>
        <w:gridCol w:w="211"/>
        <w:gridCol w:w="1014"/>
        <w:gridCol w:w="326"/>
        <w:gridCol w:w="211"/>
        <w:gridCol w:w="1067"/>
      </w:tblGrid>
      <w:tr>
        <w:trPr/>
        <w:tc>
          <w:tcPr>
            <w:tcW w:w="7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591050" cy="175260"/>
                      <wp:effectExtent l="0" t="0" r="0" b="0"/>
                      <wp:wrapNone/>
                      <wp:docPr id="13" name="Frame13"/>
                      <a:graphic xmlns:a="http://schemas.openxmlformats.org/drawingml/2006/main">
                        <a:graphicData uri="http://schemas.microsoft.com/office/word/2010/wordprocessingShape">
                          <wps:wsp>
                            <wps:cNvSpPr txBox="1"/>
                            <wps:spPr>
                              <a:xfrm>
                                <a:off x="0" y="0"/>
                                <a:ext cx="4591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2710" cy="175260"/>
                      <wp:effectExtent l="0" t="0" r="0" b="0"/>
                      <wp:wrapNone/>
                      <wp:docPr id="14" name="Frame1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3890" cy="175260"/>
                      <wp:effectExtent l="0" t="0" r="0" b="0"/>
                      <wp:wrapNone/>
                      <wp:docPr id="16" name="Frame16"/>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77545" cy="175260"/>
                      <wp:effectExtent l="0" t="0" r="0" b="0"/>
                      <wp:wrapNone/>
                      <wp:docPr id="19" name="Frame19"/>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0"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27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vAlign w:val="center"/>
          </w:tcPr>
          <w:p>
            <w:pPr>
              <w:pStyle w:val="TableContents"/>
              <w:bidi w:val="0"/>
              <w:spacing w:before="0" w:after="0"/>
              <w:ind w:left="0" w:right="0" w:hanging="0"/>
              <w:jc w:val="left"/>
              <w:rPr/>
            </w:pPr>
            <w:r>
              <w:rPr/>
              <w:t> </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2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3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7" w:type="dxa"/>
            <w:tcBorders/>
            <w:vAlign w:val="center"/>
          </w:tcPr>
          <w:p>
            <w:pPr>
              <w:pStyle w:val="TableContents"/>
              <w:bidi w:val="0"/>
              <w:spacing w:before="0" w:after="0"/>
              <w:ind w:left="0" w:right="0" w:hanging="0"/>
              <w:jc w:val="center"/>
              <w:rPr/>
            </w:pPr>
            <w:r>
              <w:rPr/>
              <w:t>​</w:t>
            </w:r>
          </w:p>
        </w:tc>
      </w:tr>
      <w:tr>
        <w:trPr/>
        <w:tc>
          <w:tcPr>
            <w:tcW w:w="7230"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1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7" w:type="dxa"/>
            <w:tcBorders/>
            <w:shd w:fill="CCEEFF" w:val="clear"/>
            <w:vAlign w:val="center"/>
          </w:tcPr>
          <w:p>
            <w:pPr>
              <w:pStyle w:val="TableContents"/>
              <w:bidi w:val="0"/>
              <w:spacing w:before="0" w:after="0"/>
              <w:ind w:left="0" w:right="0" w:hanging="0"/>
              <w:jc w:val="center"/>
              <w:rPr/>
            </w:pPr>
            <w:r>
              <w:rPr/>
              <w:t>​</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pPr>
            <w:r>
              <w:rPr/>
              <w:t>  </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324,623</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pPr>
            <w:r>
              <w:rPr/>
              <w:t>—</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82,948</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11,915</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422,481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419,976</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176,823</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99,541</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159,962</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1,021,007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1,018,425</w:t>
            </w:r>
          </w:p>
        </w:tc>
      </w:tr>
      <w:tr>
        <w:trPr/>
        <w:tc>
          <w:tcPr>
            <w:tcW w:w="7230"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pPr>
            <w:r>
              <w:rPr/>
              <w:t>  </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pPr>
            <w:r>
              <w:rPr/>
              <w:t>  </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26,721</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33,183</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29,620</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8,559</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pPr>
            <w:r>
              <w:rPr/>
              <w:t>—</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12,883</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110,966</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26,527</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95,635</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234,572</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pPr>
            <w:r>
              <w:rPr/>
              <w:t>  </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pPr>
            <w:r>
              <w:rPr/>
              <w:t>  </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June 30, 2025 and December 31, 2024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pPr>
            <w:r>
              <w:rPr/>
              <w:t>—</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54,178 and 54,090 shares issued and 28,234 and 28,858 shares outstanding at June 30, 2025 and December 31, 2024,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at cost, 25,944 and 25,232 shares of common stock at June 30, 2025 and December 31, 2024, respectively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(2,150,693)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(2,024,370)</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343,852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336,736</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gain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pPr>
            <w:r>
              <w:rPr/>
              <w:t>—</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2,584,110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2,470,946</w:t>
            </w:r>
          </w:p>
        </w:tc>
      </w:tr>
      <w:tr>
        <w:trPr/>
        <w:tc>
          <w:tcPr>
            <w:tcW w:w="7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777,976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783,853</w:t>
            </w:r>
          </w:p>
        </w:tc>
      </w:tr>
      <w:tr>
        <w:trPr/>
        <w:tc>
          <w:tcPr>
            <w:tcW w:w="7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1,018,425</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4" w:name="_66e34456_e938_4e7a_9f69_920be6d5c873"/>
      <w:bookmarkEnd w:id="244"/>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45" w:name="Tc_mhrKSUBNyEqlPkixZczqVQ_7_10"/>
      <w:bookmarkStart w:id="246" w:name="Tc_f1cn7iuyiEaAIUnzeqx9sg_7_7"/>
      <w:bookmarkStart w:id="247" w:name="Tc_SjnrAhPz5023huoRFmJsRg_7_4"/>
      <w:bookmarkStart w:id="248" w:name="Tc_ySJJ76YBwU2vUfBJPqYplg_7_1"/>
      <w:bookmarkStart w:id="249" w:name="Tc_wuVRA47vIUeyNHLGGRUDZA_7_0"/>
      <w:bookmarkStart w:id="250" w:name="Tc_iNMSP6TFgUO1hN44tAW-kw_6_0"/>
      <w:bookmarkStart w:id="251" w:name="Tc_1AqLkwg9KEq-K0fwP4KZvw_5_0"/>
      <w:bookmarkStart w:id="252" w:name="Tc_CL430PPtt0eFM7ceatoklg_4_10"/>
      <w:bookmarkStart w:id="253" w:name="Tc_vNxcFJNu6ECLR0PWcZ0nzw_4_7"/>
      <w:bookmarkStart w:id="254" w:name="Tc_KQ4vKg7zDEGjMWUiXihAng_4_4"/>
      <w:bookmarkStart w:id="255" w:name="Tc_MwysI3-uK0-k1Lp3DJOpbA_4_1"/>
      <w:bookmarkStart w:id="256" w:name="Tc_k9Q8xePKo0OOozlN1qXBAg_4_0"/>
      <w:bookmarkStart w:id="257" w:name="Tc_oGwY-HKjfEWkcgJLmIxZdg_3_10"/>
      <w:bookmarkStart w:id="258" w:name="Tc_TtL0FbIwME6C69vVE2RCPg_3_7"/>
      <w:bookmarkStart w:id="259" w:name="Tc_-4jLx5DB_kmWfwmWrzzbqA_3_4"/>
      <w:bookmarkStart w:id="260" w:name="Tc_rxCMM4GIVEeB0_HTfZHjcg_3_1"/>
      <w:bookmarkStart w:id="261" w:name="Tc_jofHt5nrrESv6uzKNOFjqg_3_0"/>
      <w:bookmarkStart w:id="262" w:name="Tc_Fa9GS7mVa02oERvjCGSghg_2_7"/>
      <w:bookmarkStart w:id="263" w:name="Tc__hXK2yDuw0G5iJ-N_Ye9yw_2_1"/>
      <w:bookmarkStart w:id="264" w:name="Tc_e2-KqlwnUU-Ybpm1x73SjQ_1_7"/>
      <w:bookmarkStart w:id="265" w:name="Tc_2CcHi4a9CU-pst0N2yT7GQ_1_1"/>
      <w:bookmarkStart w:id="266" w:name="_743169c8_3c37_4d4a_98c4_685ccd32df4d"/>
      <w:bookmarkStart w:id="267" w:name="Tc_mhrKSUBNyEqlPkixZczqVQ_7_10"/>
      <w:bookmarkStart w:id="268" w:name="Tc_f1cn7iuyiEaAIUnzeqx9sg_7_7"/>
      <w:bookmarkStart w:id="269" w:name="Tc_SjnrAhPz5023huoRFmJsRg_7_4"/>
      <w:bookmarkStart w:id="270" w:name="Tc_ySJJ76YBwU2vUfBJPqYplg_7_1"/>
      <w:bookmarkStart w:id="271" w:name="Tc_wuVRA47vIUeyNHLGGRUDZA_7_0"/>
      <w:bookmarkStart w:id="272" w:name="Tc_iNMSP6TFgUO1hN44tAW-kw_6_0"/>
      <w:bookmarkStart w:id="273" w:name="Tc_1AqLkwg9KEq-K0fwP4KZvw_5_0"/>
      <w:bookmarkStart w:id="274" w:name="Tc_CL430PPtt0eFM7ceatoklg_4_10"/>
      <w:bookmarkStart w:id="275" w:name="Tc_vNxcFJNu6ECLR0PWcZ0nzw_4_7"/>
      <w:bookmarkStart w:id="276" w:name="Tc_KQ4vKg7zDEGjMWUiXihAng_4_4"/>
      <w:bookmarkStart w:id="277" w:name="Tc_MwysI3-uK0-k1Lp3DJOpbA_4_1"/>
      <w:bookmarkStart w:id="278" w:name="Tc_k9Q8xePKo0OOozlN1qXBAg_4_0"/>
      <w:bookmarkStart w:id="279" w:name="Tc_oGwY-HKjfEWkcgJLmIxZdg_3_10"/>
      <w:bookmarkStart w:id="280" w:name="Tc_TtL0FbIwME6C69vVE2RCPg_3_7"/>
      <w:bookmarkStart w:id="281" w:name="Tc_-4jLx5DB_kmWfwmWrzzbqA_3_4"/>
      <w:bookmarkStart w:id="282" w:name="Tc_rxCMM4GIVEeB0_HTfZHjcg_3_1"/>
      <w:bookmarkStart w:id="283" w:name="Tc_jofHt5nrrESv6uzKNOFjqg_3_0"/>
      <w:bookmarkStart w:id="284" w:name="Tc_Fa9GS7mVa02oERvjCGSghg_2_7"/>
      <w:bookmarkStart w:id="285" w:name="Tc__hXK2yDuw0G5iJ-N_Ye9yw_2_1"/>
      <w:bookmarkStart w:id="286" w:name="Tc_e2-KqlwnUU-Ybpm1x73SjQ_1_7"/>
      <w:bookmarkStart w:id="287" w:name="Tc_2CcHi4a9CU-pst0N2yT7GQ_1_1"/>
      <w:bookmarkStart w:id="288" w:name="_743169c8_3c37_4d4a_98c4_685ccd32df4d"/>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tbl>
      <w:tblPr>
        <w:tblW w:w="10205" w:type="dxa"/>
        <w:jc w:val="left"/>
        <w:tblInd w:w="0" w:type="dxa"/>
        <w:tblLayout w:type="fixed"/>
        <w:tblCellMar>
          <w:top w:w="0" w:type="dxa"/>
          <w:left w:w="0" w:type="dxa"/>
          <w:bottom w:w="0" w:type="dxa"/>
          <w:right w:w="0" w:type="dxa"/>
        </w:tblCellMar>
      </w:tblPr>
      <w:tblGrid>
        <w:gridCol w:w="5364"/>
        <w:gridCol w:w="211"/>
        <w:gridCol w:w="676"/>
        <w:gridCol w:w="326"/>
        <w:gridCol w:w="211"/>
        <w:gridCol w:w="676"/>
        <w:gridCol w:w="326"/>
        <w:gridCol w:w="211"/>
        <w:gridCol w:w="781"/>
        <w:gridCol w:w="326"/>
        <w:gridCol w:w="211"/>
        <w:gridCol w:w="886"/>
      </w:tblGrid>
      <w:tr>
        <w:trPr/>
        <w:tc>
          <w:tcPr>
            <w:tcW w:w="536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29260" cy="175260"/>
                      <wp:effectExtent l="0" t="0" r="0" b="0"/>
                      <wp:wrapNone/>
                      <wp:docPr id="21" name="Frame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9260" cy="175260"/>
                      <wp:effectExtent l="0" t="0" r="0" b="0"/>
                      <wp:wrapNone/>
                      <wp:docPr id="24" name="Frame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95935" cy="175260"/>
                      <wp:effectExtent l="0" t="0" r="0" b="0"/>
                      <wp:wrapNone/>
                      <wp:docPr id="27" name="Frame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62610" cy="175260"/>
                      <wp:effectExtent l="0" t="0" r="0" b="0"/>
                      <wp:wrapNone/>
                      <wp:docPr id="30" name="Frame3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64"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4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364"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102,888</w:t>
            </w:r>
          </w:p>
        </w:tc>
      </w:tr>
      <w:tr>
        <w:trPr/>
        <w:tc>
          <w:tcPr>
            <w:tcW w:w="53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securities, net of taxes of $52 and $4 for the three months ended June 30, 2025 and 2024, respectively, and $51 and $22 for the six months ended June 30, 2025 and 2024, respectively</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53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102,819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9" w:name="_64d0ff9f_a5a7_4c7b_a9e9_f5ace15f3806"/>
      <w:bookmarkEnd w:id="289"/>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90" w:name="Tc_xilgwMQBEE2ou7IsJ1EbuA_16_21"/>
      <w:bookmarkStart w:id="291" w:name="Tc_04l6x4UKN0igDZ1xBtvThg_16_18"/>
      <w:bookmarkStart w:id="292" w:name="Tc_QX7ABSQ4JUSB1TK4OfFtOQ_16_15"/>
      <w:bookmarkStart w:id="293" w:name="Tc_KBWNM_8E6EqeL8Ys0IR4mQ_16_12"/>
      <w:bookmarkStart w:id="294" w:name="Tc_6HJAk6PVJ0SYRkUVCA7ehg_16_9"/>
      <w:bookmarkStart w:id="295" w:name="Tc_xHzE2FSjNk-k9DIwdMZ4bg_16_4"/>
      <w:bookmarkStart w:id="296" w:name="Tc_SAPiJW_2_EaocY1Usbm8sA_16_0"/>
      <w:bookmarkStart w:id="297" w:name="Tc_o_kvwxKAYUSaNN_anuzTDw_15_19"/>
      <w:bookmarkStart w:id="298" w:name="Tc_Kx1Lex9RpEOgU5nTYOj3LQ_15_16"/>
      <w:bookmarkStart w:id="299" w:name="Tc_UKYqE-pFX0-NebHImlst6g_15_10"/>
      <w:bookmarkStart w:id="300" w:name="Tc__6sNHbaNmku7VIhVq1eI5A_15_7"/>
      <w:bookmarkStart w:id="301" w:name="Tc_v9puXI0Xy0qBZWKp-KdAfw_15_5"/>
      <w:bookmarkStart w:id="302" w:name="Tc_0Isk9EAJQUKMtEdJH2C4Cg_15_0"/>
      <w:bookmarkStart w:id="303" w:name="Tc_dtsKy-QFkUaO1zq49tzT5Q_14_22"/>
      <w:bookmarkStart w:id="304" w:name="Tc_h0XUhQnfQ0aHxvgEhwxfIQ_14_19"/>
      <w:bookmarkStart w:id="305" w:name="Tc_Pjs4dd4jD0KCprdQX8PwIg_14_16"/>
      <w:bookmarkStart w:id="306" w:name="Tc_At1jUG-gMUmHsowuyxiOCA_14_13"/>
      <w:bookmarkStart w:id="307" w:name="Tc_Zqj4C_IDckOPA_SIiYO_mg_14_10"/>
      <w:bookmarkStart w:id="308" w:name="Tc_zhCkCC_nHkqSTKesILqugg_14_5"/>
      <w:bookmarkStart w:id="309" w:name="Tc_0dCtRHLBhUyCZclDJWWUDA_14_2"/>
      <w:bookmarkStart w:id="310" w:name="Tc_NXEyF1W0CUuq2R7BgKmMWg_14_0"/>
      <w:bookmarkStart w:id="311" w:name="Tc_RddIVKD8vEifK318qNR39A_13_19"/>
      <w:bookmarkStart w:id="312" w:name="Tc__aJ9lF0GykyL3p7HwnICTg_13_16"/>
      <w:bookmarkStart w:id="313" w:name="Tc_kTcuig2NNUag56EDJJ_4qw_13_13"/>
      <w:bookmarkStart w:id="314" w:name="Tc__UXrlXaoDU-6l5es4OijGA_13_5"/>
      <w:bookmarkStart w:id="315" w:name="Tc_asM6YWW6MUSmBeVMqyNGqA_13_2"/>
      <w:bookmarkStart w:id="316" w:name="Tc_T7Z7Hg-w6k6CVVrb-qXyLA_13_0"/>
      <w:bookmarkStart w:id="317" w:name="Tc_gm8dzJ_xgUSFIg4_NppX1w_12_13"/>
      <w:bookmarkStart w:id="318" w:name="Tc_uycmXU2dAkuroTEN0S88aw_12_10"/>
      <w:bookmarkStart w:id="319" w:name="Tc_zV_pQYx3uUqI1LtIFQEb9w_12_7"/>
      <w:bookmarkStart w:id="320" w:name="Tc_HOwtm7_NXUaLf14juXuTeQ_12_5"/>
      <w:bookmarkStart w:id="321" w:name="Tc_c3593hU6bUSbYACaz5EJIg_12_2"/>
      <w:bookmarkStart w:id="322" w:name="Tc_Hozmw4iUHkK9Q-OaxFHOHQ_12_0"/>
      <w:bookmarkStart w:id="323" w:name="Tc_x57GfZtWwUeuHuDe8v-Kmg_11_21"/>
      <w:bookmarkStart w:id="324" w:name="Tc_1gIcAraEmE6pE8glYPoqkQ_11_18"/>
      <w:bookmarkStart w:id="325" w:name="Tc_fR5wgi9qvkS0NjsWVtoGfw_11_15"/>
      <w:bookmarkStart w:id="326" w:name="Tc_MUMNnCuYTEeYcWpL7edReg_11_12"/>
      <w:bookmarkStart w:id="327" w:name="Tc_Ryxc-m5fZk2km3oPlhzgfg_11_9"/>
      <w:bookmarkStart w:id="328" w:name="Tc_XWie4jfmPEGsXCeX70IdRg_11_4"/>
      <w:bookmarkStart w:id="329" w:name="Tc_zOWSqv5nn0iGt__hJ7O4hg_11_0"/>
      <w:bookmarkStart w:id="330" w:name="Tc_urQ_B7fU80ObgVFS_n2wVA_10_19"/>
      <w:bookmarkStart w:id="331" w:name="Tc_Is3CpGcDaUKUVj7RuNBB9A_10_16"/>
      <w:bookmarkStart w:id="332" w:name="Tc_Pkzw2g7sM0iH-WWKHXS7Zg_10_0"/>
      <w:bookmarkStart w:id="333" w:name="Tc__P_8PFedCEGIfM1FAbh2tQ_9_22"/>
      <w:bookmarkStart w:id="334" w:name="Tc_hUtF3F-TQUS6nrJMlIFT9g_9_19"/>
      <w:bookmarkStart w:id="335" w:name="Tc_072lUekyrkCsjw6HVxe4Zg_9_16"/>
      <w:bookmarkStart w:id="336" w:name="Tc_Q7CRSEMQ50SAUINv5DCQGA_9_13"/>
      <w:bookmarkStart w:id="337" w:name="Tc_ZwYU-57sLUeCjTMvx0RVhQ_9_10"/>
      <w:bookmarkStart w:id="338" w:name="Tc_l7MSw54hwEGAvyXPt4v4bA_9_7"/>
      <w:bookmarkStart w:id="339" w:name="Tc_HYpxnwTaikWYJRZf7_oyHg_9_5"/>
      <w:bookmarkStart w:id="340" w:name="Tc_eLVJT7l9O0CVGyhyZ3QHRw_9_2"/>
      <w:bookmarkStart w:id="341" w:name="Tc_m0NNd7kIGEuNtD4P-CaSEQ_9_0"/>
      <w:bookmarkStart w:id="342" w:name="Tc_iXNAcREyi06VlsHbkODTBg_8_19"/>
      <w:bookmarkStart w:id="343" w:name="Tc_tnljeoQ1f0GwhEQ0FXNRrQ_8_16"/>
      <w:bookmarkStart w:id="344" w:name="Tc_DlP-kQQxeUKob_xDtF5H2w_8_13"/>
      <w:bookmarkStart w:id="345" w:name="Tc_hOqeKVbrkEehXkYrJwAEsg_8_5"/>
      <w:bookmarkStart w:id="346" w:name="Tc_--Lfu_RFlkGIP6X9RTBS7w_8_2"/>
      <w:bookmarkStart w:id="347" w:name="Tc_Rf008L1gm0aE2hhFMb_cYg_8_0"/>
      <w:bookmarkStart w:id="348" w:name="Tc_gSIgYvtQdUyof_GzCL4t6w_7_13"/>
      <w:bookmarkStart w:id="349" w:name="Tc_AWDCd5vUBUmtdN8_X7K5ag_7_10"/>
      <w:bookmarkStart w:id="350" w:name="Tc_euZDbU-3fU2oO-FGuvrwlw_7_7"/>
      <w:bookmarkStart w:id="351" w:name="Tc_E3qQAnmdNkCEtx9ZlxbT2A_7_5"/>
      <w:bookmarkStart w:id="352" w:name="Tc_iNcrHCUzcUOdaZtwTixemw_7_2"/>
      <w:bookmarkStart w:id="353" w:name="Tc_YaTBCnS4Fk-zQ8IAhtl1cw_7_0"/>
      <w:bookmarkStart w:id="354" w:name="Tc_tmQWb00Tt0SyGoKm1p9aBQ_6_21"/>
      <w:bookmarkStart w:id="355" w:name="Tc_1AGovzvrtUaouNylFmqUMw_6_18"/>
      <w:bookmarkStart w:id="356" w:name="Tc_lqHKQT82ZEu5FBEHa5KFzg_6_16"/>
      <w:bookmarkStart w:id="357" w:name="Tc_3qRziQS75kWTaEpSwzH7bw_6_15"/>
      <w:bookmarkStart w:id="358" w:name="Tc_qrbkK1V8pEK3ZzYb1XZ_-A_6_12"/>
      <w:bookmarkStart w:id="359" w:name="Tc_J6a2r4ixzEGJ2o7eUno7cA_6_9"/>
      <w:bookmarkStart w:id="360" w:name="Tc_XCOrNK8kvEOyEpHkG_XZ0w_6_4"/>
      <w:bookmarkStart w:id="361" w:name="Tc_Q5GBZCiPUUeneVDT4rh_ow_6_0"/>
      <w:bookmarkStart w:id="362" w:name="Tc_wp9eVHPbe0WvdqOxEpk5Cg_5_21"/>
      <w:bookmarkStart w:id="363" w:name="Tc_MjRnw8Ztt0Kuv95Hr40QYA_5_18"/>
      <w:bookmarkStart w:id="364" w:name="Tc_2BzdUSuxw0CYdKKv25_LWQ_5_15"/>
      <w:bookmarkStart w:id="365" w:name="Tc_fgMznhsTd06z-6EK-3pSEg_5_12"/>
      <w:bookmarkStart w:id="366" w:name="Tc_V2-r01PkxkG061czssNcgw_5_9"/>
      <w:bookmarkStart w:id="367" w:name="Tc_0iZjgGuWUE2K3or8Sw4cXg_5_7"/>
      <w:bookmarkStart w:id="368" w:name="Tc_YBtXIHZCwUuLRRt3-bl7mw_5_4"/>
      <w:bookmarkStart w:id="369" w:name="Tc_ejs2JzeUB0uChOWJ0fAUaw_5_2"/>
      <w:bookmarkStart w:id="370" w:name="Tc_sif0mqz53kioB4valK9ciQ_4_18"/>
      <w:bookmarkStart w:id="371" w:name="Tc_JTmC1GcEU0CK8KlC8LSLwQ_4_15"/>
      <w:bookmarkStart w:id="372" w:name="Tc_6ss-1D_VzUyMFxftBbePtA_4_12"/>
      <w:bookmarkStart w:id="373" w:name="Tc_uuT08EhpFEWRFl9YdNnLmA_4_7"/>
      <w:bookmarkStart w:id="374" w:name="Tc_0esKoPOBMUaZQArLIw6-Fw_4_2"/>
      <w:bookmarkStart w:id="375" w:name="Tc_C7t1sQTwJEWe90-MdopmWA_3_15"/>
      <w:bookmarkStart w:id="376" w:name="Tc_HT-ywtek_UWNZfnVV9emCg_3_12"/>
      <w:bookmarkStart w:id="377" w:name="Tc_Ntg5OMg-X0y57pxGhkVs4A_2_15"/>
      <w:bookmarkStart w:id="378" w:name="Tc_jnz1psP36EOi1AoBsJck7w_1_2"/>
      <w:bookmarkStart w:id="379" w:name="_6c2148fc_67e0_4c26_b347_3f3814c45b99"/>
      <w:bookmarkStart w:id="380" w:name="Tc_xilgwMQBEE2ou7IsJ1EbuA_16_21"/>
      <w:bookmarkStart w:id="381" w:name="Tc_04l6x4UKN0igDZ1xBtvThg_16_18"/>
      <w:bookmarkStart w:id="382" w:name="Tc_QX7ABSQ4JUSB1TK4OfFtOQ_16_15"/>
      <w:bookmarkStart w:id="383" w:name="Tc_KBWNM_8E6EqeL8Ys0IR4mQ_16_12"/>
      <w:bookmarkStart w:id="384" w:name="Tc_6HJAk6PVJ0SYRkUVCA7ehg_16_9"/>
      <w:bookmarkStart w:id="385" w:name="Tc_xHzE2FSjNk-k9DIwdMZ4bg_16_4"/>
      <w:bookmarkStart w:id="386" w:name="Tc_SAPiJW_2_EaocY1Usbm8sA_16_0"/>
      <w:bookmarkStart w:id="387" w:name="Tc_o_kvwxKAYUSaNN_anuzTDw_15_19"/>
      <w:bookmarkStart w:id="388" w:name="Tc_Kx1Lex9RpEOgU5nTYOj3LQ_15_16"/>
      <w:bookmarkStart w:id="389" w:name="Tc_UKYqE-pFX0-NebHImlst6g_15_10"/>
      <w:bookmarkStart w:id="390" w:name="Tc__6sNHbaNmku7VIhVq1eI5A_15_7"/>
      <w:bookmarkStart w:id="391" w:name="Tc_v9puXI0Xy0qBZWKp-KdAfw_15_5"/>
      <w:bookmarkStart w:id="392" w:name="Tc_0Isk9EAJQUKMtEdJH2C4Cg_15_0"/>
      <w:bookmarkStart w:id="393" w:name="Tc_dtsKy-QFkUaO1zq49tzT5Q_14_22"/>
      <w:bookmarkStart w:id="394" w:name="Tc_h0XUhQnfQ0aHxvgEhwxfIQ_14_19"/>
      <w:bookmarkStart w:id="395" w:name="Tc_Pjs4dd4jD0KCprdQX8PwIg_14_16"/>
      <w:bookmarkStart w:id="396" w:name="Tc_At1jUG-gMUmHsowuyxiOCA_14_13"/>
      <w:bookmarkStart w:id="397" w:name="Tc_Zqj4C_IDckOPA_SIiYO_mg_14_10"/>
      <w:bookmarkStart w:id="398" w:name="Tc_zhCkCC_nHkqSTKesILqugg_14_5"/>
      <w:bookmarkStart w:id="399" w:name="Tc_0dCtRHLBhUyCZclDJWWUDA_14_2"/>
      <w:bookmarkStart w:id="400" w:name="Tc_NXEyF1W0CUuq2R7BgKmMWg_14_0"/>
      <w:bookmarkStart w:id="401" w:name="Tc_RddIVKD8vEifK318qNR39A_13_19"/>
      <w:bookmarkStart w:id="402" w:name="Tc__aJ9lF0GykyL3p7HwnICTg_13_16"/>
      <w:bookmarkStart w:id="403" w:name="Tc_kTcuig2NNUag56EDJJ_4qw_13_13"/>
      <w:bookmarkStart w:id="404" w:name="Tc__UXrlXaoDU-6l5es4OijGA_13_5"/>
      <w:bookmarkStart w:id="405" w:name="Tc_asM6YWW6MUSmBeVMqyNGqA_13_2"/>
      <w:bookmarkStart w:id="406" w:name="Tc_T7Z7Hg-w6k6CVVrb-qXyLA_13_0"/>
      <w:bookmarkStart w:id="407" w:name="Tc_gm8dzJ_xgUSFIg4_NppX1w_12_13"/>
      <w:bookmarkStart w:id="408" w:name="Tc_uycmXU2dAkuroTEN0S88aw_12_10"/>
      <w:bookmarkStart w:id="409" w:name="Tc_zV_pQYx3uUqI1LtIFQEb9w_12_7"/>
      <w:bookmarkStart w:id="410" w:name="Tc_HOwtm7_NXUaLf14juXuTeQ_12_5"/>
      <w:bookmarkStart w:id="411" w:name="Tc_c3593hU6bUSbYACaz5EJIg_12_2"/>
      <w:bookmarkStart w:id="412" w:name="Tc_Hozmw4iUHkK9Q-OaxFHOHQ_12_0"/>
      <w:bookmarkStart w:id="413" w:name="Tc_x57GfZtWwUeuHuDe8v-Kmg_11_21"/>
      <w:bookmarkStart w:id="414" w:name="Tc_1gIcAraEmE6pE8glYPoqkQ_11_18"/>
      <w:bookmarkStart w:id="415" w:name="Tc_fR5wgi9qvkS0NjsWVtoGfw_11_15"/>
      <w:bookmarkStart w:id="416" w:name="Tc_MUMNnCuYTEeYcWpL7edReg_11_12"/>
      <w:bookmarkStart w:id="417" w:name="Tc_Ryxc-m5fZk2km3oPlhzgfg_11_9"/>
      <w:bookmarkStart w:id="418" w:name="Tc_XWie4jfmPEGsXCeX70IdRg_11_4"/>
      <w:bookmarkStart w:id="419" w:name="Tc_zOWSqv5nn0iGt__hJ7O4hg_11_0"/>
      <w:bookmarkStart w:id="420" w:name="Tc_urQ_B7fU80ObgVFS_n2wVA_10_19"/>
      <w:bookmarkStart w:id="421" w:name="Tc_Is3CpGcDaUKUVj7RuNBB9A_10_16"/>
      <w:bookmarkStart w:id="422" w:name="Tc_Pkzw2g7sM0iH-WWKHXS7Zg_10_0"/>
      <w:bookmarkStart w:id="423" w:name="Tc__P_8PFedCEGIfM1FAbh2tQ_9_22"/>
      <w:bookmarkStart w:id="424" w:name="Tc_hUtF3F-TQUS6nrJMlIFT9g_9_19"/>
      <w:bookmarkStart w:id="425" w:name="Tc_072lUekyrkCsjw6HVxe4Zg_9_16"/>
      <w:bookmarkStart w:id="426" w:name="Tc_Q7CRSEMQ50SAUINv5DCQGA_9_13"/>
      <w:bookmarkStart w:id="427" w:name="Tc_ZwYU-57sLUeCjTMvx0RVhQ_9_10"/>
      <w:bookmarkStart w:id="428" w:name="Tc_l7MSw54hwEGAvyXPt4v4bA_9_7"/>
      <w:bookmarkStart w:id="429" w:name="Tc_HYpxnwTaikWYJRZf7_oyHg_9_5"/>
      <w:bookmarkStart w:id="430" w:name="Tc_eLVJT7l9O0CVGyhyZ3QHRw_9_2"/>
      <w:bookmarkStart w:id="431" w:name="Tc_m0NNd7kIGEuNtD4P-CaSEQ_9_0"/>
      <w:bookmarkStart w:id="432" w:name="Tc_iXNAcREyi06VlsHbkODTBg_8_19"/>
      <w:bookmarkStart w:id="433" w:name="Tc_tnljeoQ1f0GwhEQ0FXNRrQ_8_16"/>
      <w:bookmarkStart w:id="434" w:name="Tc_DlP-kQQxeUKob_xDtF5H2w_8_13"/>
      <w:bookmarkStart w:id="435" w:name="Tc_hOqeKVbrkEehXkYrJwAEsg_8_5"/>
      <w:bookmarkStart w:id="436" w:name="Tc_--Lfu_RFlkGIP6X9RTBS7w_8_2"/>
      <w:bookmarkStart w:id="437" w:name="Tc_Rf008L1gm0aE2hhFMb_cYg_8_0"/>
      <w:bookmarkStart w:id="438" w:name="Tc_gSIgYvtQdUyof_GzCL4t6w_7_13"/>
      <w:bookmarkStart w:id="439" w:name="Tc_AWDCd5vUBUmtdN8_X7K5ag_7_10"/>
      <w:bookmarkStart w:id="440" w:name="Tc_euZDbU-3fU2oO-FGuvrwlw_7_7"/>
      <w:bookmarkStart w:id="441" w:name="Tc_E3qQAnmdNkCEtx9ZlxbT2A_7_5"/>
      <w:bookmarkStart w:id="442" w:name="Tc_iNcrHCUzcUOdaZtwTixemw_7_2"/>
      <w:bookmarkStart w:id="443" w:name="Tc_YaTBCnS4Fk-zQ8IAhtl1cw_7_0"/>
      <w:bookmarkStart w:id="444" w:name="Tc_tmQWb00Tt0SyGoKm1p9aBQ_6_21"/>
      <w:bookmarkStart w:id="445" w:name="Tc_1AGovzvrtUaouNylFmqUMw_6_18"/>
      <w:bookmarkStart w:id="446" w:name="Tc_lqHKQT82ZEu5FBEHa5KFzg_6_16"/>
      <w:bookmarkStart w:id="447" w:name="Tc_3qRziQS75kWTaEpSwzH7bw_6_15"/>
      <w:bookmarkStart w:id="448" w:name="Tc_qrbkK1V8pEK3ZzYb1XZ_-A_6_12"/>
      <w:bookmarkStart w:id="449" w:name="Tc_J6a2r4ixzEGJ2o7eUno7cA_6_9"/>
      <w:bookmarkStart w:id="450" w:name="Tc_XCOrNK8kvEOyEpHkG_XZ0w_6_4"/>
      <w:bookmarkStart w:id="451" w:name="Tc_Q5GBZCiPUUeneVDT4rh_ow_6_0"/>
      <w:bookmarkStart w:id="452" w:name="Tc_wp9eVHPbe0WvdqOxEpk5Cg_5_21"/>
      <w:bookmarkStart w:id="453" w:name="Tc_MjRnw8Ztt0Kuv95Hr40QYA_5_18"/>
      <w:bookmarkStart w:id="454" w:name="Tc_2BzdUSuxw0CYdKKv25_LWQ_5_15"/>
      <w:bookmarkStart w:id="455" w:name="Tc_fgMznhsTd06z-6EK-3pSEg_5_12"/>
      <w:bookmarkStart w:id="456" w:name="Tc_V2-r01PkxkG061czssNcgw_5_9"/>
      <w:bookmarkStart w:id="457" w:name="Tc_0iZjgGuWUE2K3or8Sw4cXg_5_7"/>
      <w:bookmarkStart w:id="458" w:name="Tc_YBtXIHZCwUuLRRt3-bl7mw_5_4"/>
      <w:bookmarkStart w:id="459" w:name="Tc_ejs2JzeUB0uChOWJ0fAUaw_5_2"/>
      <w:bookmarkStart w:id="460" w:name="Tc_sif0mqz53kioB4valK9ciQ_4_18"/>
      <w:bookmarkStart w:id="461" w:name="Tc_JTmC1GcEU0CK8KlC8LSLwQ_4_15"/>
      <w:bookmarkStart w:id="462" w:name="Tc_6ss-1D_VzUyMFxftBbePtA_4_12"/>
      <w:bookmarkStart w:id="463" w:name="Tc_uuT08EhpFEWRFl9YdNnLmA_4_7"/>
      <w:bookmarkStart w:id="464" w:name="Tc_0esKoPOBMUaZQArLIw6-Fw_4_2"/>
      <w:bookmarkStart w:id="465" w:name="Tc_C7t1sQTwJEWe90-MdopmWA_3_15"/>
      <w:bookmarkStart w:id="466" w:name="Tc_HT-ywtek_UWNZfnVV9emCg_3_12"/>
      <w:bookmarkStart w:id="467" w:name="Tc_Ntg5OMg-X0y57pxGhkVs4A_2_15"/>
      <w:bookmarkStart w:id="468" w:name="Tc_jnz1psP36EOi1AoBsJck7w_1_2"/>
      <w:bookmarkStart w:id="469" w:name="_6c2148fc_67e0_4c26_b347_3f3814c45b9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404"/>
        <w:gridCol w:w="812"/>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0810" cy="175260"/>
                      <wp:effectExtent l="0" t="0" r="0" b="0"/>
                      <wp:wrapNone/>
                      <wp:docPr id="31" name="Frame3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29260" cy="175260"/>
                      <wp:effectExtent l="0" t="0" r="0" b="0"/>
                      <wp:wrapNone/>
                      <wp:docPr id="32" name="Frame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77800" cy="175260"/>
                      <wp:effectExtent l="0" t="0" r="0" b="0"/>
                      <wp:wrapNone/>
                      <wp:docPr id="34" name="Frame3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56235" cy="175260"/>
                      <wp:effectExtent l="0" t="0" r="0" b="0"/>
                      <wp:wrapNone/>
                      <wp:docPr id="35" name="Frame3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0810" cy="175260"/>
                      <wp:effectExtent l="0" t="0" r="0" b="0"/>
                      <wp:wrapNone/>
                      <wp:docPr id="36" name="Frame3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29260" cy="175260"/>
                      <wp:effectExtent l="0" t="0" r="0" b="0"/>
                      <wp:wrapNone/>
                      <wp:docPr id="37" name="Frame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810" cy="175260"/>
                      <wp:effectExtent l="0" t="0" r="0" b="0"/>
                      <wp:wrapNone/>
                      <wp:docPr id="38" name="Frame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29285" cy="175260"/>
                      <wp:effectExtent l="0" t="0" r="0" b="0"/>
                      <wp:wrapNone/>
                      <wp:docPr id="40" name="Frame4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0810" cy="175260"/>
                      <wp:effectExtent l="0" t="0" r="0" b="0"/>
                      <wp:wrapNone/>
                      <wp:docPr id="41" name="Frame4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5935" cy="175260"/>
                      <wp:effectExtent l="0" t="0" r="0" b="0"/>
                      <wp:wrapNone/>
                      <wp:docPr id="43" name="Frame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0810" cy="175260"/>
                      <wp:effectExtent l="0" t="0" r="0" b="0"/>
                      <wp:wrapNone/>
                      <wp:docPr id="44" name="Frame4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56540" cy="175260"/>
                      <wp:effectExtent l="0" t="0" r="0" b="0"/>
                      <wp:wrapNone/>
                      <wp:docPr id="45" name="Frame45"/>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15620" cy="175260"/>
                      <wp:effectExtent l="0" t="0" r="0" b="0"/>
                      <wp:wrapNone/>
                      <wp:docPr id="46" name="Frame46"/>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0810" cy="175260"/>
                      <wp:effectExtent l="0" t="0" r="0" b="0"/>
                      <wp:wrapNone/>
                      <wp:docPr id="47" name="Frame4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91185" cy="175260"/>
                      <wp:effectExtent l="0" t="0" r="0" b="0"/>
                      <wp:wrapNone/>
                      <wp:docPr id="49" name="Frame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0810" cy="175260"/>
                      <wp:effectExtent l="0" t="0" r="0" b="0"/>
                      <wp:wrapNone/>
                      <wp:docPr id="50" name="Frame5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62610" cy="175260"/>
                      <wp:effectExtent l="0" t="0" r="0" b="0"/>
                      <wp:wrapNone/>
                      <wp:docPr id="52" name="Frame5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c>
          <w:tcPr>
            <w:tcW w:w="20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25,232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(2,024,370)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336,736</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2,470,946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783,853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71,618</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71,611</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(9,463)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3,629</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(5,833)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54,176</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25,680</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(2,102,760)</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340,365</w:t>
            </w:r>
          </w:p>
        </w:tc>
        <w:tc>
          <w:tcPr>
            <w:tcW w:w="20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2,542,564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780,704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41,718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(47,933)</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(47,933)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w:t>
            </w:r>
          </w:p>
        </w:tc>
        <w:tc>
          <w:tcPr>
            <w:tcW w:w="206"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54,178</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25,944</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(2,150,693)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343,852</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2,584,110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777,976</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0" w:name="Tc_3dLiP6HSGEq4PVqCYuQ3HA_16_21"/>
      <w:bookmarkStart w:id="471" w:name="Tc_9mPgLTL8qUGM0rbl3-rD7A_16_18"/>
      <w:bookmarkStart w:id="472" w:name="Tc_kENBb3UaqUmMnI9e6y2hiw_16_15"/>
      <w:bookmarkStart w:id="473" w:name="Tc_aUU11ey4ikONO47bOS8KyQ_16_12"/>
      <w:bookmarkStart w:id="474" w:name="Tc_7fVcke6FVEqRy6EMQI5Zew_16_9"/>
      <w:bookmarkStart w:id="475" w:name="Tc_XdDFRHrfdE6Dhb8D0fP8tw_16_4"/>
      <w:bookmarkStart w:id="476" w:name="Tc_ysaATX2USEy0JaQAJd6fzw_16_0"/>
      <w:bookmarkStart w:id="477" w:name="Tc_nXqZPzgsPU6hm-3w8Baf5Q_15_19"/>
      <w:bookmarkStart w:id="478" w:name="Tc_UejelO_rrUi03XpPBkUbEw_15_16"/>
      <w:bookmarkStart w:id="479" w:name="Tc_FyhP23V61Umj2BauNSLb1w_15_10"/>
      <w:bookmarkStart w:id="480" w:name="Tc_7EiU7i6AC0GiZ0Xa4uNZXg_15_7"/>
      <w:bookmarkStart w:id="481" w:name="Tc_EOHqLCNc9EOTHFvwkhhe6g_15_5"/>
      <w:bookmarkStart w:id="482" w:name="Tc_h4ShkPNU_USlFwN-0UxfDw_15_0"/>
      <w:bookmarkStart w:id="483" w:name="Tc_WDALTNnaoUCFNF27KkP1XA_14_22"/>
      <w:bookmarkStart w:id="484" w:name="Tc_2eEJMgO9GkOQIWcpIt4XuA_14_19"/>
      <w:bookmarkStart w:id="485" w:name="Tc_OKZAMCDXIEaUm2FD1BNcCg_14_16"/>
      <w:bookmarkStart w:id="486" w:name="Tc_CeVbjRz7nUuy140SvDRavw_14_13"/>
      <w:bookmarkStart w:id="487" w:name="Tc_xsbf15la20yknPil5nNtLQ_14_10"/>
      <w:bookmarkStart w:id="488" w:name="Tc_5Ua1RGm4B0ufb_qURQI3rw_14_5"/>
      <w:bookmarkStart w:id="489" w:name="Tc_1vV2ZLlsz0mOE3hq7aDQYQ_14_2"/>
      <w:bookmarkStart w:id="490" w:name="Tc_RtY36oCm1UK9IDTPQh7lig_14_0"/>
      <w:bookmarkStart w:id="491" w:name="Tc_QJ9P4WK6mUKJcS66NWJAsA_13_19"/>
      <w:bookmarkStart w:id="492" w:name="Tc_boNH_XOI1kG3Cnw5oVUoBQ_13_16"/>
      <w:bookmarkStart w:id="493" w:name="Tc_MAd4gaC4vkWPMwfcXtG_GQ_13_13"/>
      <w:bookmarkStart w:id="494" w:name="Tc_Ny-vx0hi9EKw2R-OY-ah5g_13_5"/>
      <w:bookmarkStart w:id="495" w:name="Tc_E3aiTSlh60WxYsV1r5zFNQ_13_2"/>
      <w:bookmarkStart w:id="496" w:name="Tc_zsw-3Lowt0qNHDfERTraPQ_13_0"/>
      <w:bookmarkStart w:id="497" w:name="Tc_2PJfx9x_9U2NFyfFHg1rhQ_12_13"/>
      <w:bookmarkStart w:id="498" w:name="Tc_4cpEZAjrQECw3JtTN-4akw_12_10"/>
      <w:bookmarkStart w:id="499" w:name="Tc_yd0y-KhQ1kSkjdBQ3KlavA_12_7"/>
      <w:bookmarkStart w:id="500" w:name="Tc_PRaIH2lPjE21IdsS5QrgXg_12_5"/>
      <w:bookmarkStart w:id="501" w:name="Tc_Gu20vd5ickm8ksBMMBRRxw_12_2"/>
      <w:bookmarkStart w:id="502" w:name="Tc_l7AubUWZwUCVdbpiGV3v_Q_12_0"/>
      <w:bookmarkStart w:id="503" w:name="Tc_ftHyUaQyx0OntkX2zkIyFQ_11_21"/>
      <w:bookmarkStart w:id="504" w:name="Tc_AJTc30zL3kCoKIAekaMc6g_11_18"/>
      <w:bookmarkStart w:id="505" w:name="Tc_ljk0oJ4b9Umdc_KjuvCZoA_11_15"/>
      <w:bookmarkStart w:id="506" w:name="Tc_K0IxGksCL0S6tqTIVAjDsA_11_12"/>
      <w:bookmarkStart w:id="507" w:name="Tc_p3hGE23oNEWTNTBbwur_qA_11_9"/>
      <w:bookmarkStart w:id="508" w:name="Tc_nKAshM9N70KVSKEwyiZ1WA_11_4"/>
      <w:bookmarkStart w:id="509" w:name="Tc_KDR8IbLqyUecl122GsVU4g_11_0"/>
      <w:bookmarkStart w:id="510" w:name="Tc_Z41QzsrglU-ocPu_r0GAGQ_10_19"/>
      <w:bookmarkStart w:id="511" w:name="Tc_PcArixAar0CQ4SVt_NU-mQ_10_16"/>
      <w:bookmarkStart w:id="512" w:name="Tc_Qqne-wZszUaemjNWClMapg_10_0"/>
      <w:bookmarkStart w:id="513" w:name="Tc_S3OiEvoPiE2YrqIOz8deMw_9_22"/>
      <w:bookmarkStart w:id="514" w:name="Tc_uhAEUbgs0E6wPi1s80T2ew_9_19"/>
      <w:bookmarkStart w:id="515" w:name="Tc_Ztid5FFlw0SCNBcPo1X1SQ_9_16"/>
      <w:bookmarkStart w:id="516" w:name="Tc_N3PAEqgwDkWGpQxFCbRa6w_9_13"/>
      <w:bookmarkStart w:id="517" w:name="Tc_mbi29VF4kU2h2q0tzaYF1Q_9_10"/>
      <w:bookmarkStart w:id="518" w:name="Tc_B-LeiGcXjEyU2v26tCKkEA_9_5"/>
      <w:bookmarkStart w:id="519" w:name="Tc_Ax2VVpbrLECbPQ_YBHr9pg_9_2"/>
      <w:bookmarkStart w:id="520" w:name="Tc_nP6QuPNugE6ODzagUMySVw_9_0"/>
      <w:bookmarkStart w:id="521" w:name="Tc_bA-r472xBU-cPS_enUhCyA_8_19"/>
      <w:bookmarkStart w:id="522" w:name="Tc_Jjra8_N-C0GwD0TQ4Spzmw_8_16"/>
      <w:bookmarkStart w:id="523" w:name="Tc_EuSiwQtESEiKe5caQR1n2A_8_13"/>
      <w:bookmarkStart w:id="524" w:name="Tc_klRRVKJJ6kGIjx48_RCRig_8_5"/>
      <w:bookmarkStart w:id="525" w:name="Tc_q8f2rgRAmEiGX3Oq7Ejgxw_8_2"/>
      <w:bookmarkStart w:id="526" w:name="Tc_r8FYpvSCFkWDO259328flQ_8_0"/>
      <w:bookmarkStart w:id="527" w:name="Tc_t4vEbMkoo0aPodopvjwMgA_7_13"/>
      <w:bookmarkStart w:id="528" w:name="Tc_TQ-BPgDJ00GCnbo9AUSlUA_7_10"/>
      <w:bookmarkStart w:id="529" w:name="Tc_QDz6PRLVAEmBaLjNiWjRKw_7_7"/>
      <w:bookmarkStart w:id="530" w:name="Tc_w9E4Wxml5EuMfMmcz3kZUw_7_5"/>
      <w:bookmarkStart w:id="531" w:name="Tc_MqCs-gPHr0CD0naIeYloIA_7_2"/>
      <w:bookmarkStart w:id="532" w:name="Tc_kf8G__-5P0mcLJIb02Xn8Q_7_0"/>
      <w:bookmarkStart w:id="533" w:name="Tc_gpq0wf2Uvk6ifvaepy1aKQ_6_21"/>
      <w:bookmarkStart w:id="534" w:name="Tc_K9kD3_rU-kavtcJ4rUocyg_6_18"/>
      <w:bookmarkStart w:id="535" w:name="Tc_NcEQTzOb30W44_f061_SgQ_6_15"/>
      <w:bookmarkStart w:id="536" w:name="Tc_T8MOmMgX1kyKOG_E50YWmg_6_12"/>
      <w:bookmarkStart w:id="537" w:name="Tc_b0XpjtPCGUayNA6jEGkSxA_6_9"/>
      <w:bookmarkStart w:id="538" w:name="Tc__F5CRyQWwkCv3GXqLHTuFg_6_4"/>
      <w:bookmarkStart w:id="539" w:name="Tc_NOPd_JAHCEqqQWaxqsDy-Q_6_0"/>
      <w:bookmarkStart w:id="540" w:name="Tc_0lVUA4lQtEmY32pFV3uZ6Q_5_21"/>
      <w:bookmarkStart w:id="541" w:name="Tc_mTBP8Bcjt0mwuWX_YVL93w_5_18"/>
      <w:bookmarkStart w:id="542" w:name="Tc_4pwaJ1PCzkyORcwvpqYblw_5_15"/>
      <w:bookmarkStart w:id="543" w:name="Tc_Xtga9LI62E6rn8WOcpWpMQ_5_12"/>
      <w:bookmarkStart w:id="544" w:name="Tc_BuaR8Y4Lhk2pXIQ3sLS75w_5_9"/>
      <w:bookmarkStart w:id="545" w:name="Tc_osagfFEmVkemLzvIJlXtVg_5_7"/>
      <w:bookmarkStart w:id="546" w:name="Tc_3GA9GiTL_0iBJMxuNOKwmA_5_4"/>
      <w:bookmarkStart w:id="547" w:name="Tc_qkiC0Jftt0yDZUNJa45Ehw_5_2"/>
      <w:bookmarkStart w:id="548" w:name="Tc_-sZnFXWB6E2rxove9i6DKA_4_18"/>
      <w:bookmarkStart w:id="549" w:name="Tc_Vfsh1fqWEUqHHs3yo0k4GQ_4_15"/>
      <w:bookmarkStart w:id="550" w:name="Tc_eLzVT5LMV0CDJfDeDeQxaA_4_12"/>
      <w:bookmarkStart w:id="551" w:name="Tc_VCp9C1cTeEmzlHlmYlcnAQ_4_7"/>
      <w:bookmarkStart w:id="552" w:name="Tc_B12E6Ap3ekaB2AuUCsAR5w_4_2"/>
      <w:bookmarkStart w:id="553" w:name="Tc_7yD7w0KyskyAzDDAG_rFPw_3_15"/>
      <w:bookmarkStart w:id="554" w:name="Tc_vYykVCEYYk-LZJOH8_LP_g_3_12"/>
      <w:bookmarkStart w:id="555" w:name="Tc_LsDUeGGt_0idHBHFk90VyQ_2_15"/>
      <w:bookmarkStart w:id="556" w:name="Tc_rk-R7LXL30KagEQA3Z1mvA_1_2"/>
      <w:bookmarkStart w:id="557" w:name="_f99ad569_bc19_45ea_b57e_63964ab0add2"/>
      <w:bookmarkStart w:id="558" w:name="Tc_3dLiP6HSGEq4PVqCYuQ3HA_16_21"/>
      <w:bookmarkStart w:id="559" w:name="Tc_9mPgLTL8qUGM0rbl3-rD7A_16_18"/>
      <w:bookmarkStart w:id="560" w:name="Tc_kENBb3UaqUmMnI9e6y2hiw_16_15"/>
      <w:bookmarkStart w:id="561" w:name="Tc_aUU11ey4ikONO47bOS8KyQ_16_12"/>
      <w:bookmarkStart w:id="562" w:name="Tc_7fVcke6FVEqRy6EMQI5Zew_16_9"/>
      <w:bookmarkStart w:id="563" w:name="Tc_XdDFRHrfdE6Dhb8D0fP8tw_16_4"/>
      <w:bookmarkStart w:id="564" w:name="Tc_ysaATX2USEy0JaQAJd6fzw_16_0"/>
      <w:bookmarkStart w:id="565" w:name="Tc_nXqZPzgsPU6hm-3w8Baf5Q_15_19"/>
      <w:bookmarkStart w:id="566" w:name="Tc_UejelO_rrUi03XpPBkUbEw_15_16"/>
      <w:bookmarkStart w:id="567" w:name="Tc_FyhP23V61Umj2BauNSLb1w_15_10"/>
      <w:bookmarkStart w:id="568" w:name="Tc_7EiU7i6AC0GiZ0Xa4uNZXg_15_7"/>
      <w:bookmarkStart w:id="569" w:name="Tc_EOHqLCNc9EOTHFvwkhhe6g_15_5"/>
      <w:bookmarkStart w:id="570" w:name="Tc_h4ShkPNU_USlFwN-0UxfDw_15_0"/>
      <w:bookmarkStart w:id="571" w:name="Tc_WDALTNnaoUCFNF27KkP1XA_14_22"/>
      <w:bookmarkStart w:id="572" w:name="Tc_2eEJMgO9GkOQIWcpIt4XuA_14_19"/>
      <w:bookmarkStart w:id="573" w:name="Tc_OKZAMCDXIEaUm2FD1BNcCg_14_16"/>
      <w:bookmarkStart w:id="574" w:name="Tc_CeVbjRz7nUuy140SvDRavw_14_13"/>
      <w:bookmarkStart w:id="575" w:name="Tc_xsbf15la20yknPil5nNtLQ_14_10"/>
      <w:bookmarkStart w:id="576" w:name="Tc_5Ua1RGm4B0ufb_qURQI3rw_14_5"/>
      <w:bookmarkStart w:id="577" w:name="Tc_1vV2ZLlsz0mOE3hq7aDQYQ_14_2"/>
      <w:bookmarkStart w:id="578" w:name="Tc_RtY36oCm1UK9IDTPQh7lig_14_0"/>
      <w:bookmarkStart w:id="579" w:name="Tc_QJ9P4WK6mUKJcS66NWJAsA_13_19"/>
      <w:bookmarkStart w:id="580" w:name="Tc_boNH_XOI1kG3Cnw5oVUoBQ_13_16"/>
      <w:bookmarkStart w:id="581" w:name="Tc_MAd4gaC4vkWPMwfcXtG_GQ_13_13"/>
      <w:bookmarkStart w:id="582" w:name="Tc_Ny-vx0hi9EKw2R-OY-ah5g_13_5"/>
      <w:bookmarkStart w:id="583" w:name="Tc_E3aiTSlh60WxYsV1r5zFNQ_13_2"/>
      <w:bookmarkStart w:id="584" w:name="Tc_zsw-3Lowt0qNHDfERTraPQ_13_0"/>
      <w:bookmarkStart w:id="585" w:name="Tc_2PJfx9x_9U2NFyfFHg1rhQ_12_13"/>
      <w:bookmarkStart w:id="586" w:name="Tc_4cpEZAjrQECw3JtTN-4akw_12_10"/>
      <w:bookmarkStart w:id="587" w:name="Tc_yd0y-KhQ1kSkjdBQ3KlavA_12_7"/>
      <w:bookmarkStart w:id="588" w:name="Tc_PRaIH2lPjE21IdsS5QrgXg_12_5"/>
      <w:bookmarkStart w:id="589" w:name="Tc_Gu20vd5ickm8ksBMMBRRxw_12_2"/>
      <w:bookmarkStart w:id="590" w:name="Tc_l7AubUWZwUCVdbpiGV3v_Q_12_0"/>
      <w:bookmarkStart w:id="591" w:name="Tc_ftHyUaQyx0OntkX2zkIyFQ_11_21"/>
      <w:bookmarkStart w:id="592" w:name="Tc_AJTc30zL3kCoKIAekaMc6g_11_18"/>
      <w:bookmarkStart w:id="593" w:name="Tc_ljk0oJ4b9Umdc_KjuvCZoA_11_15"/>
      <w:bookmarkStart w:id="594" w:name="Tc_K0IxGksCL0S6tqTIVAjDsA_11_12"/>
      <w:bookmarkStart w:id="595" w:name="Tc_p3hGE23oNEWTNTBbwur_qA_11_9"/>
      <w:bookmarkStart w:id="596" w:name="Tc_nKAshM9N70KVSKEwyiZ1WA_11_4"/>
      <w:bookmarkStart w:id="597" w:name="Tc_KDR8IbLqyUecl122GsVU4g_11_0"/>
      <w:bookmarkStart w:id="598" w:name="Tc_Z41QzsrglU-ocPu_r0GAGQ_10_19"/>
      <w:bookmarkStart w:id="599" w:name="Tc_PcArixAar0CQ4SVt_NU-mQ_10_16"/>
      <w:bookmarkStart w:id="600" w:name="Tc_Qqne-wZszUaemjNWClMapg_10_0"/>
      <w:bookmarkStart w:id="601" w:name="Tc_S3OiEvoPiE2YrqIOz8deMw_9_22"/>
      <w:bookmarkStart w:id="602" w:name="Tc_uhAEUbgs0E6wPi1s80T2ew_9_19"/>
      <w:bookmarkStart w:id="603" w:name="Tc_Ztid5FFlw0SCNBcPo1X1SQ_9_16"/>
      <w:bookmarkStart w:id="604" w:name="Tc_N3PAEqgwDkWGpQxFCbRa6w_9_13"/>
      <w:bookmarkStart w:id="605" w:name="Tc_mbi29VF4kU2h2q0tzaYF1Q_9_10"/>
      <w:bookmarkStart w:id="606" w:name="Tc_B-LeiGcXjEyU2v26tCKkEA_9_5"/>
      <w:bookmarkStart w:id="607" w:name="Tc_Ax2VVpbrLECbPQ_YBHr9pg_9_2"/>
      <w:bookmarkStart w:id="608" w:name="Tc_nP6QuPNugE6ODzagUMySVw_9_0"/>
      <w:bookmarkStart w:id="609" w:name="Tc_bA-r472xBU-cPS_enUhCyA_8_19"/>
      <w:bookmarkStart w:id="610" w:name="Tc_Jjra8_N-C0GwD0TQ4Spzmw_8_16"/>
      <w:bookmarkStart w:id="611" w:name="Tc_EuSiwQtESEiKe5caQR1n2A_8_13"/>
      <w:bookmarkStart w:id="612" w:name="Tc_klRRVKJJ6kGIjx48_RCRig_8_5"/>
      <w:bookmarkStart w:id="613" w:name="Tc_q8f2rgRAmEiGX3Oq7Ejgxw_8_2"/>
      <w:bookmarkStart w:id="614" w:name="Tc_r8FYpvSCFkWDO259328flQ_8_0"/>
      <w:bookmarkStart w:id="615" w:name="Tc_t4vEbMkoo0aPodopvjwMgA_7_13"/>
      <w:bookmarkStart w:id="616" w:name="Tc_TQ-BPgDJ00GCnbo9AUSlUA_7_10"/>
      <w:bookmarkStart w:id="617" w:name="Tc_QDz6PRLVAEmBaLjNiWjRKw_7_7"/>
      <w:bookmarkStart w:id="618" w:name="Tc_w9E4Wxml5EuMfMmcz3kZUw_7_5"/>
      <w:bookmarkStart w:id="619" w:name="Tc_MqCs-gPHr0CD0naIeYloIA_7_2"/>
      <w:bookmarkStart w:id="620" w:name="Tc_kf8G__-5P0mcLJIb02Xn8Q_7_0"/>
      <w:bookmarkStart w:id="621" w:name="Tc_gpq0wf2Uvk6ifvaepy1aKQ_6_21"/>
      <w:bookmarkStart w:id="622" w:name="Tc_K9kD3_rU-kavtcJ4rUocyg_6_18"/>
      <w:bookmarkStart w:id="623" w:name="Tc_NcEQTzOb30W44_f061_SgQ_6_15"/>
      <w:bookmarkStart w:id="624" w:name="Tc_T8MOmMgX1kyKOG_E50YWmg_6_12"/>
      <w:bookmarkStart w:id="625" w:name="Tc_b0XpjtPCGUayNA6jEGkSxA_6_9"/>
      <w:bookmarkStart w:id="626" w:name="Tc__F5CRyQWwkCv3GXqLHTuFg_6_4"/>
      <w:bookmarkStart w:id="627" w:name="Tc_NOPd_JAHCEqqQWaxqsDy-Q_6_0"/>
      <w:bookmarkStart w:id="628" w:name="Tc_0lVUA4lQtEmY32pFV3uZ6Q_5_21"/>
      <w:bookmarkStart w:id="629" w:name="Tc_mTBP8Bcjt0mwuWX_YVL93w_5_18"/>
      <w:bookmarkStart w:id="630" w:name="Tc_4pwaJ1PCzkyORcwvpqYblw_5_15"/>
      <w:bookmarkStart w:id="631" w:name="Tc_Xtga9LI62E6rn8WOcpWpMQ_5_12"/>
      <w:bookmarkStart w:id="632" w:name="Tc_BuaR8Y4Lhk2pXIQ3sLS75w_5_9"/>
      <w:bookmarkStart w:id="633" w:name="Tc_osagfFEmVkemLzvIJlXtVg_5_7"/>
      <w:bookmarkStart w:id="634" w:name="Tc_3GA9GiTL_0iBJMxuNOKwmA_5_4"/>
      <w:bookmarkStart w:id="635" w:name="Tc_qkiC0Jftt0yDZUNJa45Ehw_5_2"/>
      <w:bookmarkStart w:id="636" w:name="Tc_-sZnFXWB6E2rxove9i6DKA_4_18"/>
      <w:bookmarkStart w:id="637" w:name="Tc_Vfsh1fqWEUqHHs3yo0k4GQ_4_15"/>
      <w:bookmarkStart w:id="638" w:name="Tc_eLzVT5LMV0CDJfDeDeQxaA_4_12"/>
      <w:bookmarkStart w:id="639" w:name="Tc_VCp9C1cTeEmzlHlmYlcnAQ_4_7"/>
      <w:bookmarkStart w:id="640" w:name="Tc_B12E6Ap3ekaB2AuUCsAR5w_4_2"/>
      <w:bookmarkStart w:id="641" w:name="Tc_7yD7w0KyskyAzDDAG_rFPw_3_15"/>
      <w:bookmarkStart w:id="642" w:name="Tc_vYykVCEYYk-LZJOH8_LP_g_3_12"/>
      <w:bookmarkStart w:id="643" w:name="Tc_LsDUeGGt_0idHBHFk90VyQ_2_15"/>
      <w:bookmarkStart w:id="644" w:name="Tc_rk-R7LXL30KagEQA3Z1mvA_1_2"/>
      <w:bookmarkStart w:id="645" w:name="_f99ad569_bc19_45ea_b57e_63964ab0add2"/>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0810" cy="175260"/>
                      <wp:effectExtent l="0" t="0" r="0" b="0"/>
                      <wp:wrapNone/>
                      <wp:docPr id="53" name="Frame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29260" cy="175260"/>
                      <wp:effectExtent l="0" t="0" r="0" b="0"/>
                      <wp:wrapNone/>
                      <wp:docPr id="54" name="Frame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0810" cy="175260"/>
                      <wp:effectExtent l="0" t="0" r="0" b="0"/>
                      <wp:wrapNone/>
                      <wp:docPr id="55" name="Frame5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77800" cy="175260"/>
                      <wp:effectExtent l="0" t="0" r="0" b="0"/>
                      <wp:wrapNone/>
                      <wp:docPr id="56" name="Frame5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56235" cy="175260"/>
                      <wp:effectExtent l="0" t="0" r="0" b="0"/>
                      <wp:wrapNone/>
                      <wp:docPr id="57" name="Frame5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0810" cy="175260"/>
                      <wp:effectExtent l="0" t="0" r="0" b="0"/>
                      <wp:wrapNone/>
                      <wp:docPr id="58" name="Frame5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29260" cy="175260"/>
                      <wp:effectExtent l="0" t="0" r="0" b="0"/>
                      <wp:wrapNone/>
                      <wp:docPr id="59" name="Frame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0810" cy="175260"/>
                      <wp:effectExtent l="0" t="0" r="0" b="0"/>
                      <wp:wrapNone/>
                      <wp:docPr id="60" name="Frame6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29285" cy="175260"/>
                      <wp:effectExtent l="0" t="0" r="0" b="0"/>
                      <wp:wrapNone/>
                      <wp:docPr id="62" name="Frame6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0810" cy="175260"/>
                      <wp:effectExtent l="0" t="0" r="0" b="0"/>
                      <wp:wrapNone/>
                      <wp:docPr id="63" name="Frame6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0810" cy="175260"/>
                      <wp:effectExtent l="0" t="0" r="0" b="0"/>
                      <wp:wrapNone/>
                      <wp:docPr id="66" name="Frame6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34950" cy="175260"/>
                      <wp:effectExtent l="0" t="0" r="0" b="0"/>
                      <wp:wrapNone/>
                      <wp:docPr id="67" name="Frame6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37210" cy="175260"/>
                      <wp:effectExtent l="0" t="0" r="0" b="0"/>
                      <wp:wrapNone/>
                      <wp:docPr id="68" name="Frame6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0810" cy="175260"/>
                      <wp:effectExtent l="0" t="0" r="0" b="0"/>
                      <wp:wrapNone/>
                      <wp:docPr id="69" name="Frame6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1" name="Frame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0810" cy="175260"/>
                      <wp:effectExtent l="0" t="0" r="0" b="0"/>
                      <wp:wrapNone/>
                      <wp:docPr id="72" name="Frame7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62610" cy="175260"/>
                      <wp:effectExtent l="0" t="0" r="0" b="0"/>
                      <wp:wrapNone/>
                      <wp:docPr id="74" name="Frame7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2024</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24,017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(1,849,693)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322,512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2,244,712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718,014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68,010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67,954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(3,963)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54,087</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24,248</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(1,879,697)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325,994</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2,312,722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759,447</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34,865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(39,113)</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(39,113)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3,996</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3,996</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24,541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(1,918,810)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329,990</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2,347,600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759,195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46" w:name="_e1b4d180_55b9_4b49_9ba1_b81100fec266"/>
      <w:bookmarkEnd w:id="646"/>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47" w:name="Tc_MtyKyjiUOEC0NoQWF_1xSg_41_4"/>
      <w:bookmarkStart w:id="648" w:name="Tc_ZpHGKGsb50SCPTOg2n2TwA_41_1"/>
      <w:bookmarkStart w:id="649" w:name="Tc_c11JwcbXgEOcCkaLOEsOZw_41_0"/>
      <w:bookmarkStart w:id="650" w:name="Tc_fph9354bOUi3STntCfVLlw_40_4"/>
      <w:bookmarkStart w:id="651" w:name="Tc_i8Sm6C8TWkyV02kfer4u5Q_40_2"/>
      <w:bookmarkStart w:id="652" w:name="Tc_Mr1bv7puqUOBM9s7dPBrXw_40_1"/>
      <w:bookmarkStart w:id="653" w:name="Tc_AQcrD6yPzEyXjVSwFY4cfA_40_0"/>
      <w:bookmarkStart w:id="654" w:name="Tc_2ESmUCsfy0u7ya4fTkTaxA_39_4"/>
      <w:bookmarkStart w:id="655" w:name="Tc_SzWwnf8WPU-5nwF7vT5nUg_39_1"/>
      <w:bookmarkStart w:id="656" w:name="Tc_ECCs26Vj6EesltQcWSWSKA_39_0"/>
      <w:bookmarkStart w:id="657" w:name="Tc_E5948xDJOEy3DndhEa9KoQ_38_0"/>
      <w:bookmarkStart w:id="658" w:name="Tc_KRMTNwYTqESvxiwRJy-IAw_37_4"/>
      <w:bookmarkStart w:id="659" w:name="Tc_jtTdrbQl8ECF2FZVxBelSg_37_1"/>
      <w:bookmarkStart w:id="660" w:name="Tc_U0jZ10dbrEWz6e4Upo3v8g_37_0"/>
      <w:bookmarkStart w:id="661" w:name="Tc_PUovQ2q-z0i_w9TkrY0nCw_36_4"/>
      <w:bookmarkStart w:id="662" w:name="Tc_IJHH076bykKAhDPBR6MBdA_36_2"/>
      <w:bookmarkStart w:id="663" w:name="Tc_rF0F8TPXqEm0x_mvKBS52g_36_1"/>
      <w:bookmarkStart w:id="664" w:name="Tc_RwPoikDKUkGm964xI9EJuw_36_0"/>
      <w:bookmarkStart w:id="665" w:name="Tc_EUm6wLQw2UaU8jBYViOHeQ_35_0"/>
      <w:bookmarkStart w:id="666" w:name="Tc_ctWmviG_tUSWfp2QOjqEvQ_34_4"/>
      <w:bookmarkStart w:id="667" w:name="Tc_c7zPY0AbS0mdBbD3c3qMJg_34_1"/>
      <w:bookmarkStart w:id="668" w:name="Tc_-_EHiSKnNk29ycxtXkFYzg_34_0"/>
      <w:bookmarkStart w:id="669" w:name="Tc_oTrWZ5L6YUGN2YUA__Is0g_33_0"/>
      <w:bookmarkStart w:id="670" w:name="Tc_FzEZ34NvBUyoKylXUYBf1A_32_0"/>
      <w:bookmarkStart w:id="671" w:name="Tc_cQu1rbO9PkCSV8CHp_4EAw_31_0"/>
      <w:bookmarkStart w:id="672" w:name="Tc_H-phX9nLXEWu2bruw8HV7w_30_0"/>
      <w:bookmarkStart w:id="673" w:name="Tc_lkNnJ3duEUu1DRDgNg1nKQ_29_0"/>
      <w:bookmarkStart w:id="674" w:name="Tc_8wwdiua37UK3Fd0WoJ_uMw_28_0"/>
      <w:bookmarkStart w:id="675" w:name="Tc_CQ6QqvFAZ0GOjJnMX1AvCQ_27_0"/>
      <w:bookmarkStart w:id="676" w:name="Tc_WzlvsLjX2E2gcRV1TSTpAg_26_0"/>
      <w:bookmarkStart w:id="677" w:name="Tc_THUMb8NfPkygMwAOLEzFPA_25_5"/>
      <w:bookmarkStart w:id="678" w:name="Tc_HlkMPEfap0C_GSbyr3y74g_25_0"/>
      <w:bookmarkStart w:id="679" w:name="Tc_hZa9Y0848UOc6GRkZX6xgg_24_5"/>
      <w:bookmarkStart w:id="680" w:name="Tc_IYV7SCEEAECfn6U5jCT2gA_24_0"/>
      <w:bookmarkStart w:id="681" w:name="Tc_Nj7s-xP1K0-W665kvKMBjA_23_0"/>
      <w:bookmarkStart w:id="682" w:name="Tc_whclhgNW80mlUFrLd22Siw_22_0"/>
      <w:bookmarkStart w:id="683" w:name="Tc_ATHsdgAu5kC_Gq1kggdmdQ_21_0"/>
      <w:bookmarkStart w:id="684" w:name="Tc_P1cnybvmxEGEt1u9-7uVEA_20_0"/>
      <w:bookmarkStart w:id="685" w:name="Tc_b9oebRw6ukGZ8lCvHHVALA_19_0"/>
      <w:bookmarkStart w:id="686" w:name="Tc_0_DIdchdVEWNHmLcWb4Hvw_18_0"/>
      <w:bookmarkStart w:id="687" w:name="Tc_guD1hura8U-t8xtp5QEqFw_17_0"/>
      <w:bookmarkStart w:id="688" w:name="Tc_zJ05tm9bl066WuTMg3mkhQ_16_0"/>
      <w:bookmarkStart w:id="689" w:name="Tc_efejn-J4ukmLK_2aeHHECA_15_0"/>
      <w:bookmarkStart w:id="690" w:name="Tc_Xx-lEVX4vU6ICh132KToOg_14_0"/>
      <w:bookmarkStart w:id="691" w:name="Tc_va1iWQ6JEUi0UhbXZlHgHg_13_0"/>
      <w:bookmarkStart w:id="692" w:name="Tc_75u1WZ4CFEOJRnzTegfbTQ_12_0"/>
      <w:bookmarkStart w:id="693" w:name="Tc_KkMHmaz_MkGrWsqMY59n1w_11_0"/>
      <w:bookmarkStart w:id="694" w:name="Tc_JJLogS0oVU2vBathFMGlEA_10_0"/>
      <w:bookmarkStart w:id="695" w:name="Tc_lVMnOKMcHkOTJIPY_pciYQ_9_0"/>
      <w:bookmarkStart w:id="696" w:name="Tc_Tja50lz2Fk-7Tuh_gm1okw_8_0"/>
      <w:bookmarkStart w:id="697" w:name="Tc_sayMUWZPIUqYQouqZ87rig_7_0"/>
      <w:bookmarkStart w:id="698" w:name="Tc_6istB64ZX0i8JNy9EgcjrA_6_0"/>
      <w:bookmarkStart w:id="699" w:name="Tc_p-QDVC65HU2jswpj0SnauA_5_4"/>
      <w:bookmarkStart w:id="700" w:name="Tc_oSEP5TF2ekWRNCRqgO1NIA_5_1"/>
      <w:bookmarkStart w:id="701" w:name="Tc_bv1PPO013EmZ7Ing36ccHA_5_0"/>
      <w:bookmarkStart w:id="702" w:name="Tc_uboe13zAm0-PgXNqP3jGaA_4_0"/>
      <w:bookmarkStart w:id="703" w:name="Tc_umZvW3TQM02qQ6BXIfh4WQ_3_4"/>
      <w:bookmarkStart w:id="704" w:name="Tc__gqa_wVgvk2A4umeoMegwg_3_1"/>
      <w:bookmarkStart w:id="705" w:name="Tc_HjXsGBDjEUChOZpc0j2YpQ_3_0"/>
      <w:bookmarkStart w:id="706" w:name="Tc_KAHzTqTZoEi498vIRVKx0Q_2_1"/>
      <w:bookmarkStart w:id="707" w:name="Tc_0o9UkRLwZEeg74NFHRnxTw_1_1"/>
      <w:bookmarkStart w:id="708" w:name="_3ef04afb_51ad_45aa_87a2_1fc8f1a88ea0"/>
      <w:bookmarkStart w:id="709" w:name="Tc_MtyKyjiUOEC0NoQWF_1xSg_41_4"/>
      <w:bookmarkStart w:id="710" w:name="Tc_ZpHGKGsb50SCPTOg2n2TwA_41_1"/>
      <w:bookmarkStart w:id="711" w:name="Tc_c11JwcbXgEOcCkaLOEsOZw_41_0"/>
      <w:bookmarkStart w:id="712" w:name="Tc_fph9354bOUi3STntCfVLlw_40_4"/>
      <w:bookmarkStart w:id="713" w:name="Tc_i8Sm6C8TWkyV02kfer4u5Q_40_2"/>
      <w:bookmarkStart w:id="714" w:name="Tc_Mr1bv7puqUOBM9s7dPBrXw_40_1"/>
      <w:bookmarkStart w:id="715" w:name="Tc_AQcrD6yPzEyXjVSwFY4cfA_40_0"/>
      <w:bookmarkStart w:id="716" w:name="Tc_2ESmUCsfy0u7ya4fTkTaxA_39_4"/>
      <w:bookmarkStart w:id="717" w:name="Tc_SzWwnf8WPU-5nwF7vT5nUg_39_1"/>
      <w:bookmarkStart w:id="718" w:name="Tc_ECCs26Vj6EesltQcWSWSKA_39_0"/>
      <w:bookmarkStart w:id="719" w:name="Tc_E5948xDJOEy3DndhEa9KoQ_38_0"/>
      <w:bookmarkStart w:id="720" w:name="Tc_KRMTNwYTqESvxiwRJy-IAw_37_4"/>
      <w:bookmarkStart w:id="721" w:name="Tc_jtTdrbQl8ECF2FZVxBelSg_37_1"/>
      <w:bookmarkStart w:id="722" w:name="Tc_U0jZ10dbrEWz6e4Upo3v8g_37_0"/>
      <w:bookmarkStart w:id="723" w:name="Tc_PUovQ2q-z0i_w9TkrY0nCw_36_4"/>
      <w:bookmarkStart w:id="724" w:name="Tc_IJHH076bykKAhDPBR6MBdA_36_2"/>
      <w:bookmarkStart w:id="725" w:name="Tc_rF0F8TPXqEm0x_mvKBS52g_36_1"/>
      <w:bookmarkStart w:id="726" w:name="Tc_RwPoikDKUkGm964xI9EJuw_36_0"/>
      <w:bookmarkStart w:id="727" w:name="Tc_EUm6wLQw2UaU8jBYViOHeQ_35_0"/>
      <w:bookmarkStart w:id="728" w:name="Tc_ctWmviG_tUSWfp2QOjqEvQ_34_4"/>
      <w:bookmarkStart w:id="729" w:name="Tc_c7zPY0AbS0mdBbD3c3qMJg_34_1"/>
      <w:bookmarkStart w:id="730" w:name="Tc_-_EHiSKnNk29ycxtXkFYzg_34_0"/>
      <w:bookmarkStart w:id="731" w:name="Tc_oTrWZ5L6YUGN2YUA__Is0g_33_0"/>
      <w:bookmarkStart w:id="732" w:name="Tc_FzEZ34NvBUyoKylXUYBf1A_32_0"/>
      <w:bookmarkStart w:id="733" w:name="Tc_cQu1rbO9PkCSV8CHp_4EAw_31_0"/>
      <w:bookmarkStart w:id="734" w:name="Tc_H-phX9nLXEWu2bruw8HV7w_30_0"/>
      <w:bookmarkStart w:id="735" w:name="Tc_lkNnJ3duEUu1DRDgNg1nKQ_29_0"/>
      <w:bookmarkStart w:id="736" w:name="Tc_8wwdiua37UK3Fd0WoJ_uMw_28_0"/>
      <w:bookmarkStart w:id="737" w:name="Tc_CQ6QqvFAZ0GOjJnMX1AvCQ_27_0"/>
      <w:bookmarkStart w:id="738" w:name="Tc_WzlvsLjX2E2gcRV1TSTpAg_26_0"/>
      <w:bookmarkStart w:id="739" w:name="Tc_THUMb8NfPkygMwAOLEzFPA_25_5"/>
      <w:bookmarkStart w:id="740" w:name="Tc_HlkMPEfap0C_GSbyr3y74g_25_0"/>
      <w:bookmarkStart w:id="741" w:name="Tc_hZa9Y0848UOc6GRkZX6xgg_24_5"/>
      <w:bookmarkStart w:id="742" w:name="Tc_IYV7SCEEAECfn6U5jCT2gA_24_0"/>
      <w:bookmarkStart w:id="743" w:name="Tc_Nj7s-xP1K0-W665kvKMBjA_23_0"/>
      <w:bookmarkStart w:id="744" w:name="Tc_whclhgNW80mlUFrLd22Siw_22_0"/>
      <w:bookmarkStart w:id="745" w:name="Tc_ATHsdgAu5kC_Gq1kggdmdQ_21_0"/>
      <w:bookmarkStart w:id="746" w:name="Tc_P1cnybvmxEGEt1u9-7uVEA_20_0"/>
      <w:bookmarkStart w:id="747" w:name="Tc_b9oebRw6ukGZ8lCvHHVALA_19_0"/>
      <w:bookmarkStart w:id="748" w:name="Tc_0_DIdchdVEWNHmLcWb4Hvw_18_0"/>
      <w:bookmarkStart w:id="749" w:name="Tc_guD1hura8U-t8xtp5QEqFw_17_0"/>
      <w:bookmarkStart w:id="750" w:name="Tc_zJ05tm9bl066WuTMg3mkhQ_16_0"/>
      <w:bookmarkStart w:id="751" w:name="Tc_efejn-J4ukmLK_2aeHHECA_15_0"/>
      <w:bookmarkStart w:id="752" w:name="Tc_Xx-lEVX4vU6ICh132KToOg_14_0"/>
      <w:bookmarkStart w:id="753" w:name="Tc_va1iWQ6JEUi0UhbXZlHgHg_13_0"/>
      <w:bookmarkStart w:id="754" w:name="Tc_75u1WZ4CFEOJRnzTegfbTQ_12_0"/>
      <w:bookmarkStart w:id="755" w:name="Tc_KkMHmaz_MkGrWsqMY59n1w_11_0"/>
      <w:bookmarkStart w:id="756" w:name="Tc_JJLogS0oVU2vBathFMGlEA_10_0"/>
      <w:bookmarkStart w:id="757" w:name="Tc_lVMnOKMcHkOTJIPY_pciYQ_9_0"/>
      <w:bookmarkStart w:id="758" w:name="Tc_Tja50lz2Fk-7Tuh_gm1okw_8_0"/>
      <w:bookmarkStart w:id="759" w:name="Tc_sayMUWZPIUqYQouqZ87rig_7_0"/>
      <w:bookmarkStart w:id="760" w:name="Tc_6istB64ZX0i8JNy9EgcjrA_6_0"/>
      <w:bookmarkStart w:id="761" w:name="Tc_p-QDVC65HU2jswpj0SnauA_5_4"/>
      <w:bookmarkStart w:id="762" w:name="Tc_oSEP5TF2ekWRNCRqgO1NIA_5_1"/>
      <w:bookmarkStart w:id="763" w:name="Tc_bv1PPO013EmZ7Ing36ccHA_5_0"/>
      <w:bookmarkStart w:id="764" w:name="Tc_uboe13zAm0-PgXNqP3jGaA_4_0"/>
      <w:bookmarkStart w:id="765" w:name="Tc_umZvW3TQM02qQ6BXIfh4WQ_3_4"/>
      <w:bookmarkStart w:id="766" w:name="Tc__gqa_wVgvk2A4umeoMegwg_3_1"/>
      <w:bookmarkStart w:id="767" w:name="Tc_HjXsGBDjEUChOZpc0j2YpQ_3_0"/>
      <w:bookmarkStart w:id="768" w:name="Tc_KAHzTqTZoEi498vIRVKx0Q_2_1"/>
      <w:bookmarkStart w:id="769" w:name="Tc_0o9UkRLwZEeg74NFHRnxTw_1_1"/>
      <w:bookmarkStart w:id="770" w:name="_3ef04afb_51ad_45aa_87a2_1fc8f1a88ea0"/>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tbl>
      <w:tblPr>
        <w:tblW w:w="8011" w:type="dxa"/>
        <w:jc w:val="left"/>
        <w:tblInd w:w="0" w:type="dxa"/>
        <w:tblLayout w:type="fixed"/>
        <w:tblCellMar>
          <w:top w:w="0" w:type="dxa"/>
          <w:left w:w="0" w:type="dxa"/>
          <w:bottom w:w="0" w:type="dxa"/>
          <w:right w:w="0" w:type="dxa"/>
        </w:tblCellMar>
      </w:tblPr>
      <w:tblGrid>
        <w:gridCol w:w="5716"/>
        <w:gridCol w:w="196"/>
        <w:gridCol w:w="811"/>
        <w:gridCol w:w="326"/>
        <w:gridCol w:w="196"/>
        <w:gridCol w:w="76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629660" cy="175260"/>
                      <wp:effectExtent l="0" t="0" r="0" b="0"/>
                      <wp:wrapNone/>
                      <wp:docPr id="75" name="Frame75"/>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4460" cy="175260"/>
                      <wp:effectExtent l="0" t="0" r="0" b="0"/>
                      <wp:wrapNone/>
                      <wp:docPr id="76"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14985" cy="175260"/>
                      <wp:effectExtent l="0" t="0" r="0" b="0"/>
                      <wp:wrapNone/>
                      <wp:docPr id="77" name="Frame7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86410" cy="175260"/>
                      <wp:effectExtent l="0" t="0" r="0" b="0"/>
                      <wp:wrapNone/>
                      <wp:docPr id="80" name="Frame8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22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716" w:type="dxa"/>
            <w:tcBorders/>
            <w:vAlign w:val="center"/>
          </w:tcPr>
          <w:p>
            <w:pPr>
              <w:pStyle w:val="TableContents"/>
              <w:bidi w:val="0"/>
              <w:spacing w:before="0" w:after="0"/>
              <w:ind w:left="0" w:right="0" w:hanging="0"/>
              <w:jc w:val="left"/>
              <w:rPr/>
            </w:pPr>
            <w:r>
              <w:rPr/>
              <w:t>​</w:t>
            </w:r>
          </w:p>
        </w:tc>
        <w:tc>
          <w:tcPr>
            <w:tcW w:w="2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operating activities:</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113,164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102,888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7,479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including fixed asset disposals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from university partners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49,357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and lease liabilities</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8,334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(14,344)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191,639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183,526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investing activities: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(17,933)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of amortizable content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equity investment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equity investment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(191,666)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(48,594)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or maturity of investments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11,007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46,708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(198,748)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(68,695)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(125,236)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(68,695)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(decrease) increase in cash and cash equivalents and restricted cash</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(132,345)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94,842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324,623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146,475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192,278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241,317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44,220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ROU Asset and Liability recognition</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9,439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422</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771" w:name="_cp_text_1_117"/>
      <w:bookmarkEnd w:id="771"/>
      <w:r>
        <w:rPr>
          <w:rFonts w:ascii="Times New Roman;Times;serif" w:hAnsi="Times New Roman;Times;serif"/>
          <w:b/>
          <w:sz w:val="20"/>
        </w:rPr>
        <w:t>1. Nature of Business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ten colleges both online, on ground at its campus in Phoenix, Arizona and at ten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June 30, 2025, GCE provides education services to 20 university partners across the United States.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have been prepared in accordance with U.S. generally accepted accounting principles (“GAAP”) and pursuant to the rules and regulations of the United States Securities and Exchange Commission (the “SEC”) and the instructions to Form 10-Q and Article 10, consistent in all material respects with those applied in its financial statements included in its Annual Report on Form 10-K for the fiscal year ended December 31, 2024. They do not include all of the information and footnotes required by GAAP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2024 from which the December 31, 2024 balance sheet information was derived.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December 31, 2024 the Company had no investments. As of June 30, 2025, the Company considered its investments in corporate bonds, agency bonds, treasury bills and commercial paper as available-for-sale securities based on the Company’s intent for the respective securities. Available-for-sale securities are carried at fair value, determined using Level 1 and Level 2 of the hierarchy of valuation inputs, with the use of inputs other than quoted prices that are observable for the assets. Unrealized investment gains and losses, net of tax, are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Arrangements with GCU</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1, 2018, the Company consummated an Asset Purchase Agreement (the “Asset Purchase Agreement”) with GCU. In conjunction with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of GCU’s tuition and fee revenue. Except for identified liabilities assumed by GCU, GCE retained responsibility for all liabilities of the business arising from pre-closing operations.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Internally Developed Software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Capitalized Content Development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June 30, 2025 and December 31, 2024, $519 and $658, respectively, net of amortization, of deferred content assets are included in other assets, long-term in the Company’s consolidated balance sheets and amortization is included in technical and academic services where the costs originated.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June 30, 2025.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“Board of Directors”). The Company recognizes forfeitures as they occur.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expenses approximate their fair value based on the liquidity or the short-term maturities of these instruments.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pStyle w:val="TextBody"/>
        <w:bidi w:val="0"/>
        <w:spacing w:before="0" w:after="12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-Level 1 – inputs are quoted prices (unadjusted) in active markets for identical assets or liabilities.</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3 – unobservable inputs that are not corroborated by market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Investments are comprised of corporate bonds, commercial paper and agency bonds.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Services Agreements have initial terms ranging from 7-15 years, subject to renewal options, although certain agreements may give the university partners the right to terminate early if certain conditions are met. The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June 30, 2025 given historical collection experience and an evaluation of reasonable and supportable forecasts of economic conditions and other pertinent factors affecting the Company’s customers such as known credit risk or industry trends. The Company will continue to review and revise its allowance methodology based on its collection experience with its partners.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our partners with unbilled revenue, revenue recognition occurs in advance of billings. Billings for some university partners do not occur until after the service period has commenced and final enrollment information is available. Given that the Fall semester ends just prior to December 31 of each year, unbilled revenue is low at year end (whereas a semester is ongoing at the end of each other fiscal quarter, and unbilled revenue is thus higher at the end of our first three quarters). Our unbilled revenue of $3,296 and $115 as of June 30, 2025 and December 31, 2024,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its accounts receivable at the net amount expected to be collected. Our accounts receivable are derived through education services provided to university partners. The Company maintains an allowance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Counseling Services and Support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Marketing and Communication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Marketing and communication include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June 30, 2025 and December 31, 2024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June 30, 2025 and December 31, 2024, the Company had $191,528 and $323,124, respectively, in excess of the FDIC insured limit. The Company is also subject to credit risk for its accounts receivable balance. Our dependence on our most significant university partner, GCU, with 89.4% and 88.4% of total service revenue for the six-month periods ended June 30, 2025 and 2024, respectively, subjects us to the risk that declines in our customer’s operations would result in a sustained reduction in service revenue for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operates as a single education services company using a core infrastructure that serves the curriculum and educational delivery needs of its university partners. The Company’s Chief Executive Officer (the “Chief Operating Decision Maker” or “CODM”) manages the Company’s operations as a whole and no expense or operating income information is generated or evaluated on any component level other than consolidated net income.</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 xml:space="preserve">The education services segment generates revenue through Service Agreements with its university partners, pursuant to which the Company provides integrated technology and academic services, marketing and communication services, and back-office services to its university partners in return for a percentage of tuition and fee revenue.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accounting policies of the education services segment are the same as those described in the summary of significant accounting policies. The measure of segment assets is reported on the consolidated balance sheet as total consolidated assets. The CODM uses consolidated net income to monitor budget versus actual results, which is used to evaluate headcount and compensation decisions.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This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does not expect the adoption of this guidance to have a material impact on the Company’s financial condition, results of operations or statements of cash flows.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“Income Statement - Reporting Comprehensive Income - Expense Disaggregation Disclosures (Subtopic 220-40): Disaggregation of Income Statement Expenses.”  ASU No. 2024-03 does not change or remove existing expense disclosure requirements but requires disaggregated disclosures about certain expense categories and captions, including but not limited to, purchases of inventory, employee compensation, depreciation, amortization and selling expenses. ASU No. 2024-03 will become effective for us in fiscal year 2027 and in the first quarter of fiscal year 2028 for interim reporting. Retrospective application is permitted. The Company does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expect the adoption of this guidance to have a material impact on the Company’s financial condition, results of operations or cash flows.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has determined that no other recent accounting pronouncements apply to its operations or could otherwise have a material impact on its consolidated financial statements. </w:t>
      </w:r>
    </w:p>
    <w:p>
      <w:pPr>
        <w:pStyle w:val="TextBody"/>
        <w:bidi w:val="0"/>
        <w:spacing w:before="0" w:after="120"/>
        <w:ind w:left="0" w:right="0" w:hanging="0"/>
        <w:jc w:val="left"/>
        <w:rPr>
          <w:rFonts w:ascii="Times New Roman;Times;serif" w:hAnsi="Times New Roman;Times;serif"/>
          <w:b/>
          <w:sz w:val="20"/>
        </w:rPr>
      </w:pPr>
      <w:bookmarkStart w:id="772" w:name="Tc_WR2gSyaTsUuqEd0kc6sWnA_6_2"/>
      <w:bookmarkStart w:id="773" w:name="Tc_UHPquk61bUm9rvL_fF1IlQ_5_0"/>
      <w:bookmarkStart w:id="774" w:name="Tc_1wIDNlsg9kGR7CBkknjyqA_4_0"/>
      <w:bookmarkStart w:id="775" w:name="Tc_8EGnqs6pqkeVnxcGFSBS1g_3_0"/>
      <w:bookmarkStart w:id="776" w:name="Tc_618mRj11OUuaC3O8_HXQeg_2_2"/>
      <w:bookmarkStart w:id="777" w:name="Tc_lCmp4Y6JsEqRIiqjmhtPEA_2_0"/>
      <w:bookmarkStart w:id="778" w:name="Tc_MOmV7B0t8k6CpgWXSiPTPA_1_0"/>
      <w:bookmarkStart w:id="779" w:name="Tc_k3GzjCMfRkWrEc-0pK-mrQ_9_11"/>
      <w:bookmarkStart w:id="780" w:name="Tc_fbBWdPffAEiXaoXaN4CydA_9_8"/>
      <w:bookmarkStart w:id="781" w:name="Tc_L3VKYzqWWUSGAuIU8zVYFg_9_5"/>
      <w:bookmarkStart w:id="782" w:name="Tc_IxYfCec57E6rNxxnyHcQ3w_9_2"/>
      <w:bookmarkStart w:id="783" w:name="Tc_Hgapa2_OAEGE-it8RvIUgg_9_0"/>
      <w:bookmarkStart w:id="784" w:name="Tc__AVTmKQXJUWGVmmApUn-tA_8_0"/>
      <w:bookmarkStart w:id="785" w:name="Tc_C8hs-LbauUiWdojIgqkESQ_7_9"/>
      <w:bookmarkStart w:id="786" w:name="Tc_M6Pmgd5zG0m6e5NLuOk8PQ_7_6"/>
      <w:bookmarkStart w:id="787" w:name="Tc_mUhh3Kg9DUqO8dBXSvoQ1w_7_0"/>
      <w:bookmarkStart w:id="788" w:name="Tc_ceHQ_6JGD0SP63QBtLKTGg_6_6"/>
      <w:bookmarkStart w:id="789" w:name="Tc_iQGTLvtqqkeiN343SJNbhQ_6_0"/>
      <w:bookmarkStart w:id="790" w:name="Tc_1oZcB1ICykeAxTGToAe8AA_5_11"/>
      <w:bookmarkStart w:id="791" w:name="Tc_uDKAluq6wU2DMCX1FSaysg_5_8"/>
      <w:bookmarkStart w:id="792" w:name="Tc_0UjPpBx8z0OiH86veggMWQ_5_5"/>
      <w:bookmarkStart w:id="793" w:name="Tc_tUV0HhcncUiiK0QRAwDFrg_5_2"/>
      <w:bookmarkStart w:id="794" w:name="Tc_c7fEAEq_V0ONUKdkWcaolw_5_0"/>
      <w:bookmarkStart w:id="795" w:name="Tc_YEQjSTizFUCjC7tyfOZgTQ_4_11"/>
      <w:bookmarkStart w:id="796" w:name="Tc_rMpQwx7KEkCQSX5LyzwiZA_4_8"/>
      <w:bookmarkStart w:id="797" w:name="Tc_l5KcCdJBTE64ui3F2tjZcQ_4_5"/>
      <w:bookmarkStart w:id="798" w:name="Tc_Ydgjruhj9EaUHUEVzpJcLA_4_2"/>
      <w:bookmarkStart w:id="799" w:name="Tc_eOt9TTCwSEGsm8oedddx4Q_3_11"/>
      <w:bookmarkStart w:id="800" w:name="Tc_wJHspo6L002emvv2wy8_Kw_3_8"/>
      <w:bookmarkStart w:id="801" w:name="Tc_uOIGX3htD0O1sjKKFAEF6Q_3_5"/>
      <w:bookmarkStart w:id="802" w:name="Tc_iHxRH47jpkKjcumZmmvXiQ_3_2"/>
      <w:bookmarkStart w:id="803" w:name="Tc_oR9ihTathUeBZmiccGaFNw_2_11"/>
      <w:bookmarkStart w:id="804" w:name="Tc_-9PnQKppvEWdzIzcl4oQTA_2_8"/>
      <w:bookmarkStart w:id="805" w:name="Tc_GZa-soU4ZkOPdYEuf_1VHQ_2_5"/>
      <w:bookmarkStart w:id="806" w:name="Tc_JNbk-MkeWUmqh-pxWNk-PA_1_2"/>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Pr>
          <w:rFonts w:ascii="Times New Roman;Times;serif" w:hAnsi="Times New Roman;Times;serif"/>
          <w:b/>
          <w:sz w:val="20"/>
        </w:rPr>
        <w:t>3. 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June 30, 2025 the Company had investments of $181,621 classified as available-for-sale securities. The Company had no investments at December 31, 2024 as it sold all its investments in the third quarter of 2024 and the proceeds were invested in cash and cash equivalents.</w:t>
      </w:r>
    </w:p>
    <w:p>
      <w:pPr>
        <w:pStyle w:val="TextBody"/>
        <w:bidi w:val="0"/>
        <w:spacing w:before="0" w:after="0"/>
        <w:ind w:left="0" w:right="0" w:hanging="0"/>
        <w:jc w:val="left"/>
        <w:rPr/>
      </w:pPr>
      <w:r>
        <w:rPr/>
        <w:t>​</w:t>
      </w:r>
    </w:p>
    <w:tbl>
      <w:tblPr>
        <w:tblW w:w="6781" w:type="dxa"/>
        <w:jc w:val="left"/>
        <w:tblInd w:w="0" w:type="dxa"/>
        <w:tblLayout w:type="fixed"/>
        <w:tblCellMar>
          <w:top w:w="0" w:type="dxa"/>
          <w:left w:w="0" w:type="dxa"/>
          <w:bottom w:w="0" w:type="dxa"/>
          <w:right w:w="0" w:type="dxa"/>
        </w:tblCellMar>
      </w:tblPr>
      <w:tblGrid>
        <w:gridCol w:w="1606"/>
        <w:gridCol w:w="326"/>
        <w:gridCol w:w="211"/>
        <w:gridCol w:w="781"/>
        <w:gridCol w:w="326"/>
        <w:gridCol w:w="295"/>
        <w:gridCol w:w="591"/>
        <w:gridCol w:w="326"/>
        <w:gridCol w:w="270"/>
        <w:gridCol w:w="616"/>
        <w:gridCol w:w="326"/>
        <w:gridCol w:w="211"/>
        <w:gridCol w:w="89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019810" cy="175260"/>
                      <wp:effectExtent l="0" t="0" r="0" b="0"/>
                      <wp:wrapNone/>
                      <wp:docPr id="81" name="Frame81"/>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87325" cy="175260"/>
                      <wp:effectExtent l="0" t="0" r="0" b="0"/>
                      <wp:wrapNone/>
                      <wp:docPr id="86" name="Frame86"/>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75285" cy="175260"/>
                      <wp:effectExtent l="0" t="0" r="0" b="0"/>
                      <wp:wrapNone/>
                      <wp:docPr id="87" name="Frame87"/>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71450" cy="175260"/>
                      <wp:effectExtent l="0" t="0" r="0" b="0"/>
                      <wp:wrapNone/>
                      <wp:docPr id="89" name="Frame8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91160" cy="175260"/>
                      <wp:effectExtent l="0" t="0" r="0" b="0"/>
                      <wp:wrapNone/>
                      <wp:docPr id="90" name="Frame9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68960" cy="175260"/>
                      <wp:effectExtent l="0" t="0" r="0" b="0"/>
                      <wp:wrapNone/>
                      <wp:docPr id="93" name="Frame9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84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2025</w: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146,215</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146,452</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10,735</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10,734</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bills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9,456</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5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9,456</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Agency bonds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14,999</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14,979</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181,405</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181,621</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2025 and 2024, the net unrealized gains and (losses) were $165 and ($69), respectively,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w:t>
      </w:r>
    </w:p>
    <w:p>
      <w:pPr>
        <w:pStyle w:val="TextBody"/>
        <w:bidi w:val="0"/>
        <w:spacing w:before="0" w:after="0"/>
        <w:ind w:left="0" w:right="0" w:hanging="0"/>
        <w:jc w:val="left"/>
        <w:rPr/>
      </w:pPr>
      <w:r>
        <w:rPr/>
        <w:t>​</w:t>
      </w:r>
    </w:p>
    <w:tbl>
      <w:tblPr>
        <w:tblW w:w="5972" w:type="dxa"/>
        <w:jc w:val="left"/>
        <w:tblInd w:w="0" w:type="dxa"/>
        <w:tblLayout w:type="fixed"/>
        <w:tblCellMar>
          <w:top w:w="0" w:type="dxa"/>
          <w:left w:w="0" w:type="dxa"/>
          <w:bottom w:w="0" w:type="dxa"/>
          <w:right w:w="0" w:type="dxa"/>
        </w:tblCellMar>
      </w:tblPr>
      <w:tblGrid>
        <w:gridCol w:w="4756"/>
        <w:gridCol w:w="109"/>
        <w:gridCol w:w="211"/>
        <w:gridCol w:w="89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020060" cy="175260"/>
                      <wp:effectExtent l="0" t="0" r="0" b="0"/>
                      <wp:wrapNone/>
                      <wp:docPr id="94" name="Frame94"/>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68960" cy="175260"/>
                      <wp:effectExtent l="0" t="0" r="0" b="0"/>
                      <wp:wrapNone/>
                      <wp:docPr id="97" name="Frame9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maturing as of December 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23,679</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72,303</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61,542</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24,097</w:t>
            </w:r>
          </w:p>
        </w:tc>
      </w:tr>
      <w:tr>
        <w:trPr/>
        <w:tc>
          <w:tcPr>
            <w:tcW w:w="47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181,621</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807" w:name="Tc_WzA8DfdBaka-4IZ_03FHkw_7_0"/>
      <w:bookmarkStart w:id="808" w:name="Tc_tq8WZJ_dlU2mZ55XPYgWIg_6_0"/>
      <w:bookmarkStart w:id="809" w:name="Tc_ULo1pytuekiivceeDNgcxw_5_0"/>
      <w:bookmarkStart w:id="810" w:name="Tc_NXd2FTD0vEuzAVszoKLSIg_4_0"/>
      <w:bookmarkStart w:id="811" w:name="Tc_4lEMQMwizUK4JiJxARMqVA_3_8"/>
      <w:bookmarkStart w:id="812" w:name="Tc_R0zD8x0oi0u0bww_B5GsSQ_3_6"/>
      <w:bookmarkStart w:id="813" w:name="Tc_stml6NP-JkafVPmEJvOCpQ_3_4"/>
      <w:bookmarkStart w:id="814" w:name="Tc_LFL-Pq86nkGiIIi7tk8VxQ_3_2"/>
      <w:bookmarkStart w:id="815" w:name="Tc_SnofqnYUzk2wvo5zRVy9nw_2_6"/>
      <w:bookmarkStart w:id="816" w:name="Tc_S-r3fqZpOEeH9OFCEePDNQ_2_2"/>
      <w:bookmarkStart w:id="817" w:name="Tc_k9a-o-s66kqEfA4c_x8GsA_1_6"/>
      <w:bookmarkStart w:id="818" w:name="Tc_CExi36_upUqBsy3cPW8o4g_1_2"/>
      <w:bookmarkEnd w:id="807"/>
      <w:bookmarkEnd w:id="808"/>
      <w:bookmarkEnd w:id="809"/>
      <w:bookmarkEnd w:id="810"/>
      <w:bookmarkEnd w:id="811"/>
      <w:bookmarkEnd w:id="812"/>
      <w:bookmarkEnd w:id="813"/>
      <w:bookmarkEnd w:id="814"/>
      <w:bookmarkEnd w:id="815"/>
      <w:bookmarkEnd w:id="816"/>
      <w:bookmarkEnd w:id="817"/>
      <w:bookmarkEnd w:id="818"/>
      <w:r>
        <w:rPr>
          <w:rFonts w:ascii="Times New Roman;Times;serif" w:hAnsi="Times New Roman;Times;serif"/>
          <w:b/>
          <w:sz w:val="20"/>
        </w:rPr>
        <w:t xml:space="preserve">4. Net Income Per Common Share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pStyle w:val="TextBody"/>
        <w:bidi w:val="0"/>
        <w:spacing w:before="0" w:after="0"/>
        <w:ind w:left="0" w:right="0" w:hanging="0"/>
        <w:jc w:val="left"/>
        <w:rPr/>
      </w:pPr>
      <w:r>
        <w:rPr/>
        <w:t>​</w:t>
      </w:r>
    </w:p>
    <w:tbl>
      <w:tblPr>
        <w:tblW w:w="8204" w:type="dxa"/>
        <w:jc w:val="left"/>
        <w:tblInd w:w="0" w:type="dxa"/>
        <w:tblLayout w:type="fixed"/>
        <w:tblCellMar>
          <w:top w:w="0" w:type="dxa"/>
          <w:left w:w="0" w:type="dxa"/>
          <w:bottom w:w="0" w:type="dxa"/>
          <w:right w:w="0" w:type="dxa"/>
        </w:tblCellMar>
      </w:tblPr>
      <w:tblGrid>
        <w:gridCol w:w="4261"/>
        <w:gridCol w:w="146"/>
        <w:gridCol w:w="676"/>
        <w:gridCol w:w="326"/>
        <w:gridCol w:w="676"/>
        <w:gridCol w:w="326"/>
        <w:gridCol w:w="676"/>
        <w:gridCol w:w="326"/>
        <w:gridCol w:w="79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705735" cy="175260"/>
                      <wp:effectExtent l="0" t="0" r="0" b="0"/>
                      <wp:wrapNone/>
                      <wp:docPr id="98" name="Frame98"/>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92710" cy="175260"/>
                      <wp:effectExtent l="0" t="0" r="0" b="0"/>
                      <wp:wrapNone/>
                      <wp:docPr id="99" name="Frame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29260" cy="175260"/>
                      <wp:effectExtent l="0" t="0" r="0" b="0"/>
                      <wp:wrapNone/>
                      <wp:docPr id="100" name="Frame1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29260" cy="175260"/>
                      <wp:effectExtent l="0" t="0" r="0" b="0"/>
                      <wp:wrapNone/>
                      <wp:docPr id="102" name="Frame1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02285" cy="175260"/>
                      <wp:effectExtent l="0" t="0" r="0" b="0"/>
                      <wp:wrapNone/>
                      <wp:docPr id="106" name="Frame10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7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179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17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27,996</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29,285</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28,136</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29,372</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28,134</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29,415</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28,301</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29,527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Diluted weighted average shares outstanding excludes the incremental effect of unvested restricted stock in accordance with the treasury stock method. For both of the three-month periods ended June 30, 2025 and 2024, approximately nil, and for the six-month periods ended June 30, 2025 and 2024, approximately 30 and 39, respectively, of the Company’s restricted stock awards outstanding were excluded from the calculation of diluted earnings per share as their inclusion would have been anti-dilutive. These restricted stock awards could be dilutive in the future.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819" w:name="Tc_k0521PLLBEmaGTKmVCk2Ew_13_4"/>
      <w:bookmarkStart w:id="820" w:name="Tc_7dhLxIeXOUSLys26QBonpQ_13_1"/>
      <w:bookmarkStart w:id="821" w:name="Tc_eVKidTZihkeCEz3sQScAQw_13_0"/>
      <w:bookmarkStart w:id="822" w:name="Tc_dav8jnueUk-64SO0DUgGQw_12_0"/>
      <w:bookmarkStart w:id="823" w:name="Tc_OJU4VrHx4kO1vf1h3u8gpA_10_0"/>
      <w:bookmarkStart w:id="824" w:name="Tc_ujIPTufVM0eIkeN3W8_zAw_9_0"/>
      <w:bookmarkStart w:id="825" w:name="Tc_QJTcMhEQw0Gv7XHlbCOaqg_8_0"/>
      <w:bookmarkStart w:id="826" w:name="Tc_ACPo3ZwjMUKnR8l-LvzLTA_7_0"/>
      <w:bookmarkStart w:id="827" w:name="Tc_jpAnRXL5JUKZppaZac8APw_6_0"/>
      <w:bookmarkStart w:id="828" w:name="Tc_tqyvfCk1U0Cy5nV6DDuHtA_5_0"/>
      <w:bookmarkStart w:id="829" w:name="Tc_gypg7B1uKk6cVQtqMvvQFQ_4_0"/>
      <w:bookmarkStart w:id="830" w:name="Tc_TLoNoFwMrUOoGjaptU2jFA_3_4"/>
      <w:bookmarkStart w:id="831" w:name="Tc_4o7f36oy1kGOFM_aGBj7-Q_3_1"/>
      <w:bookmarkStart w:id="832" w:name="Tc_AwAAYXDGKEKVKfAIvMPAdg_3_0"/>
      <w:bookmarkStart w:id="833" w:name="Tc_zziTZfHdt0WJQaObBC1x4A_2_4"/>
      <w:bookmarkStart w:id="834" w:name="Tc_F6p61drRU02CaULyOvlq5w_2_1"/>
      <w:bookmarkStart w:id="835" w:name="Tc_SNjxxEkiqk2W4gzfMu5ZHg_1_4"/>
      <w:bookmarkStart w:id="836" w:name="Tc_rI-2MEm-uUC7xLUXHGGHOA_1_1"/>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ascii="Times New Roman;Times;serif" w:hAnsi="Times New Roman;Times;serif"/>
          <w:b/>
          <w:sz w:val="20"/>
        </w:rPr>
        <w:t>5. Property and Equipment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6674" w:type="dxa"/>
        <w:jc w:val="left"/>
        <w:tblInd w:w="0" w:type="dxa"/>
        <w:tblLayout w:type="fixed"/>
        <w:tblCellMar>
          <w:top w:w="0" w:type="dxa"/>
          <w:left w:w="0" w:type="dxa"/>
          <w:bottom w:w="0" w:type="dxa"/>
          <w:right w:w="0" w:type="dxa"/>
        </w:tblCellMar>
      </w:tblPr>
      <w:tblGrid>
        <w:gridCol w:w="4051"/>
        <w:gridCol w:w="211"/>
        <w:gridCol w:w="901"/>
        <w:gridCol w:w="326"/>
        <w:gridCol w:w="216"/>
        <w:gridCol w:w="969"/>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572385" cy="175260"/>
                      <wp:effectExtent l="0" t="0" r="0" b="0"/>
                      <wp:wrapNone/>
                      <wp:docPr id="107" name="Frame107"/>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72135" cy="175260"/>
                      <wp:effectExtent l="0" t="0" r="0" b="0"/>
                      <wp:wrapNone/>
                      <wp:docPr id="109" name="Frame10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7160" cy="175260"/>
                      <wp:effectExtent l="0" t="0" r="0" b="0"/>
                      <wp:wrapNone/>
                      <wp:docPr id="111" name="Frame11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15315" cy="175260"/>
                      <wp:effectExtent l="0" t="0" r="0" b="0"/>
                      <wp:wrapNone/>
                      <wp:docPr id="112" name="Frame112"/>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37,424</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142,444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141,160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30,583</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29,715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113,261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98,605</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4,497</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6,393</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388,696</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372,036</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(209,312)</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(195,213)</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179,384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176,823</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837" w:name="Tc_sh9BmBeuNEeNaL6hwrALFw_7_2"/>
      <w:bookmarkStart w:id="838" w:name="Tc_fUgcZ7RF-UGvyHc8tNhUJw_6_0"/>
      <w:bookmarkStart w:id="839" w:name="Tc_LJLNHhiF-kqI7vKu5Az00g_5_0"/>
      <w:bookmarkStart w:id="840" w:name="Tc_mlTmVe8QF0SvDZs7kHiORw_4_0"/>
      <w:bookmarkStart w:id="841" w:name="Tc_h1SDM_o2z0-wnPqLFiDnwA_3_0"/>
      <w:bookmarkStart w:id="842" w:name="Tc_mH2edyoo8UeWwmGP6NysIA_2_0"/>
      <w:bookmarkStart w:id="843" w:name="Tc_m2HQYsLJyUmaG2I3oQwV7Q_1_2"/>
      <w:bookmarkStart w:id="844" w:name="Tc_a-f_xX0Rn0mQyEVFOL_9uA_1_0"/>
      <w:bookmarkStart w:id="845" w:name="Tc_eU9wOE5RJ0WBL5NQYb5Ryg_7_9"/>
      <w:bookmarkStart w:id="846" w:name="Tc_Tg4ppH5O7Eyd-APv2jhUqg_7_6"/>
      <w:bookmarkStart w:id="847" w:name="Tc_JbvZToqlCEqYog5wStUbBg_7_3"/>
      <w:bookmarkStart w:id="848" w:name="Tc_eb00CHepXkKE4S4tJnAflw_7_0"/>
      <w:bookmarkStart w:id="849" w:name="Tc_IqkZPUyk8EOOUDssbDXqcg_6_10"/>
      <w:bookmarkStart w:id="850" w:name="Tc__mrE61HH4UKf4U66-ALq2g_6_0"/>
      <w:bookmarkStart w:id="851" w:name="Tc_La3WQfDBk02dI8R1PlcsNg_5_9"/>
      <w:bookmarkStart w:id="852" w:name="Tc_EBFmZhRmXE2iU646e_fOoA_5_6"/>
      <w:bookmarkStart w:id="853" w:name="Tc_1c3LIVnnXEq_rR6sww9oXQ_5_3"/>
      <w:bookmarkStart w:id="854" w:name="Tc_zB5jBuPFWEWVRivdwzmjBA_5_0"/>
      <w:bookmarkStart w:id="855" w:name="Tc_ML8o_rai7EugCorQjMGlZg_4_9"/>
      <w:bookmarkStart w:id="856" w:name="Tc_LppeatwWrk2EdW1zpTemrQ_4_6"/>
      <w:bookmarkStart w:id="857" w:name="Tc_4NSMVkrTuECpaUEN3LUKLw_4_3"/>
      <w:bookmarkStart w:id="858" w:name="Tc_x1dZar508EqCdWR6E2dCrQ_4_1"/>
      <w:bookmarkStart w:id="859" w:name="Tc_1Y9SB2OHaESkff7uuZ7THQ_3_9"/>
      <w:bookmarkStart w:id="860" w:name="Tc_JNzw9DZS10KUhH5iuAEPiQ_3_6"/>
      <w:bookmarkStart w:id="861" w:name="Tc_euD3UWXkf0-0fbdEATHffg_3_3"/>
      <w:bookmarkStart w:id="862" w:name="Tc_JTTzQBa9qkOi2KIUHrMcCQ_3_1"/>
      <w:bookmarkStart w:id="863" w:name="Tc_X5Ke8fCLikK6JtNZaPGDIw_2_9"/>
      <w:bookmarkStart w:id="864" w:name="Tc_x8f_Td8UaU68ubDRAc4-wA_2_3"/>
      <w:bookmarkStart w:id="865" w:name="Tc_JvmkAFEHg0i94-rOPEPfcg_2_1"/>
      <w:bookmarkStart w:id="866" w:name="Tc_tA2PtQiNvkSPAILq_CJILA_1_1"/>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Pr>
          <w:rFonts w:ascii="Times New Roman;Times;serif" w:hAnsi="Times New Roman;Times;serif"/>
          <w:b/>
          <w:sz w:val="20"/>
        </w:rPr>
        <w:t xml:space="preserve">6. Amortizable Intangible Assets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Identified intangible assets of $210,280 consisted primarily of university partner relationships that were valued at $210,000, which arose in connection with the acquisition of Orbis Education in January 2019.</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bidi w:val="0"/>
        <w:spacing w:before="0" w:after="0"/>
        <w:ind w:left="0" w:right="0" w:hanging="0"/>
        <w:jc w:val="left"/>
        <w:rPr/>
      </w:pPr>
      <w:r>
        <w:rPr/>
        <w:t>​</w:t>
      </w:r>
    </w:p>
    <w:tbl>
      <w:tblPr>
        <w:tblW w:w="8315" w:type="dxa"/>
        <w:jc w:val="left"/>
        <w:tblInd w:w="0" w:type="dxa"/>
        <w:tblLayout w:type="fixed"/>
        <w:tblCellMar>
          <w:top w:w="0" w:type="dxa"/>
          <w:left w:w="0" w:type="dxa"/>
          <w:bottom w:w="0" w:type="dxa"/>
          <w:right w:w="0" w:type="dxa"/>
        </w:tblCellMar>
      </w:tblPr>
      <w:tblGrid>
        <w:gridCol w:w="3301"/>
        <w:gridCol w:w="1216"/>
        <w:gridCol w:w="206"/>
        <w:gridCol w:w="211"/>
        <w:gridCol w:w="781"/>
        <w:gridCol w:w="206"/>
        <w:gridCol w:w="240"/>
        <w:gridCol w:w="841"/>
        <w:gridCol w:w="206"/>
        <w:gridCol w:w="211"/>
        <w:gridCol w:w="89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96135" cy="175260"/>
                      <wp:effectExtent l="0" t="0" r="0" b="0"/>
                      <wp:wrapNone/>
                      <wp:docPr id="113" name="Frame113"/>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72160" cy="175260"/>
                      <wp:effectExtent l="0" t="0" r="0" b="0"/>
                      <wp:wrapNone/>
                      <wp:docPr id="114" name="Frame11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0810" cy="175260"/>
                      <wp:effectExtent l="0" t="0" r="0" b="0"/>
                      <wp:wrapNone/>
                      <wp:docPr id="115" name="Frame11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0810" cy="175260"/>
                      <wp:effectExtent l="0" t="0" r="0" b="0"/>
                      <wp:wrapNone/>
                      <wp:docPr id="118" name="Frame11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52400" cy="175260"/>
                      <wp:effectExtent l="0" t="0" r="0" b="0"/>
                      <wp:wrapNone/>
                      <wp:docPr id="119" name="Frame11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34035" cy="175260"/>
                      <wp:effectExtent l="0" t="0" r="0" b="0"/>
                      <wp:wrapNone/>
                      <wp:docPr id="120" name="Frame1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0810" cy="175260"/>
                      <wp:effectExtent l="0" t="0" r="0" b="0"/>
                      <wp:wrapNone/>
                      <wp:docPr id="121" name="Frame12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68960" cy="175260"/>
                      <wp:effectExtent l="0" t="0" r="0" b="0"/>
                      <wp:wrapNone/>
                      <wp:docPr id="123" name="Frame12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501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0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0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(54,248)</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155,752</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0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(54,528)</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155,752</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Amortization expense for university partner relationships and trade names for the years ending December 31:</w:t>
      </w:r>
    </w:p>
    <w:p>
      <w:pPr>
        <w:pStyle w:val="TextBody"/>
        <w:bidi w:val="0"/>
        <w:spacing w:before="0" w:after="0"/>
        <w:ind w:left="0" w:right="0" w:hanging="0"/>
        <w:jc w:val="left"/>
        <w:rPr/>
      </w:pPr>
      <w:r>
        <w:rPr/>
        <w:t>​</w:t>
      </w:r>
    </w:p>
    <w:tbl>
      <w:tblPr>
        <w:tblW w:w="2162" w:type="dxa"/>
        <w:jc w:val="left"/>
        <w:tblInd w:w="0" w:type="dxa"/>
        <w:tblLayout w:type="fixed"/>
        <w:tblCellMar>
          <w:top w:w="0" w:type="dxa"/>
          <w:left w:w="0" w:type="dxa"/>
          <w:bottom w:w="0" w:type="dxa"/>
          <w:right w:w="0" w:type="dxa"/>
        </w:tblCellMar>
      </w:tblPr>
      <w:tblGrid>
        <w:gridCol w:w="946"/>
        <w:gridCol w:w="109"/>
        <w:gridCol w:w="211"/>
        <w:gridCol w:w="89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00710" cy="175260"/>
                      <wp:effectExtent l="0" t="0" r="0" b="0"/>
                      <wp:wrapNone/>
                      <wp:docPr id="124" name="Frame12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8960" cy="175260"/>
                      <wp:effectExtent l="0" t="0" r="0" b="0"/>
                      <wp:wrapNone/>
                      <wp:docPr id="127" name="Frame12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117,867</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155,752</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operating leases for off-campus classroom and laboratory sites, office space, office equipment, and optical fiber communication lines. These leases have remaining lease terms that range from seven months to 10 years and six months. At lease inception, we determine the lease term by assuming no exercises of renewal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bookmarkStart w:id="867" w:name="Tc_GE0cBZfRL02ni-RFuj-Oyg_10_2"/>
      <w:bookmarkStart w:id="868" w:name="Tc_jrzqIHWEYka-qrQNv5OKMw_10_0"/>
      <w:bookmarkStart w:id="869" w:name="Tc_sbkoxrtfX0ar1axAHnrn6g_9_0"/>
      <w:bookmarkStart w:id="870" w:name="Tc_r3OosH_RAEeFomHy_ScyHw_8_2"/>
      <w:bookmarkStart w:id="871" w:name="Tc_mPJQU0hAZEyJvvUUVPeaew_8_0"/>
      <w:bookmarkStart w:id="872" w:name="Tc_2FT3CXTimkG95v-STcedsw_7_0"/>
      <w:bookmarkStart w:id="873" w:name="Tc_1w-vin1FbkSZcNX8A2kGUQ_6_0"/>
      <w:bookmarkStart w:id="874" w:name="Tc_b4oguy411kC6Ma4nIaAeeA_5_0"/>
      <w:bookmarkStart w:id="875" w:name="Tc__qZwSJd6YkCoWB-scrOHMQ_4_0"/>
      <w:bookmarkStart w:id="876" w:name="Tc_YnrytfAvrkanHV3lkDCvBg_3_0"/>
      <w:bookmarkStart w:id="877" w:name="Tc_0tZY4qRbEE6PBb5ID8tedw_2_2"/>
      <w:bookmarkStart w:id="878" w:name="Tc__wJmKJvdZUWwnshCkqy5Vg_2_0"/>
      <w:bookmarkStart w:id="879" w:name="Tc_TWrSbNOwRk-BL0iUCBBi4Q_1_2"/>
      <w:bookmarkStart w:id="880" w:name="Tc_O7dwbTTNkk6Zn-TiiXAODA_1_0"/>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Pr>
          <w:rFonts w:ascii="Times New Roman;Times;serif" w:hAnsi="Times New Roman;Times;serif"/>
          <w:sz w:val="20"/>
        </w:rPr>
        <w:t>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$8,749 and $8,037 for the six-month periods ended June 30, 2025 and 2024, respectively.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June 30, 2025, the Company had $16,545 of non-cancelable operating lease commitments for three off-campus classroom and laboratory sites that had not yet commenced. The Company’s weighted-average remaining lease term relating to its operating leases is 7.35 years, with a weighted-average discount rate of 4.32%. The cash paid for operating lease liabilities was $8,358 and $7,279 for the six months ended June 30, 2025 and 2024, respectively. As of June 30, 2025, the Company had no financing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Future payment obligations with respect to the Company’s operating leases, which were existing at June 30, 2025, by year and in the aggregate, are as follows:</w:t>
      </w:r>
    </w:p>
    <w:p>
      <w:pPr>
        <w:pStyle w:val="TextBody"/>
        <w:bidi w:val="0"/>
        <w:spacing w:before="0" w:after="0"/>
        <w:ind w:left="0" w:right="0" w:hanging="0"/>
        <w:jc w:val="left"/>
        <w:rPr/>
      </w:pPr>
      <w:r>
        <w:rPr/>
        <w:t>​</w:t>
      </w:r>
    </w:p>
    <w:tbl>
      <w:tblPr>
        <w:tblW w:w="4119" w:type="dxa"/>
        <w:jc w:val="left"/>
        <w:tblInd w:w="0" w:type="dxa"/>
        <w:tblLayout w:type="fixed"/>
        <w:tblCellMar>
          <w:top w:w="0" w:type="dxa"/>
          <w:left w:w="0" w:type="dxa"/>
          <w:bottom w:w="0" w:type="dxa"/>
          <w:right w:w="0" w:type="dxa"/>
        </w:tblCellMar>
      </w:tblPr>
      <w:tblGrid>
        <w:gridCol w:w="2686"/>
        <w:gridCol w:w="326"/>
        <w:gridCol w:w="211"/>
        <w:gridCol w:w="89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705610" cy="175260"/>
                      <wp:effectExtent l="0" t="0" r="0" b="0"/>
                      <wp:wrapNone/>
                      <wp:docPr id="128" name="Frame128"/>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8960" cy="175260"/>
                      <wp:effectExtent l="0" t="0" r="0" b="0"/>
                      <wp:wrapNone/>
                      <wp:docPr id="131" name="Frame13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17,863</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17,272</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48,698</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127,280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19,447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107,833</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Pending Litigation Matters</w:t>
      </w:r>
    </w:p>
    <w:p>
      <w:pPr>
        <w:pStyle w:val="TextBody"/>
        <w:bidi w:val="0"/>
        <w:spacing w:before="0" w:after="0"/>
        <w:ind w:left="0" w:right="0" w:firstLine="720"/>
        <w:jc w:val="left"/>
        <w:rPr>
          <w:rFonts w:ascii="Times New Roman;Times;serif" w:hAnsi="Times New Roman;Times;serif"/>
          <w:sz w:val="20"/>
        </w:rPr>
      </w:pPr>
      <w:r>
        <w:rPr>
          <w:rFonts w:ascii="Times New Roman;font-style:italic" w:hAnsi="Times New Roman;font-style:italic"/>
          <w:i/>
          <w:sz w:val="20"/>
        </w:rPr>
        <w:t>False Claims Act Matter</w:t>
      </w:r>
      <w:r>
        <w:rPr>
          <w:rFonts w:ascii="Times New Roman" w:hAnsi="Times New Roman"/>
          <w:sz w:val="20"/>
        </w:rPr>
        <w:t>. In May 2020, the Company was served with a </w:t>
      </w:r>
      <w:r>
        <w:rPr>
          <w:rFonts w:ascii="Times New Roman;font-style:italic" w:hAnsi="Times New Roman;font-style:italic"/>
          <w:i/>
          <w:sz w:val="20"/>
        </w:rPr>
        <w:t>qui tam </w:t>
      </w:r>
      <w:r>
        <w:rPr>
          <w:rFonts w:ascii="Times New Roman" w:hAnsi="Times New Roman"/>
          <w:sz w:val="20"/>
        </w:rPr>
        <w:t xml:space="preserve">lawsuit that had been filed against us in 2019 in the U.S. District Court for the District of Massachusetts by a former employee on behalf of the federal government. All proceedings in the lawsuit had been under seal until February 2020, when the U.S. government decided to not intervene in the lawsuit, and the complaint was then unsealed by the court. The suit, </w:t>
      </w:r>
      <w:r>
        <w:rPr>
          <w:rFonts w:ascii="Times New Roman;font-style:italic" w:hAnsi="Times New Roman;font-style:italic"/>
          <w:i/>
          <w:sz w:val="20"/>
        </w:rPr>
        <w:t>United States ex rel Mackillop v. Grand Canyon Education, Inc.</w:t>
      </w:r>
      <w:r>
        <w:rPr>
          <w:rFonts w:ascii="Times New Roman" w:hAnsi="Times New Roman"/>
          <w:sz w:val="20"/>
        </w:rPr>
        <w:t xml:space="preserve">, alleges that we violated the False Claims Act by improperly compensating certain of our enrollment counselors in violation of the Title IV law governing compensation of such employees (the “incentive compensation rule”), and as a result, improperly received Title IV program funds. In response to a second amended complaint filed in September 2020, we filed a motion to dismiss and a motion to transfer the matter to the U.S. District Court for the District of Arizona. In December 2020, the court granted our motion to dismiss as to one of three counts and granted the motion to transfer but only upon conclusion of pretrial proceedings. In September 2021, we filed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white-space:pre-wrap" w:hAnsi="Times New Roman;white-space:pre-wrap"/>
          <w:sz w:val="20"/>
        </w:rPr>
      </w:pPr>
      <w:r>
        <w:rPr>
          <w:rFonts w:ascii="Times New Roman;white-space:pre-wrap" w:hAnsi="Times New Roman;white-space:pre-wrap"/>
          <w:sz w:val="20"/>
        </w:rPr>
        <w:t xml:space="preserve">a motion for summary judgment which the Massachusetts court denied in September 2022. Subsequently, the matter was transferred to the Arizona court and trial was scheduled for late April 2024. In the interim, we filed a motion for reconsideration of the summary judgment ruling in September 2023. Prior to trial commencing, we and the relator reached an agreement to stay trial while the parties attempt to finalize the terms upon which the litigation could be concluded. Having been unsuccessful in reaching terms with the relevant parties, which would have avoided litigation, the Court has rescheduled the trial for October 2025. The parties have recommenced settlement discussions, but consummation of any settlement is contingent upon certain regulatory approvals from applicable U.S. government agencies that are yet to be received. For any future settlement to be affected, all parties to the litigation, including the applicable U.S. government agencies, will need to agree on acceptable terms, both monetary and non-monetary, and we do not have certainty at this point as to whether those terms will be agreed upon. </w:t>
      </w:r>
    </w:p>
    <w:p>
      <w:pPr>
        <w:pStyle w:val="TextBody"/>
        <w:bidi w:val="0"/>
        <w:spacing w:before="0" w:after="120"/>
        <w:ind w:left="0" w:right="0" w:firstLine="720"/>
        <w:jc w:val="left"/>
        <w:rPr>
          <w:rFonts w:ascii="Times New Roman" w:hAnsi="Times New Roman"/>
          <w:sz w:val="20"/>
        </w:rPr>
      </w:pPr>
      <w:r>
        <w:rPr>
          <w:rFonts w:ascii="Times New Roman" w:hAnsi="Times New Roman"/>
          <w:sz w:val="20"/>
        </w:rPr>
        <w:t>We believe that the compensation practices at issue in the complaint, which were developed with the guidance of outside regulatory counsel specifically to comply with Title IV and its regulations and relevant case law interpreting the incentive compensation rule, do not violate applicable law. The Company intends to defend itself vigorously in this legal proceeding.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pStyle w:val="TextBody"/>
        <w:bidi w:val="0"/>
        <w:spacing w:lineRule="auto" w:line="300" w:before="0" w:after="120"/>
        <w:ind w:left="0" w:right="0" w:firstLine="720"/>
        <w:jc w:val="left"/>
        <w:rPr>
          <w:rFonts w:ascii="Times New Roman;Times;serif" w:hAnsi="Times New Roman;Times;serif"/>
          <w:sz w:val="20"/>
        </w:rPr>
      </w:pPr>
      <w:r>
        <w:rPr>
          <w:rFonts w:ascii="Times New Roman;Times;serif" w:hAnsi="Times New Roman;Times;serif"/>
          <w:i/>
          <w:sz w:val="20"/>
        </w:rPr>
        <w:t>Matters Related to GCU Graduate Program Disclosures and Related Matters.</w:t>
      </w:r>
      <w:r>
        <w:rPr>
          <w:rFonts w:ascii="Times New Roman;Times;serif" w:hAnsi="Times New Roman;Times;serif"/>
          <w:sz w:val="20"/>
        </w:rPr>
        <w:t xml:space="preserve"> The Company is a party to several matters alleging that, in the performance of its marketing services provided on behalf of GCU, it made false or misleading representations regarding the time to complete and the costs associated with and/or accreditation issues related to certain GCU graduate programs, and (in the case of the FTC matter noted below) also made false or misleading representations regarding GCU’s non-profit status and made telemarketing calls to phone numbers on do not call lists. These matters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Smith and Wang v. Grand Canyon Education, Inc.</w:t>
            </w:r>
            <w:r>
              <w:rPr>
                <w:caps w:val="false"/>
                <w:smallCaps w:val="false"/>
              </w:rPr>
              <w:t xml:space="preserve"> </w:t>
            </w:r>
            <w:r>
              <w:rPr>
                <w:rFonts w:ascii="Times New Roman;Times;serif" w:hAnsi="Times New Roman;Times;serif"/>
                <w:b w:val="false"/>
                <w:i w:val="false"/>
                <w:caps w:val="false"/>
                <w:smallCaps w:val="false"/>
                <w:sz w:val="20"/>
              </w:rPr>
              <w:t>This putative class action was filed in June 2024 in the United States District Court for the District of Arizona and asserts claims under the federal RICO statute as well as various claims for violations of state law consumer protection statutes. On September 20, 2024, the plaintiffs amended their complaint, and on November 4, 2024, the Company moved to dismiss the case. The court granted in part and denied in part the motion to dismiss. Specifically, the court dismissed one of the plaintiff’s RICO counts but allowed the other RICO count and the consumer protection claims to proceed to discovery. Discovery is ongoing, and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Federal Trade Commission v. Grand Canyon Education, Inc., et al. This suit was filed in late December 2023 in United States District Court for the District of Arizona and asserts claims under the FTC Act and Telemarketing Sales Rule. In February 2024, GCE filed a partial motion to dismiss, which was denied in August 2024. On June 17, 2025, the parties filed a Joint Motion and Proposed Order Staying Case for 60-Days to Consider Non-Settlement Resolution of the Case. The Motion noted that the parties had discussed a proposed non-settlement resolution of the matter and requested a stay of the litigation for 60 days to allow for a vote of the Commission with respect to the proposed resolution. The Court granted the Motion and ordered a 60-day stay of the litigation on June 20,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Ogdon v. Grand Canyon Education, Inc., et al. This putative class action was filed in May 2020 in federal district court in California and later transferred to United States District Court for the District of Arizona and asserts claims for violations of California’s False Advertising Law, Unfair Competition Law, Consumer Legal Remedies Act; Unjust Enrichment; and purported violations of the federal RICO statute, including a conspiracy claim. The defendants include the Company along with our chief executive officer, chief operating officer and chief financial officer. On May 27, 2022, after significant motions practice, the Company filed an amended motion to dismiss and a motion to strike certain allegations in Plaintiff’s amended complaint. On August 8, 2023, the court presiding over the dispute entered two orders: (1) an order granting in part the Company’s motion to dismiss as to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Ogdon’s RICO claim from the case and to dismiss the individual Defendants; and (2) an order granting in part the Company’s motion to strike scandalous and impertinent allegations in Ogdon’s complaint about our business. Shortly thereafter on August 22, 2023, Plaintiff moved the court to reconsider its dismissal of the RICO claim. Though discovery had commenced, and the Company substantially completed its discovery obligations on the state-law claims, discovery was stayed on March 18, 2024, pending mediation and the disposition of Ogdon’s motion for reconsideration. On March 29, 2024, the court issued an order reinstating Plaintiff’s RICO claim. On September 26, 2024, the court lifted the stay on discovery, and discovery resumed. In July 2025, the plaintiff filed a Second Amended Complaint and added an additional plaintiff. The Company’s answer to the Second Amended Complaint is due August 19, 2025.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Valerio, et al. v. Grand Canyon Education, Inc., et al. This suit was filed on December 24, 2024, in Maricopa County, Arizona Superior Court on behalf of nearly 300 plaintiffs. The plaintiffs assert various claims, including claims for violations of state law consumer protection statutes. The Company filed a motion to dismiss the complaint on May 12, 2025.  The motion to dismiss is still pending, and there is currently no trial date scheduled in this matter.</w:t>
            </w:r>
          </w:p>
        </w:tc>
      </w:tr>
    </w:tbl>
    <w:p>
      <w:pPr>
        <w:pStyle w:val="TextBody"/>
        <w:bidi w:val="0"/>
        <w:spacing w:before="0" w:after="0"/>
        <w:ind w:left="1440" w:right="0" w:hanging="0"/>
        <w:jc w:val="left"/>
        <w:rPr/>
      </w:pPr>
      <w:r>
        <w:rPr/>
        <w:t>​</w:t>
      </w:r>
    </w:p>
    <w:p>
      <w:pPr>
        <w:pStyle w:val="TextBody"/>
        <w:bidi w:val="0"/>
        <w:spacing w:lineRule="auto" w:line="300" w:before="0" w:after="120"/>
        <w:ind w:left="0" w:right="0" w:firstLine="720"/>
        <w:jc w:val="left"/>
        <w:rPr>
          <w:rFonts w:ascii="Times New Roman;Times;serif" w:hAnsi="Times New Roman;Times;serif"/>
          <w:sz w:val="20"/>
        </w:rPr>
      </w:pPr>
      <w:r>
        <w:rPr>
          <w:rFonts w:ascii="Times New Roman;Times;serif" w:hAnsi="Times New Roman;Times;serif"/>
          <w:sz w:val="20"/>
        </w:rPr>
        <w:t>We believe that the Company’s representations made in marketing materials or by our employees regarding GCU’s non-profit status and doctoral program requirements were at all times accurate and not false or misleading, and thus did not violate applicable law. In addition, to the extent the representations we made or actions we took that are at issue in these proceedings were done or taken after July 1, 2018 at the direction of GCU and/or based on written instructions, or advertising or web materials, provided to us for use by GCU, GCU has agreed to indemnify us in part under the terms of the Master Services Agreement for our losses and expenses arising from these matters. With regard to the FTC’s claims under the Telemarketing Sales Rule, we only make telemarketing calls to individuals who have demonstrated interest in speaking to us about educational opportunities at GCU, which are permitted by the rule. The Company intends to defend itself vigorously in each of these legal proceedings. The outcome of these legal proceedings is uncertain at this point. At present, the Company cannot estimate a range of loss for these actions based on the information available to the Company. Accordingly, the Company has not accrued any liability associated with these actions.</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9. Share-Based Compensation</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Incentive Plan</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makes equity incentive grants pursuant to our 2017 Equity Incentive Plan (the “2017 Plan”) under which a maximum of 3,000 shares may be granted. As of June 30, 2025, 873 shares were available for grants under the 2017 Plan. </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2025, the Company granted 86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six months ended June 30, 2025, the Company withheld 53 shares of common stock in lieu of taxes at a cost of $9,463 on the restricted stock vesting dates. In June 2025, following the annual stockholders meeting, the Company granted 2 shares of common stock to the non-employee members of the Board of Directors. The restricted shares granted to these directors have voting rights and vest on the earlier of (a) the one-year anniversary of the date of grant or (b) immediately prior to the next annual stockholders meeting.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June 30, 2024, a named executive officer resigned for “good reason” which resulted in an acceleration of the next tranche of restricted stock awards that would have vested on March 1, 2025. As a result, the incremental share-based compensation expense from the modification on five restricted stock awards for the accelerated vesting date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bookmarkStart w:id="881" w:name="Tc_MiGmf8JOrEqssdP3lgAgpA_8_4"/>
      <w:bookmarkStart w:id="882" w:name="Tc_ZBNUChoC4Uu5bgursin69g_8_1"/>
      <w:bookmarkStart w:id="883" w:name="Tc_X0EKm71pc0m--8GKqoFzQw_8_0"/>
      <w:bookmarkStart w:id="884" w:name="Tc_W60fU1VNz0GPfy0SJp72kw_7_0"/>
      <w:bookmarkStart w:id="885" w:name="Tc_F-9f-7DwGU6ct83pJpD5FA_6_4"/>
      <w:bookmarkStart w:id="886" w:name="Tc_gCaSlVPLpkiK_gDEb0bFWQ_6_1"/>
      <w:bookmarkStart w:id="887" w:name="Tc_NuPev3arnkuPfdgW5O4Fnw_6_0"/>
      <w:bookmarkStart w:id="888" w:name="Tc_IJKLqtLTEEye_DDhN7lXTA_5_0"/>
      <w:bookmarkStart w:id="889" w:name="Tc_GeCtu9EqdU2dO94mYpz8vA_4_0"/>
      <w:bookmarkStart w:id="890" w:name="Tc_fwT2yucudkOWRN4oPWyLrg_3_0"/>
      <w:bookmarkStart w:id="891" w:name="Tc_kg50GaD-JkKqNjf-sXd68g_2_4"/>
      <w:bookmarkStart w:id="892" w:name="Tc_AP932x_XYUKwadm1mnb4LA_2_1"/>
      <w:bookmarkStart w:id="893" w:name="Tc_9jAnVrDxzEKKJ8ghzZXi5g_2_0"/>
      <w:bookmarkStart w:id="894" w:name="Tc_c2jnpxaojkW7l028zkN19g_1_4"/>
      <w:bookmarkStart w:id="895" w:name="Tc_Vq0zlkCDk0CK6auAHawp8Q_1_1"/>
      <w:bookmarkStart w:id="896" w:name="Tc_9A1A3t4jv02xY5IDnbKj1w_8_4"/>
      <w:bookmarkStart w:id="897" w:name="Tc_zVKAWeid0kKHF401v6XleQ_8_0"/>
      <w:bookmarkStart w:id="898" w:name="Tc_B7MZX9loX0WoNMQGan5HAA_7_4"/>
      <w:bookmarkStart w:id="899" w:name="Tc_sUBIlC6O7kCMCrKMjlDC1Q_7_0"/>
      <w:bookmarkStart w:id="900" w:name="Tc_soV_yasVREOhyieMhtogAA_6_4"/>
      <w:bookmarkStart w:id="901" w:name="Tc_9SY1RoSZDE6UZLa3J4GjJg_6_0"/>
      <w:bookmarkStart w:id="902" w:name="Tc_2TFHD7_SJEaQ_IKkLOl7qg_5_4"/>
      <w:bookmarkStart w:id="903" w:name="Tc_YPJFgA-QqUGebMiUuvcJaQ_5_0"/>
      <w:bookmarkStart w:id="904" w:name="Tc_HCM769EVNE6_Bn73N6c7pA_4_4"/>
      <w:bookmarkStart w:id="905" w:name="Tc_W3mubFrw2UiE1ATlbKr-7Q_4_0"/>
      <w:bookmarkStart w:id="906" w:name="Tc_3gspdCtkIUuo_pFawZGYhw_3_4"/>
      <w:bookmarkStart w:id="907" w:name="Tc_-0QFkV4upEuGLWymwcZLvA_3_2"/>
      <w:bookmarkStart w:id="908" w:name="Tc_7O22A3gOckiU4IikMGWX5g_2_4"/>
      <w:bookmarkStart w:id="909" w:name="Tc_0x-UQCkOJ0OuWdIKtsh-dQ_2_2"/>
      <w:bookmarkStart w:id="910" w:name="Tc_mIDC0rTtHkWyiBmuH1ojcg_1_4"/>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r>
        <w:rPr>
          <w:rFonts w:ascii="Times New Roman;Times;serif" w:hAnsi="Times New Roman;Times;serif"/>
          <w:sz w:val="20"/>
        </w:rPr>
        <w:t>$558 and is included in the general and administrative expenses in the Company’s consolidated income statement. In July of 2024, 5 shares vested and 2 shares were withheld in lieu of taxes at a cost of $324 on the accelerated vesting date.</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A summary of the activity related to restricted stock granted under the 2017 Plan since December 31, 2024 is as follows:</w:t>
      </w:r>
    </w:p>
    <w:p>
      <w:pPr>
        <w:pStyle w:val="TextBody"/>
        <w:bidi w:val="0"/>
        <w:spacing w:before="0" w:after="0"/>
        <w:ind w:left="0" w:right="0" w:hanging="0"/>
        <w:jc w:val="left"/>
        <w:rPr/>
      </w:pPr>
      <w:r>
        <w:rPr/>
        <w:t>​</w:t>
      </w:r>
    </w:p>
    <w:tbl>
      <w:tblPr>
        <w:tblW w:w="6175" w:type="dxa"/>
        <w:jc w:val="left"/>
        <w:tblInd w:w="0" w:type="dxa"/>
        <w:tblLayout w:type="fixed"/>
        <w:tblCellMar>
          <w:top w:w="0" w:type="dxa"/>
          <w:left w:w="0" w:type="dxa"/>
          <w:bottom w:w="0" w:type="dxa"/>
          <w:right w:w="0" w:type="dxa"/>
        </w:tblCellMar>
      </w:tblPr>
      <w:tblGrid>
        <w:gridCol w:w="3256"/>
        <w:gridCol w:w="326"/>
        <w:gridCol w:w="586"/>
        <w:gridCol w:w="326"/>
        <w:gridCol w:w="353"/>
        <w:gridCol w:w="1328"/>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67560" cy="175260"/>
                      <wp:effectExtent l="0" t="0" r="0" b="0"/>
                      <wp:wrapNone/>
                      <wp:docPr id="132" name="Frame132"/>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2110" cy="175260"/>
                      <wp:effectExtent l="0" t="0" r="0" b="0"/>
                      <wp:wrapNone/>
                      <wp:docPr id="134" name="Frame1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4155" cy="175260"/>
                      <wp:effectExtent l="0" t="0" r="0" b="0"/>
                      <wp:wrapNone/>
                      <wp:docPr id="136" name="Frame13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43280" cy="175260"/>
                      <wp:effectExtent l="0" t="0" r="0" b="0"/>
                      <wp:wrapNone/>
                      <wp:docPr id="137" name="Frame137"/>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    </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104.54</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173.00</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98.09</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canceled or expired</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121.54</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124.18</w:t>
            </w:r>
          </w:p>
        </w:tc>
      </w:tr>
    </w:tbl>
    <w:p>
      <w:pPr>
        <w:pStyle w:val="TextBody"/>
        <w:bidi w:val="0"/>
        <w:spacing w:before="0" w:after="0"/>
        <w:ind w:left="0" w:right="0" w:hanging="0"/>
        <w:jc w:val="left"/>
        <w:rPr/>
      </w:pPr>
      <w:r>
        <w:rPr/>
        <w:t>​</w:t>
      </w:r>
    </w:p>
    <w:p>
      <w:pPr>
        <w:pStyle w:val="TextBody"/>
        <w:bidi w:val="0"/>
        <w:spacing w:lineRule="atLeast" w:line="200" w:before="12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table below outlines share-based compensation expense for the six months ended June 30, 2025 and 2024 related to restricted stock granted:</w:t>
      </w:r>
    </w:p>
    <w:p>
      <w:pPr>
        <w:pStyle w:val="TextBody"/>
        <w:bidi w:val="0"/>
        <w:spacing w:before="0" w:after="0"/>
        <w:ind w:left="0" w:right="0" w:hanging="0"/>
        <w:jc w:val="left"/>
        <w:rPr/>
      </w:pPr>
      <w:r>
        <w:rPr/>
        <w:t>​</w:t>
      </w:r>
    </w:p>
    <w:tbl>
      <w:tblPr>
        <w:tblW w:w="7876" w:type="dxa"/>
        <w:jc w:val="left"/>
        <w:tblInd w:w="0" w:type="dxa"/>
        <w:tblLayout w:type="fixed"/>
        <w:tblCellMar>
          <w:top w:w="0" w:type="dxa"/>
          <w:left w:w="0" w:type="dxa"/>
          <w:bottom w:w="0" w:type="dxa"/>
          <w:right w:w="0" w:type="dxa"/>
        </w:tblCellMar>
      </w:tblPr>
      <w:tblGrid>
        <w:gridCol w:w="5701"/>
        <w:gridCol w:w="211"/>
        <w:gridCol w:w="691"/>
        <w:gridCol w:w="326"/>
        <w:gridCol w:w="211"/>
        <w:gridCol w:w="7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20135" cy="175260"/>
                      <wp:effectExtent l="0" t="0" r="0" b="0"/>
                      <wp:wrapNone/>
                      <wp:docPr id="138" name="Frame138"/>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8785" cy="175260"/>
                      <wp:effectExtent l="0" t="0" r="0" b="0"/>
                      <wp:wrapNone/>
                      <wp:docPr id="140" name="Frame1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67360" cy="175260"/>
                      <wp:effectExtent l="0" t="0" r="0" b="0"/>
                      <wp:wrapNone/>
                      <wp:docPr id="143" name="Frame14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2,508</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7,479</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share-based compensation</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net of tax</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5,609</w:t>
            </w:r>
          </w:p>
        </w:tc>
      </w:tr>
    </w:tbl>
    <w:p>
      <w:pPr>
        <w:pStyle w:val="TextBody"/>
        <w:bidi w:val="0"/>
        <w:spacing w:lineRule="atLeast" w:line="200" w:before="0" w:after="0"/>
        <w:ind w:left="0" w:right="0" w:hanging="0"/>
        <w:jc w:val="left"/>
        <w:rPr/>
      </w:pPr>
      <w:r>
        <w:rPr/>
        <w:t>​</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10. Treasury Stock</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$2,245,000 since the initiation of the Company’s stock repurchase program. The expiration date on the current repurchase authorization is March 1, 2026. Repurchases occur at the Company’s discretion.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2025 the Company repurchased 654 shares of common stock, at an aggregate cost of $115,773. As of June 30, 2025, there remained $183,875 available under its current share repurchase authorization. Shares repurchased in lieu of taxes are not included in the repurchase plan totals as they were approved in conjunction with the restricted share awards. Excise taxes of $1,087 are not included in the repurchase plan totals but are included in the total cost of net share repurchases in the consolidated statement of stockholders’ equity.</w:t>
      </w:r>
    </w:p>
    <w:p>
      <w:pPr>
        <w:pStyle w:val="TextBody"/>
        <w:bidi w:val="0"/>
        <w:spacing w:lineRule="atLeast" w:line="220" w:before="0" w:after="120"/>
        <w:ind w:left="0" w:right="0" w:hanging="0"/>
        <w:jc w:val="left"/>
        <w:rPr>
          <w:rFonts w:ascii="Times New Roman;Times;serif" w:hAnsi="Times New Roman;Times;serif"/>
          <w:b/>
          <w:sz w:val="20"/>
        </w:rPr>
      </w:pPr>
      <w:r>
        <w:rPr>
          <w:rFonts w:ascii="Times New Roman;Times;serif" w:hAnsi="Times New Roman;Times;serif"/>
          <w:b/>
          <w:sz w:val="20"/>
        </w:rPr>
        <w:t>11. Related Party Transactions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Related party transactions include transactions between the Company and certain of its affiliates. The following transactions were in the normal course of operations and were measured at the exchange amount, which was the amount of consideration established and agreed to by the parties.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and for the six months ended June 30, 2025 and 2024, related party transactions consisted of the following:</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Affiliates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GCE Community Fund (“GCECF”)</w:t>
      </w:r>
      <w:r>
        <w:rPr>
          <w:rFonts w:ascii="Times New Roman;Times;serif" w:hAnsi="Times New Roman;Times;serif"/>
          <w:sz w:val="20"/>
        </w:rPr>
        <w:t xml:space="preserve"> - GCECF was initially formed in 2014. GCECF makes grants for charitable, educational, literary, religious or scientific purposes within the meaning of Section 501(c)(3) of the Internal Revenue Code (the “Code”), including for such purposes as the making of distributions to organizations that qualify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exempt organizations under Section 501 (c)(3) of the Code. The Company’s Chief Executive Officer serves as the president of GCECF and GCECF’s board of directors is comprised entirely of Company executives. The Company is not the primary beneficiary of GCECF, and accordingly, the Company does not consolidate GCECF’s activities with its financial results. The Company made a voluntary charitable contribution of $500 for the six months ended June 30, 2025, of which no amounts were owed as of June 30, 2025.</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911" w:name="Item2ManagementsDiscussionandAnalysisofF"/>
      <w:bookmarkStart w:id="912" w:name="_541a7ba5_797c_4027_86bf_650090e32683"/>
      <w:bookmarkEnd w:id="911"/>
      <w:bookmarkEnd w:id="912"/>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actions taken against us related to our services business, or against our university partners that impact their businesses and that directly or indirectly reduce the service revenue we can earn under our master services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harm to our business, results of operations, and financial condition, and harm to our university partners resulting from epidemics, pandemics, or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and our ability to retract and retain students resulting from capacity constraints, system disruptions, or security breaches in our online computer networks and phone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employees, and develop and train existing employees;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on behalf of our university partners, to convert prospective students to enrolled students and to retain active students to graduation;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“2024 Form 10-K”) for the fiscal year ended December 31, 2024, filed with the Securities and Exchange Commission (“SEC”) on February 19, 2025, and as updated in our subsequent reports filed with the SEC, including any updates found in Part II, Item 1A of this Quarterly Report on Form 10-Q or our other reports on Form 10-Q. 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ten colleges both online and on ground at its campus in Phoenix, Arizona, and at ten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June 30, 2025, GCE provides education services to 20 university partners across the United States.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healthcare and other programs. We do disclose significant information for GCU, such as enrollments, due to its size in comparison to our other university partners.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disclosed in the 2024 Form 10-K for the fiscal year ended December 31, 2024. During the six months ended June 30, 2025, there were no significant changes in our critical accounting policies.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7714" w:type="dxa"/>
        <w:jc w:val="left"/>
        <w:tblInd w:w="0" w:type="dxa"/>
        <w:tblLayout w:type="fixed"/>
        <w:tblCellMar>
          <w:top w:w="0" w:type="dxa"/>
          <w:left w:w="0" w:type="dxa"/>
          <w:bottom w:w="0" w:type="dxa"/>
          <w:right w:w="0" w:type="dxa"/>
        </w:tblCellMar>
      </w:tblPr>
      <w:tblGrid>
        <w:gridCol w:w="2956"/>
        <w:gridCol w:w="326"/>
        <w:gridCol w:w="578"/>
        <w:gridCol w:w="448"/>
        <w:gridCol w:w="578"/>
        <w:gridCol w:w="361"/>
        <w:gridCol w:w="326"/>
        <w:gridCol w:w="508"/>
        <w:gridCol w:w="393"/>
        <w:gridCol w:w="508"/>
        <w:gridCol w:w="361"/>
        <w:gridCol w:w="37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77060" cy="175260"/>
                      <wp:effectExtent l="0" t="0" r="0" b="0"/>
                      <wp:wrapNone/>
                      <wp:docPr id="144" name="Frame14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67030" cy="175260"/>
                      <wp:effectExtent l="0" t="0" r="0" b="0"/>
                      <wp:wrapNone/>
                      <wp:docPr id="146" name="Frame146"/>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84480" cy="175260"/>
                      <wp:effectExtent l="0" t="0" r="0" b="0"/>
                      <wp:wrapNone/>
                      <wp:docPr id="147" name="Frame14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7030" cy="175260"/>
                      <wp:effectExtent l="0" t="0" r="0" b="0"/>
                      <wp:wrapNone/>
                      <wp:docPr id="148" name="Frame148"/>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9235" cy="175260"/>
                      <wp:effectExtent l="0" t="0" r="0" b="0"/>
                      <wp:wrapNone/>
                      <wp:docPr id="149" name="Frame1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22580" cy="175260"/>
                      <wp:effectExtent l="0" t="0" r="0" b="0"/>
                      <wp:wrapNone/>
                      <wp:docPr id="151" name="Frame151"/>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49555" cy="175260"/>
                      <wp:effectExtent l="0" t="0" r="0" b="0"/>
                      <wp:wrapNone/>
                      <wp:docPr id="152" name="Frame15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22580" cy="175260"/>
                      <wp:effectExtent l="0" t="0" r="0" b="0"/>
                      <wp:wrapNone/>
                      <wp:docPr id="153" name="Frame153"/>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9235" cy="175260"/>
                      <wp:effectExtent l="0" t="0" r="0" b="0"/>
                      <wp:wrapNone/>
                      <wp:docPr id="154" name="Frame1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35585" cy="175260"/>
                      <wp:effectExtent l="0" t="0" r="0" b="0"/>
                      <wp:wrapNone/>
                      <wp:docPr id="155" name="Frame15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0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6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0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8"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1"/>
              <w:ind w:left="0" w:right="0" w:hanging="0"/>
              <w:jc w:val="left"/>
              <w:rPr/>
            </w:pPr>
            <w:r>
              <w:rPr/>
              <w:t>    </w:t>
            </w:r>
          </w:p>
        </w:tc>
        <w:tc>
          <w:tcPr>
            <w:tcW w:w="5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93"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448"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6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93" w:type="dxa"/>
            <w:tcBorders/>
            <w:vAlign w:val="center"/>
          </w:tcPr>
          <w:p>
            <w:pPr>
              <w:pStyle w:val="TableContents"/>
              <w:bidi w:val="0"/>
              <w:spacing w:before="0" w:after="1"/>
              <w:ind w:left="0" w:right="0" w:hanging="0"/>
              <w:jc w:val="left"/>
              <w:rPr/>
            </w:pPr>
            <w:r>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6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93"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2025 Compared to Three Months Ended June 30,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three months ended June 30, 2025 was $247.5 million, an increase of $20.0 million, or 8.8%, as compared to service revenue of $227.5 million for the three months ended June 30, 2024. The increase year over year in service revenue was primarily due to an increase in partner enrollments of 10.3% to 117,283 at June 30, 2025 as compared to 106,307 at June 30, 2024. GCU enrollments increased to 113,435 at June 30, 2025, an increase of 10.5% over enrollments at June 30, 2024. University partner enrollments at our off-campus classroom and laboratory sites were 4,990, an increase of 14.0% over enrollments at June 30, 2024, which includes 1,142 and 746 GCU students at June 30, 2025 and 2024, respectively. Excluding sites closing in 2024 to new enrollments, total enrollments at our off-campus classroom and laboratory sites increased 15.4% between years. Revenue per student decreased slightly between years primarily due to contract modifications for some of our university partners in which the revenue share percentage was reduced in exchange for us no longer reimbursing these partners for certain faculty costs both of which had the effect of reducing revenue per student and a slight decline year over year in revenue per student for online students due to the continued mix shift to students that have a slightly lower net tuition rate. These decreases were partially offset by the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Although partner enrollments at our off-campus classroom and laboratory sites returned to year over year growth, some existing partners continue to experience reduced incoming cohort sizes which has slowed the growth. We believe the growth in the number of ABSN students continues to be negatively impacted by the strong job market as these students have historically been individuals with already completed bachelor’s degrees choosing to re-career into one of these health professions. To address this challenge, we have been working with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Spring and Summer 2025 semester.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opened six sites in the year ended December 31, 2024 and opened two new sites in the six months ended June 30, 2025 while closing two sites in which we stopped recruiting new students in 2024 bringing the total number of these sites to 45 at June 30, 2025, which has also positively impacted the enrollment growth. Enrollments for GCU ground students were 8,579 at June 30, 2025 up from 7,397 at June 30, 2024. GCU online enrollments were 104,856 at June 30, 2025, up from 95,279 at June 30, 2024, an increase of 10.1% between years. GCU enrollment declines between March 31 and June 30 of each year as ground traditional enrollment at GCU at June 30 of each year only includes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traditional-aged students taking summer school classes, which is a small percentage GCU’s traditional-aged student body. The Spring semester for GCU’s traditional-aged student body ends near the end of April each year.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Our technology and academic services expenses for the three months ended June 30, 2025 were $43.1 million, an increase of $2.1 million, or 5.2%, as compared to technology and academic services expenses of $41.0 million for the three months ended June 30, 2024. This increase was primarily due to increases in other technology and academic costs and in occupancy and depreciation of $2.3 million and $0.1 million, respectively, partially offset by a decrease in employee compensation and related expenses, including share-based compensation, of $0.3 million. The increases in other technology and academic costs and occupancy and depreciation were primarily due to the costs associated with the increased number of off-campus classroom and laboratory sites to support our 20 university partners and their increased enrollment growth as well as an increase in technology costs and curriculum cost reimbursements to our university partners. The decrease in employee compensation and related expenses is primarily due to decreased faculty reimbursements due to changes in our agreements with certain university partners whereby we no longer reimburse these partners for their faculty costs, partially offset by increased headcount to support our 20 university partners and their increased enrollment growth, tenure-based salary adjustments, a significant year over year increase in benefit costs and the increased number of off-campus classroom and laboratory sites year over year. Our technology and academic services expenses as a percentage of revenue decreased by 0.6% to 17.4% for the three months ended June 30, 2025, from 18.0% for the three months ended June 30, 2024. This decrease was primarily due to decreased faculty reimbursements between years partially offset by the technology costs and curriculum cost reimbursements. We anticipate that technology and academic services expenses as a percentage of revenue will increase in the future as we open more off-site classroom and laboratory sites and the growing technology costs and curriculum cost reimbursements.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three months ended June 30, 2025 were $83.0 million, an increase of $4.9 million, or 6.3%, as compared to counseling services and support expenses of $78.1 million for the three months ended June 30, 2024. This increase was primarily attributable to increases in employee compensation and related expenses including share-based compensation and benefits, and in occupancy and depreciation costs of $4.9 million, $0.4 million, respectively, partially offset by decreases in other counseling services and support expenses of $0.4 million. The increases in employee compensation including share-based compensation and benefits were primarily due to increased headcount to support our university partners, and their planned increases in enrollment, tenure-based salary adjustments, a significant year over year increase in benefit costs and the increased number of off-campus classroom and laboratory sites open year over year. The increase in occupancy and depreciation is primarily related to higher depreciation expense associated with our continued enhancements to technology infrastructure and internal-use software development. The decrease in other counseling services and support expenses is primarily the result of lower travel costs for our 20 university partners. Our counseling services and support expenses as a percentage of revenue decreased 0.8% to 33.5% for the three months ended June 30, 2025, from 34.3% for the three months ended June 30, 2024 primarily due to our ability to leverage our counseling services and support expenses across an increasing revenue base. We anticipate that counseling services and support expense will increase in the future as we continue to invest to meet our partners’ needs although we might continue to have a decline in these costs as a percentage of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three months ended June 30, 2025 were $56.0 million, an increase of $3.1 million, or 5.9%, as compared to marketing and communication expenses of $52.9 million for the three months ended June 30, 2024. This increase was primarily attributable to the increased cost to market our university partners’ programs and to the marketing of new university partners and new locations which resulted in increased advertising of $2.6 million and increased employee compensation, including share-based compensation and benefits of $0.5 million. Our marketing and communication expenses as a percentage of revenue decreased by 0.7% to 22.6% for the three months ended June 30, 2025, from 23.3% for the three months ended June 30, 2024, primarily due to our ability to leverage our marketing and communication expenses across an increasing revenue base. We anticipate that marketing and communication expenses will increase in the future as we continue to invest to meet our partners’ needs although we anticipate a continued decline in these costs as a percentage of revenue in the second half of 2025.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three months ended June 30, 2025 were $11.4 million, an increase of $0.8 million, or 7.3%, as compared to general and administrative expenses of $10.6 million for the three months ended June 30, 2024. This increase was primarily attributable to an increase in professional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fees, including legal costs of $1.4 million, an increase in other general and administrative costs of $0.5 million and an increase in occupancy and depreciation expense of $0.2 million. These increases were partially offset by a decrease in employee compensation, including share-based compensation of $1.3 million, which is primarily due to a $1.1 million in severance costs recorded in the second quarter of 2024 related to an executive officer that resigned effective June 30, 2024. The increases in professional fees were due to higher litigation services. The increase in other general and administrative costs was due to higher charitable contributions. Our general and administrative expenses as a percentage of revenue decreased by 0.1% to 4.6% for the three months ended June 30, 2025, from 4.7% for the three months ended June 30, 2024 primarily due to our ability to leverage our general and administrative expenses across an increasing revenue base. We anticipate that general and administrative expenses will increase in the future and these costs as a percentage of revenue might increase if legal costs rise faster than our revenue growth rate.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three months ended June 30, 2025 and 2024 were $2.1 million for both periods. As a result of the Orbis Education acquisition in 2019,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June 30, 2025 was $3.2 million, a decrease of $0.9 million, as compared to $4.1 million for the three months ended June 30, 2024 due to slightly lower returns on our investment balances and the recognition of a loss on an equity investment in the second quarter of 2025 of $0.5 million.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for the three months ended June 30, 2025 was $13.5 million, an increase of $1.5 million, or 12.7%, as compared to income tax expense of $12.0 million for the three months ended June 30, 2024. Our effective tax rate was 24.5% during the three months ended June 30, 2025 compared to 25.5% during the three months ended June 30, 2024. The effective tax rate decreased year over year due to changes in state income taxes.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June 30, 2025 was $41.5 million, an increase of $6.6 million, or 19.1% as compared to $34.9 million for the three months ended June 30, 2024, due to the factors discussed above.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2025 Compared to Six Months Ended June 30,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six months ended June 30, 2025 was $536.8 million, an increase of $34.7 million, or 6.9%, as compared to service revenue of $502.1 million for the six months ended June 30, 2024. The increase year over year in service revenue was primarily due to an increase in partner enrollments of 10.3% to 117,283 at June 30, 2025 as compared to 106,307 at June 30, 2024. GCU enrollments increased to 113,435 at June 30, 2025, an increase of 10.5% over enrollments at June 30, 2024. University partner enrollments at our off-campus classroom and laboratory sites were 4,990, an increase of 14.0% over enrollments at June 30, 2024, which includes 1,142 and 746 GCU students at June 30, 2025 and 2024, respectively. Excluding sites closing in 2024 to new enrollments, total enrollments at our off-campus classroom and laboratory sites increased 15.4% between years. Revenue per student decreased slightly between years primarily due to the additional day for leap year in 2024 which added additional service revenue of $1.5 million as compared to the current year and contract modifications for some of our university partners in which the revenue share percentage was reduced in exchange for us no longer reimbursing these partners for certain faculty costs, both of which had the effect of reducing revenue per student and a slight decline year over year in revenue per student for online students due to the continued mix shift to students that have a slightly lower net tuition rate . These decreases were partially offset by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Although partner enrollments at our off-campus classroom and laboratory sites returned to year over year growth, some existing partners continue to experience reduced incoming cohort sizes which has slowed the growth. We believe the growth in the number of ABSN students continues to be negatively impacted by the strong job market as these students have historically been individuals with already completed bachelor’s degrees choosing to re-career into one of these health professions. To address this challenge, we have been working with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Spring and Summer 2025 semester.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opened six sites in the year ended December 31, 2024 and opened two sites in the six months ended June 30, 2025 while closing two sites in which we stopped recruiting new students in 2024 bringing the total number of these sites to 45 at June 30, 2025, which has also positively impacted the enrollment growth. Enrollments for GCU ground students were 8,579 at June 30, 2025 up from 7,397 at June 30, 2024. GCU online enrollments were 104,856 at June 30, 2025, up from 95,279 at June 30, 2024, an increase of 10.1% between years. GCU enrollment declines between March 31 and June 30 of each year as ground traditional enrollment at GCU at June 30 of each year only includes traditional-aged students taking summer school classes, which is a small percentage GCU’s traditional-aged student body. The Spring semester for GCU’s traditional-aged student body ends near the end of April each year.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Our technology and academic services expenses for the six months ended June 30, 2025 were $84.8 million, an increase of $4.7 million, or 5.8%, as compared to technology and academic services expenses of $80.1 million for the six months ended June 30, 2024. This increase was primarily due to increases in other technology and academic costs and in occupancy and depreciation of $4.3 million and $0.8 million, respectively, partially offset by a decrease in employee compensation and related expenses, including share-based compensation, of $0.4 million. The increases in other technology and academic costs and occupancy and depreciation were primarily due to the costs associated with the increased number of off-campus classroom and laboratory sites to support our 20 university partners and their increased enrollment growth as well as an increase in technology costs and curriculum cost reimbursements to our university partners. The decrease in employee compensation and related expenses is primarily due to decreased faculty reimbursements due to changes in our agreements with certain university partners whereby we no longer reimburse these partners for their faculty costs, partially offset by increased headcount to support our 20 university partners and their increased enrollment growth, tenure-based salary adjustments, a significant year over year increase in benefit costs and the increased number of off-campus classroom and laboratory sites year over year. Our technology and academic services expenses as a percentage of revenue decreased by 0.2% to 15.8% for the six months ended June 30, 2025, from 16.0% for the six months ended June 30, 2024. This decrease was primarily due to decreased faculty reimbursements between years partially offset by the technology costs and curriculum cost reimbursements. We anticipate that technology and academic services expenses as a percentage of revenue will increase in the future as we open more off-site classroom and laboratory sites and the growing technology costs and curriculum cost reimbursements.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six months ended June 30, 2025 were $169.8 million, an increase of $8.8 million, or 5.5%, as compared to counseling services and support expenses of $161.0 million for the six months ended June 30, 2024. This increase was primarily attributable to increases in employee compensation and related expenses including share-based compensation and benefits, and in occupancy and depreciation costs of $9.4 million and $0.8 million, respectively, partially offset by decreases in other counseling services and support expenses of $1.4 million. The increases in employee compensation including share-based compensation and benefits were primarily due to increased headcount to support our university partners, and their planned increases in enrollment, tenure-based salary adjustments, a significant year over year increase in benefit costs and the increased number of off-campus classroom and laboratory sites open year over year. The increase in occupancy and depreciation is primarily related to higher depreciation expense associated with our continued enhancements to technology infrastructure and internal-use software development. The decrease in other counseling services and support expenses is primarily the result of lower travel costs for our 20 university partners. Our counseling services and support expenses as a percentage of revenue decreased 0.5% to 31.6% for the six months ended June 30, 2025, from 32.1% for the six months ended June 30, 2024 primarily due to our ability to leverage our counseling services and support expenses across an increasing revenue base. We anticipate that counseling services and support expense will increase in the future as we continue to invest to meet our partners’ needs although we might continue to have a decline in these costs as a percentage of revenue.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xml:space="preserve">. Our marketing and communication expenses for the six months ended June 30, 2025 were $116.4 million, an increase of $8.2 million, or 7.5%, as compared to marketing and communication expenses of $108.2 million for the six months ended June 30, 2024. This increase was primarily attributable to the increased cost to market our university partners’ programs and to the marketing of new university partners and new locations which resulted in increased advertising of $7.1 million, increased employee compensation, including share-based compensation and benefits of $1.0 million and increased occupancy and depreciation costs of $0.1 million. Our marketing and communication expenses as a percentage of revenue increased by 0.1% to 21.7% for the six months ended June 30, 2025, from 21.6% for the six months ended June 30, 2024, primarily due to increased advertising to achieve our university partners’ enrollment goals. We anticipate that marketing and communication expenses will increase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future as we continue to invest to meet our partners’ needs although we anticipate a decline in these costs as a percentage of revenue in the second half of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Our general and administrative expenses for the six months ended June 30, 2025 were $21.8 million, an increase of $0.4 million, or 1.9%, as compared to general and administrative expenses of $21.4 million for the six months ended June 30, 2024. This increase was primarily attributable to an increase in professional fees, including legal costs of $1.0 million, an increase in other general and administrative costs of $0.5 million and an increase in occupancy and depreciation expense of $0.1 million. These increases were partially offset by a decrease in employee compensation, including share-based compensation of $1.2 million, which is primarily due to a $1.1 million in severance costs recorded in the second quarter of 2024 related to an executive officer that resigned effective June 30, 2024. The increases in professional fees were due to higher litigation services. The increase in other general and administrative costs was due to higher charitable contributions. Our general and administrative expenses as a percentage of revenue decreased by 0.2% to 4.1% for the six months ended June 30, 2025, from 4.3% for the six months ended June 30, 2024 primarily due to our ability to leverage our general and administrative expenses across an increasing revenue base. We anticipate that general and administrative expenses will increase in the future and these costs as a percentage of revenue might increase if legal costs rise faster than our revenue growth rate.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six months ended June 30, 2025 and 2024 were $4.2 million for both periods. As a result of the Orbis Education acquisition in 2019,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six months ended June 30, 2025 was $6.6 million, a decrease of $1.2 million, as compared to $7.8 million for the six months ended June 30, 2024 due to slightly lower returns on our investment balances and the recognition of a loss on an equity investment in the second quarter of 2025 of $0.5 million.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Income tax expense for the six months ended June 30, 2025 was $33.3 million, an increase of $1.2 million, or 3.5%, as compared to income tax expense of $32.1 million for the six months ended June 30, 2024. Our effective tax rate was 22.7% during the six months ended June 30, 2025 compared to 23.8% during the six months ended June 30, 2024. The effective tax rate decreased year over year primarily due to an increase in excess tax benefits of $2.7 million as compared to $1.5 million in the six months ended June 30, 2025 and 2024, respectively.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stock awards vest. Our restricted stock awards vest in March each year so any benefit or expense will primarily impact the first quarter each year. The effective tax rate was also impacted by changes in state income taxes.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six months ended June 30, 2025 was $113.2 million, an increase of $10.3 million, or 10.0% as compared to $102.9 million for the six months ended June 30, 2024, due to the factors discussed above.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139" w:type="dxa"/>
        <w:jc w:val="left"/>
        <w:tblInd w:w="0" w:type="dxa"/>
        <w:tblLayout w:type="fixed"/>
        <w:tblCellMar>
          <w:top w:w="0" w:type="dxa"/>
          <w:left w:w="0" w:type="dxa"/>
          <w:bottom w:w="0" w:type="dxa"/>
          <w:right w:w="0" w:type="dxa"/>
        </w:tblCellMar>
      </w:tblPr>
      <w:tblGrid>
        <w:gridCol w:w="3331"/>
        <w:gridCol w:w="109"/>
        <w:gridCol w:w="218"/>
        <w:gridCol w:w="809"/>
        <w:gridCol w:w="112"/>
        <w:gridCol w:w="297"/>
        <w:gridCol w:w="1263"/>
      </w:tblGrid>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8430" cy="175260"/>
                      <wp:effectExtent l="0" t="0" r="0" b="0"/>
                      <wp:wrapNone/>
                      <wp:docPr id="157" name="Frame15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13715" cy="175260"/>
                      <wp:effectExtent l="0" t="0" r="0" b="0"/>
                      <wp:wrapNone/>
                      <wp:docPr id="158" name="Frame158"/>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1120" cy="175260"/>
                      <wp:effectExtent l="0" t="0" r="0" b="0"/>
                      <wp:wrapNone/>
                      <wp:docPr id="159" name="Frame159"/>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88595" cy="175260"/>
                      <wp:effectExtent l="0" t="0" r="0" b="0"/>
                      <wp:wrapNone/>
                      <wp:docPr id="160" name="Frame16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02005" cy="175260"/>
                      <wp:effectExtent l="0" t="0" r="0" b="0"/>
                      <wp:wrapNone/>
                      <wp:docPr id="161" name="Frame161"/>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3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2"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373,899</w:t>
            </w:r>
          </w:p>
        </w:tc>
        <w:tc>
          <w:tcPr>
            <w:tcW w:w="112"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324,623</w:t>
            </w:r>
          </w:p>
        </w:tc>
      </w:tr>
    </w:tbl>
    <w:p>
      <w:pPr>
        <w:pStyle w:val="TextBody"/>
        <w:bidi w:val="0"/>
        <w:spacing w:before="120" w:after="12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increased by $49.3 million between December 31, 2024 and June 30, 2025, which was largely attributable to cash provided by operations exceeding our share repurchases, changes in our investment balance and capital expenditures during the six months ended June 30,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24 months.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tbl>
      <w:tblPr>
        <w:tblW w:w="5783" w:type="dxa"/>
        <w:jc w:val="left"/>
        <w:tblInd w:w="0" w:type="dxa"/>
        <w:tblLayout w:type="fixed"/>
        <w:tblCellMar>
          <w:top w:w="0" w:type="dxa"/>
          <w:left w:w="0" w:type="dxa"/>
          <w:bottom w:w="0" w:type="dxa"/>
          <w:right w:w="0" w:type="dxa"/>
        </w:tblCellMar>
      </w:tblPr>
      <w:tblGrid>
        <w:gridCol w:w="3466"/>
        <w:gridCol w:w="109"/>
        <w:gridCol w:w="211"/>
        <w:gridCol w:w="781"/>
        <w:gridCol w:w="109"/>
        <w:gridCol w:w="211"/>
        <w:gridCol w:w="896"/>
      </w:tblGrid>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5935" cy="175260"/>
                      <wp:effectExtent l="0" t="0" r="0" b="0"/>
                      <wp:wrapNone/>
                      <wp:docPr id="164" name="Frame1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68960" cy="175260"/>
                      <wp:effectExtent l="0" t="0" r="0" b="0"/>
                      <wp:wrapNone/>
                      <wp:docPr id="167" name="Frame16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191,639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183,526</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The increase in cash generated from operating activities between the six months ended June 30, 2024 and the six months ended June 30, 2025 was primarily due to increased income slightly offset by changes in working capital balances. Accounts payable and accrued liabilities increased by $0.4 million between December 31, 2024 and June 30, 2025 compared to the increase of $13.3 million between December 31, 2023 and June 30, 2024, a decline year over year in cash provided by operating activities of $12.9 million due to timing of vendor payments and timing differences between the last pay period at the end of each fiscal quarter. Prepaid expenses and other assets increased $4.7 million between December 31, 2024 and June 30, 2025 compared to an increase of $0.7 million between December 31, 2023 and June 30, 2024, a decline year over year in cash provided by operating activities of $4.0 million. Accounts receivable decreased by $55.2 million between December 31, 2024 and June 30, 2025 compared to the decrease of $49.4 million between December 31, 2023 and June 30, 2024, a $5.8 million increase year over year in cash provided by operating activities due to the timing of collections on receivable. Deferred revenue increased by $14.2 million between December 31, 2024 and June 30, 2025 compared to the increase of $7.2 million between December 31, 2023 and June 30, 2024, a $7.0 million increase year over year in cash provided by operating activities, due to the timing of instructional courses completion dates.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tbl>
      <w:tblPr>
        <w:tblW w:w="5428" w:type="dxa"/>
        <w:jc w:val="left"/>
        <w:tblInd w:w="0" w:type="dxa"/>
        <w:tblLayout w:type="fixed"/>
        <w:tblCellMar>
          <w:top w:w="0" w:type="dxa"/>
          <w:left w:w="0" w:type="dxa"/>
          <w:bottom w:w="0" w:type="dxa"/>
          <w:right w:w="0" w:type="dxa"/>
        </w:tblCellMar>
      </w:tblPr>
      <w:tblGrid>
        <w:gridCol w:w="3046"/>
        <w:gridCol w:w="109"/>
        <w:gridCol w:w="211"/>
        <w:gridCol w:w="901"/>
        <w:gridCol w:w="109"/>
        <w:gridCol w:w="211"/>
        <w:gridCol w:w="841"/>
      </w:tblGrid>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72135" cy="175260"/>
                      <wp:effectExtent l="0" t="0" r="0" b="0"/>
                      <wp:wrapNone/>
                      <wp:docPr id="170" name="Frame17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34035" cy="175260"/>
                      <wp:effectExtent l="0" t="0" r="0" b="0"/>
                      <wp:wrapNone/>
                      <wp:docPr id="173" name="Frame17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0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(198,748)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(19,989)</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Investing activities consumed $198.7 million of cash in the six months ended June 30, 2025 compared to $20.0 million in the six months ended June 30,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Cash used in investing activities includes net investment activity. In the six months ended June 30, 2025 and 2024, the purchase of available-for-sale securities, net of proceeds from the sale of investments were $180.7 million and $1.9 million, respectively.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the first six months of 2025 and 2024 cash used in investing activities also included capital expenditures totaling $17.6 million and $17.9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$40.0 million per year for capital expenditures.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tbl>
      <w:tblPr>
        <w:tblW w:w="5443" w:type="dxa"/>
        <w:jc w:val="left"/>
        <w:tblInd w:w="0" w:type="dxa"/>
        <w:tblLayout w:type="fixed"/>
        <w:tblCellMar>
          <w:top w:w="0" w:type="dxa"/>
          <w:left w:w="0" w:type="dxa"/>
          <w:bottom w:w="0" w:type="dxa"/>
          <w:right w:w="0" w:type="dxa"/>
        </w:tblCellMar>
      </w:tblPr>
      <w:tblGrid>
        <w:gridCol w:w="3061"/>
        <w:gridCol w:w="109"/>
        <w:gridCol w:w="211"/>
        <w:gridCol w:w="901"/>
        <w:gridCol w:w="109"/>
        <w:gridCol w:w="211"/>
        <w:gridCol w:w="841"/>
      </w:tblGrid>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72135" cy="175260"/>
                      <wp:effectExtent l="0" t="0" r="0" b="0"/>
                      <wp:wrapNone/>
                      <wp:docPr id="176" name="Frame17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34035" cy="175260"/>
                      <wp:effectExtent l="0" t="0" r="0" b="0"/>
                      <wp:wrapNone/>
                      <wp:docPr id="179" name="Frame17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0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(68,695)</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Financing activities consumed $125.2 million of cash in the six months ended June 30, 2025 compared to $68.7 million in the six months ended June 30,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2025 and 2024, $115.7 million and $61.3 million, respectively was used to purchase treasury stock in accordance with GCE’s share repurchase program. In 2025 and 2024, $9.5 million and $7.4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$2,245.0 million since the initiation of the Company’s stock repurchase program. The expiration date on the current repurchase authorization by our Board of Directors is March 1, 2026. Repurchases occur at the Company’s discretion and the Company may modify, suspend or discontinue the repurchase authorization at any time.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repurchased 654,697 shares of common stock in the six months ended June 30, 2025. At June 30, 2025, there remains $183.9 million available under our share repurchase authorization.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120"/>
        <w:ind w:left="0" w:right="0" w:hanging="0"/>
        <w:jc w:val="left"/>
        <w:rPr>
          <w:rFonts w:ascii="Times New Roman;Times;serif" w:hAnsi="Times New Roman;Times;serif"/>
          <w:b/>
          <w:sz w:val="20"/>
        </w:rPr>
      </w:pPr>
      <w:bookmarkStart w:id="913" w:name="Item3QuantitativeandQualitativeDisclosur"/>
      <w:bookmarkStart w:id="914" w:name="_7fb132f2_80cb_4437_a5be_ad7bc9006dc3"/>
      <w:bookmarkEnd w:id="913"/>
      <w:bookmarkEnd w:id="914"/>
      <w:r>
        <w:rPr>
          <w:rFonts w:ascii="Times New Roman;Times;serif" w:hAnsi="Times New Roman;Times;serif"/>
          <w:b/>
          <w:sz w:val="20"/>
        </w:rPr>
        <w:t>Item 3.   Quantitative and Qualitative Disclosures About Market Risk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June 30, 2025, we have no derivative financial instruments or derivative commodity instruments. We invest cash in excess of current operating requirements in money market instruments and commercial paper at multiple financial institutions.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We manage interest rate risk by investing excess funds in cash equivalents, BBB or higher rated corporate bonds, commercial paper, agency bonds, treasury bills,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June 30, 2025, a 10% increase or decrease in interest rates would not have a material impact on our future earnings, fair values, or cash flows.</w:t>
      </w:r>
    </w:p>
    <w:p>
      <w:pPr>
        <w:pStyle w:val="TextBody"/>
        <w:bidi w:val="0"/>
        <w:spacing w:before="0" w:after="120"/>
        <w:ind w:left="0" w:right="0" w:hanging="0"/>
        <w:jc w:val="left"/>
        <w:rPr>
          <w:rFonts w:ascii="Times New Roman;Times;serif" w:hAnsi="Times New Roman;Times;serif"/>
          <w:b/>
          <w:sz w:val="20"/>
        </w:rPr>
      </w:pPr>
      <w:bookmarkStart w:id="915" w:name="Item4ControlsandProcedures_621985"/>
      <w:bookmarkStart w:id="916" w:name="_73ba0ba0_669d_40c0_af47_f360aaa5e92d"/>
      <w:bookmarkEnd w:id="915"/>
      <w:bookmarkEnd w:id="916"/>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June 30, 2025,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officer or officers and principal financial officer or officers, or persons performing similar functions, as appropriate to allow timely decisions regarding required disclosure.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bidi w:val="0"/>
        <w:spacing w:before="0" w:after="120"/>
        <w:ind w:left="0" w:right="0" w:hanging="0"/>
        <w:jc w:val="left"/>
        <w:rPr>
          <w:rFonts w:ascii="Times New Roman;Times;serif" w:hAnsi="Times New Roman;Times;serif"/>
          <w:b/>
          <w:sz w:val="20"/>
        </w:rPr>
      </w:pPr>
      <w:bookmarkStart w:id="917" w:name="PARTIIOTHERINFORMATION_437433"/>
      <w:bookmarkStart w:id="918" w:name="_de2299c2_b64a_42e3_b105_0333b919ef97"/>
      <w:bookmarkEnd w:id="917"/>
      <w:bookmarkEnd w:id="918"/>
      <w:r>
        <w:rPr>
          <w:rFonts w:ascii="Times New Roman;Times;serif" w:hAnsi="Times New Roman;Times;serif"/>
          <w:b/>
          <w:sz w:val="20"/>
        </w:rPr>
        <w:t>PART II – OTHER INFORMATION</w:t>
      </w:r>
    </w:p>
    <w:p>
      <w:pPr>
        <w:pStyle w:val="TextBody"/>
        <w:bidi w:val="0"/>
        <w:spacing w:before="0" w:after="120"/>
        <w:ind w:left="0" w:right="0" w:hanging="0"/>
        <w:jc w:val="left"/>
        <w:rPr>
          <w:rFonts w:ascii="Times New Roman;Times;serif" w:hAnsi="Times New Roman;Times;serif"/>
          <w:b/>
          <w:sz w:val="20"/>
        </w:rPr>
      </w:pPr>
      <w:bookmarkStart w:id="919" w:name="Item1LegalProceedings_770208"/>
      <w:bookmarkEnd w:id="919"/>
      <w:r>
        <w:rPr>
          <w:rFonts w:ascii="Times New Roman;Times;serif" w:hAnsi="Times New Roman;Times;serif"/>
          <w:b/>
          <w:sz w:val="20"/>
        </w:rPr>
        <w:t>Item 1.   Legal Proceedings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information regarding our material pending legal proceedings, see the section entitled Pending Litigation Matters within Note 8 – Commitments and Contingencies of our notes to consolidated financial statements included in Part I, Item 1 of this report, which section is incorporated by reference into this Part II, Item 1.</w:t>
      </w:r>
    </w:p>
    <w:p>
      <w:pPr>
        <w:pStyle w:val="TextBody"/>
        <w:bidi w:val="0"/>
        <w:spacing w:before="0" w:after="120"/>
        <w:ind w:left="0" w:right="0" w:hanging="0"/>
        <w:jc w:val="left"/>
        <w:rPr>
          <w:rFonts w:ascii="Times New Roman;Times;serif" w:hAnsi="Times New Roman;Times;serif"/>
          <w:b/>
          <w:sz w:val="20"/>
        </w:rPr>
      </w:pPr>
      <w:bookmarkStart w:id="920" w:name="Item1ARiskFactors_601971"/>
      <w:bookmarkStart w:id="921" w:name="_a5474e34_6256_4635_ae65_6de547fc4b59"/>
      <w:bookmarkEnd w:id="920"/>
      <w:bookmarkEnd w:id="921"/>
      <w:r>
        <w:rPr>
          <w:rFonts w:ascii="Times New Roman;Times;serif" w:hAnsi="Times New Roman;Times;serif"/>
          <w:b/>
          <w:sz w:val="20"/>
        </w:rPr>
        <w:t>Item 1A. Risk Factors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“Risk Factors” section of the 2024 Form 10-K.</w:t>
      </w:r>
    </w:p>
    <w:p>
      <w:pPr>
        <w:pStyle w:val="TextBody"/>
        <w:bidi w:val="0"/>
        <w:spacing w:before="0" w:after="120"/>
        <w:ind w:left="0" w:right="0" w:hanging="0"/>
        <w:jc w:val="left"/>
        <w:rPr>
          <w:rFonts w:ascii="Times New Roman;Times;serif" w:hAnsi="Times New Roman;Times;serif"/>
          <w:b/>
          <w:sz w:val="20"/>
        </w:rPr>
      </w:pPr>
      <w:bookmarkStart w:id="922" w:name="Item2UnregisteredSalesofEquitySecurities"/>
      <w:bookmarkStart w:id="923" w:name="_33c6b075_3622_4c7c_8259_42aafc9a3012"/>
      <w:bookmarkEnd w:id="922"/>
      <w:bookmarkEnd w:id="923"/>
      <w:r>
        <w:rPr>
          <w:rFonts w:ascii="Times New Roman;Times;serif" w:hAnsi="Times New Roman;Times;serif"/>
          <w:b/>
          <w:sz w:val="20"/>
        </w:rPr>
        <w:t>Item 2.   Unregistered Sales of Equity Securities and Use of Proceeds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$2,245.0 million since the initiation of the Company’s stock repurchase program. The expiration date on the current repurchase authorization by our Board of Directors is March 1, 2026. Repurchases occur at the Company’s discretion and the Company may modify, suspend or discontinue the repurchase authorization at any time.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2025, 654,697 shares of common stock were repurchased by the Company. At June 30, 2025, there remains $183.9 million available under our share repurchase authorization.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2025:</w:t>
      </w:r>
    </w:p>
    <w:tbl>
      <w:tblPr>
        <w:tblW w:w="9066" w:type="dxa"/>
        <w:jc w:val="left"/>
        <w:tblInd w:w="0" w:type="dxa"/>
        <w:tblLayout w:type="fixed"/>
        <w:tblCellMar>
          <w:top w:w="0" w:type="dxa"/>
          <w:left w:w="0" w:type="dxa"/>
          <w:bottom w:w="0" w:type="dxa"/>
          <w:right w:w="0" w:type="dxa"/>
        </w:tblCellMar>
      </w:tblPr>
      <w:tblGrid>
        <w:gridCol w:w="2581"/>
        <w:gridCol w:w="326"/>
        <w:gridCol w:w="1381"/>
        <w:gridCol w:w="326"/>
        <w:gridCol w:w="211"/>
        <w:gridCol w:w="676"/>
        <w:gridCol w:w="326"/>
        <w:gridCol w:w="1576"/>
        <w:gridCol w:w="266"/>
        <w:gridCol w:w="211"/>
        <w:gridCol w:w="1186"/>
      </w:tblGrid>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76935" cy="175260"/>
                      <wp:effectExtent l="0" t="0" r="0" b="0"/>
                      <wp:wrapNone/>
                      <wp:docPr id="181" name="Frame181"/>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29260" cy="175260"/>
                      <wp:effectExtent l="0" t="0" r="0" b="0"/>
                      <wp:wrapNone/>
                      <wp:docPr id="184" name="Frame1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000760" cy="175260"/>
                      <wp:effectExtent l="0" t="0" r="0" b="0"/>
                      <wp:wrapNone/>
                      <wp:docPr id="186" name="Frame18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8910" cy="175260"/>
                      <wp:effectExtent l="0" t="0" r="0" b="0"/>
                      <wp:wrapNone/>
                      <wp:docPr id="187" name="Frame18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53110" cy="175260"/>
                      <wp:effectExtent l="0" t="0" r="0" b="0"/>
                      <wp:wrapNone/>
                      <wp:docPr id="189" name="Frame18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66" w:type="dxa"/>
            <w:tcBorders/>
            <w:vAlign w:val="center"/>
          </w:tcPr>
          <w:p>
            <w:pPr>
              <w:pStyle w:val="TableContents"/>
              <w:bidi w:val="0"/>
              <w:spacing w:before="0" w:after="0"/>
              <w:ind w:left="0" w:right="0" w:hanging="0"/>
              <w:jc w:val="center"/>
              <w:rPr/>
            </w:pPr>
            <w:r>
              <w:rPr/>
              <w:t>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Repurchases</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2025 – April 30, 2025</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172.33</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113,162</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211,800,000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2025 – May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193.20</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71,417</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198,000,000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2025 – June 30, 2025</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188.52</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74,692</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183,900,000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182.74</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259,271</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183,900,000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Withholdings</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2025 – April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2025 – May 31, 2025</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2025 – 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24" w:name="Item3DefaultsUponSeniorSecurities_862648"/>
      <w:bookmarkStart w:id="925" w:name="_427b4aa5_14fe_46b5_985f_73c484ba42cd"/>
      <w:bookmarkEnd w:id="924"/>
      <w:bookmarkEnd w:id="925"/>
      <w:r>
        <w:rPr>
          <w:rFonts w:ascii="Times New Roman;Times;serif" w:hAnsi="Times New Roman;Times;serif"/>
          <w:b/>
          <w:sz w:val="20"/>
        </w:rPr>
        <w:t>Item 3.   Defaults Upon Senior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926" w:name="Item4MineSafetyDisclosures_953586"/>
      <w:bookmarkStart w:id="927" w:name="_01ac0251_f580_4ed1_90f2_d9ce84f6844b"/>
      <w:bookmarkEnd w:id="926"/>
      <w:bookmarkEnd w:id="927"/>
      <w:r>
        <w:rPr>
          <w:rFonts w:ascii="Times New Roman;Times;serif" w:hAnsi="Times New Roman;Times;serif"/>
          <w:b/>
          <w:sz w:val="20"/>
        </w:rPr>
        <w:t>Item 4.   Mine Safety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928" w:name="Item5OtherInformation_422882"/>
      <w:bookmarkStart w:id="929" w:name="_f130e52f_d3f6_48ba_a07c_851b8220dc44"/>
      <w:bookmarkEnd w:id="928"/>
      <w:bookmarkEnd w:id="929"/>
      <w:r>
        <w:rPr>
          <w:rFonts w:ascii="Times New Roman;Times;serif" w:hAnsi="Times New Roman;Times;serif"/>
          <w:b/>
          <w:sz w:val="20"/>
        </w:rPr>
        <w:t>Item 5.   Other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2025,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30" w:name="Item6Exhibits_355966"/>
      <w:bookmarkStart w:id="931" w:name="_5260aeca_50d4_4f27_8b35_68fa3b80eec2"/>
      <w:bookmarkEnd w:id="930"/>
      <w:bookmarkEnd w:id="931"/>
      <w:r>
        <w:rPr>
          <w:rFonts w:ascii="Times New Roman;Times;serif" w:hAnsi="Times New Roman;Times;serif"/>
          <w:b/>
          <w:sz w:val="20"/>
        </w:rPr>
        <w:t>Item 6.   Exhibits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28" w:type="dxa"/>
          <w:right w:w="0" w:type="dxa"/>
        </w:tblCellMar>
      </w:tblPr>
      <w:tblGrid>
        <w:gridCol w:w="706"/>
        <w:gridCol w:w="326"/>
        <w:gridCol w:w="4450"/>
        <w:gridCol w:w="326"/>
        <w:gridCol w:w="4397"/>
      </w:tblGrid>
      <w:tr>
        <w:trP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4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9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Method of Filing</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Second Amended and Restated Executive Employment Agreement, dated April 29, 2025, by and between Grand Canyon Education, Inc. and Kathy J. Claypatch†</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10.1 to the Company Quarterly Report on Form 10-Q filed on May 6, 2025.</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w:anchor="lope-2025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w:anchor="lope-2025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w:anchor="lope-2025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w:anchor="lope-2025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 ††</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36"/>
        <w:gridCol w:w="109"/>
        <w:gridCol w:w="8561"/>
        <w:gridCol w:w="109"/>
        <w:gridCol w:w="990"/>
      </w:tblGrid>
      <w:tr>
        <w:trPr/>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8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June 30, 2025,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109"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June 30, 2025, formatted in Inline XBRL (included as Exhibit 101).</w:t>
            </w:r>
          </w:p>
        </w:tc>
        <w:tc>
          <w:tcPr>
            <w:tcW w:w="109"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120"/>
        <w:ind w:left="0" w:right="0" w:hanging="360"/>
        <w:jc w:val="left"/>
        <w:rPr/>
      </w:pPr>
      <w:r>
        <w:rPr/>
        <w:t>†     </w:t>
      </w:r>
      <w:r>
        <w:rPr>
          <w:rFonts w:ascii="Times New Roman;Times;serif" w:hAnsi="Times New Roman;Times;serif"/>
          <w:sz w:val="20"/>
        </w:rPr>
        <w:t>Indicates a management contract or any compensatory plan, contract or arrangement.</w:t>
      </w:r>
    </w:p>
    <w:p>
      <w:pPr>
        <w:pStyle w:val="TextBody"/>
        <w:pBdr/>
        <w:bidi w:val="0"/>
        <w:spacing w:before="0" w:after="0"/>
        <w:ind w:left="0" w:right="0" w:hanging="360"/>
        <w:jc w:val="left"/>
        <w:rPr/>
      </w:pPr>
      <w:r>
        <w:rP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32" w:name="SIGNATURES_551969"/>
      <w:bookmarkStart w:id="933" w:name="_b38bdb9c_d927_4cf0_996d_bd8efb04950b"/>
      <w:bookmarkEnd w:id="932"/>
      <w:bookmarkEnd w:id="933"/>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577" w:type="dxa"/>
        <w:jc w:val="left"/>
        <w:tblInd w:w="0" w:type="dxa"/>
        <w:tblLayout w:type="fixed"/>
        <w:tblCellMar>
          <w:top w:w="0" w:type="dxa"/>
          <w:left w:w="0" w:type="dxa"/>
          <w:bottom w:w="0" w:type="dxa"/>
          <w:right w:w="0" w:type="dxa"/>
        </w:tblCellMar>
      </w:tblPr>
      <w:tblGrid>
        <w:gridCol w:w="1846"/>
        <w:gridCol w:w="326"/>
        <w:gridCol w:w="630"/>
        <w:gridCol w:w="2775"/>
      </w:tblGrid>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2775"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right"/>
        <w:rPr>
          <w:rFonts w:ascii="Times New Roman;Times;serif" w:hAnsi="Times New Roman;Times;serif"/>
          <w:b/>
          <w:sz w:val="20"/>
        </w:rPr>
      </w:pPr>
      <w:bookmarkStart w:id="934" w:name="lope-20250630xex31d1.htm"/>
      <w:bookmarkStart w:id="935" w:name="kslope20250630xex31d1"/>
      <w:bookmarkEnd w:id="934"/>
      <w:bookmarkEnd w:id="935"/>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Brian E. Mueller,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June 30, 2025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648" w:type="dxa"/>
        <w:jc w:val="center"/>
        <w:tblInd w:w="0" w:type="dxa"/>
        <w:tblLayout w:type="fixed"/>
        <w:tblCellMar>
          <w:top w:w="0" w:type="dxa"/>
          <w:left w:w="0" w:type="dxa"/>
          <w:bottom w:w="0" w:type="dxa"/>
          <w:right w:w="0" w:type="dxa"/>
        </w:tblCellMar>
      </w:tblPr>
      <w:tblGrid>
        <w:gridCol w:w="1846"/>
        <w:gridCol w:w="326"/>
        <w:gridCol w:w="2476"/>
      </w:tblGrid>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326" w:type="dxa"/>
            <w:tcBorders/>
            <w:vAlign w:val="center"/>
          </w:tcPr>
          <w:p>
            <w:pPr>
              <w:pStyle w:val="TableContents"/>
              <w:bidi w:val="0"/>
              <w:spacing w:before="0" w:after="0"/>
              <w:ind w:left="0" w:right="0" w:hanging="0"/>
              <w:jc w:val="left"/>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36" w:name="lope-20250630xex31d2.htm"/>
      <w:bookmarkStart w:id="937" w:name="kslope20250630xex31d2"/>
      <w:bookmarkEnd w:id="936"/>
      <w:bookmarkEnd w:id="937"/>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E. Bachus,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June 30, 2025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588" w:type="dxa"/>
        <w:jc w:val="center"/>
        <w:tblInd w:w="0" w:type="dxa"/>
        <w:tblLayout w:type="fixed"/>
        <w:tblCellMar>
          <w:top w:w="0" w:type="dxa"/>
          <w:left w:w="0" w:type="dxa"/>
          <w:bottom w:w="0" w:type="dxa"/>
          <w:right w:w="0" w:type="dxa"/>
        </w:tblCellMar>
      </w:tblPr>
      <w:tblGrid>
        <w:gridCol w:w="1846"/>
        <w:gridCol w:w="326"/>
        <w:gridCol w:w="2416"/>
      </w:tblGrid>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326" w:type="dxa"/>
            <w:tcBorders/>
            <w:vAlign w:val="center"/>
          </w:tcPr>
          <w:p>
            <w:pPr>
              <w:pStyle w:val="TableContents"/>
              <w:bidi w:val="0"/>
              <w:spacing w:before="0" w:after="0"/>
              <w:ind w:left="0" w:right="0" w:hanging="0"/>
              <w:jc w:val="left"/>
              <w:rPr/>
            </w:pPr>
            <w:r>
              <w:rPr/>
              <w:t>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38" w:name="lope-20250630xex32d1.htm"/>
      <w:bookmarkStart w:id="939" w:name="kslope20250630xex32d1"/>
      <w:bookmarkEnd w:id="938"/>
      <w:bookmarkEnd w:id="939"/>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June 30, 2025 as filed with the Securities and Exchange Commission on the date hereof (the “Report”), I, Brian E. Mueller,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891" w:type="dxa"/>
        <w:jc w:val="center"/>
        <w:tblInd w:w="0" w:type="dxa"/>
        <w:tblLayout w:type="fixed"/>
        <w:tblCellMar>
          <w:top w:w="0" w:type="dxa"/>
          <w:left w:w="0" w:type="dxa"/>
          <w:bottom w:w="0" w:type="dxa"/>
          <w:right w:w="0" w:type="dxa"/>
        </w:tblCellMar>
      </w:tblPr>
      <w:tblGrid>
        <w:gridCol w:w="4411"/>
        <w:gridCol w:w="326"/>
        <w:gridCol w:w="154"/>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40" w:name="lope-20250630xex32d2.htm"/>
      <w:bookmarkStart w:id="941" w:name="kslope20250630xex32d2"/>
      <w:bookmarkEnd w:id="940"/>
      <w:bookmarkEnd w:id="941"/>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June 30, 2025 as filed with the Securities and Exchange Commission on the date hereof (the “Report”), I, Daniel E. Bachus,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71" w:type="dxa"/>
        <w:jc w:val="center"/>
        <w:tblInd w:w="0" w:type="dxa"/>
        <w:tblLayout w:type="fixed"/>
        <w:tblCellMar>
          <w:top w:w="0" w:type="dxa"/>
          <w:left w:w="0" w:type="dxa"/>
          <w:bottom w:w="0" w:type="dxa"/>
          <w:right w:w="0" w:type="dxa"/>
        </w:tblCellMar>
      </w:tblPr>
      <w:tblGrid>
        <w:gridCol w:w="4291"/>
        <w:gridCol w:w="326"/>
        <w:gridCol w:w="154"/>
      </w:tblGrid>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2025</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font-style:italic"/>
    <w:charset w:val="01"/>
    <w:family w:val="auto"/>
    <w:pitch w:val="default"/>
  </w:font>
  <w:font w:name="Times New Roman">
    <w:charset w:val="01"/>
    <w:family w:val="auto"/>
    <w:pitch w:val="default"/>
  </w:font>
  <w:font w:name="Times New Roman">
    <w:altName w:val="white-space:pre-wrap"/>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hyperlink" Target="https://www.sec.gov/Archives/edgar/data/1434588/000155837025006495/lope-20250331xex10d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18613</Words>
  <Characters>103148</Characters>
  <CharactersWithSpaces>122372</CharactersWithSpaces>
  <Paragraphs>3322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