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September 29,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2</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8" w:lineRule="exact"/>
        <w:rPr>
          <w:sz w:val="20"/>
          <w:szCs w:val="20"/>
          <w:color w:val="auto"/>
        </w:rPr>
      </w:pPr>
    </w:p>
    <w:p>
      <w:pPr>
        <w:ind w:left="1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0"/>
          <w:szCs w:val="20"/>
          <w:color w:val="auto"/>
        </w:rPr>
      </w:pPr>
    </w:p>
    <w:p>
      <w:pPr>
        <w:sectPr>
          <w:pgSz w:w="11900" w:h="16838" w:orient="portrait"/>
          <w:cols w:equalWidth="0" w:num="3">
            <w:col w:w="5000" w:space="720"/>
            <w:col w:w="2680" w:space="720"/>
            <w:col w:w="2000"/>
          </w:cols>
          <w:pgMar w:left="220" w:top="127" w:right="559" w:bottom="1440" w:gutter="0" w:footer="0" w:header="0"/>
          <w:type w:val="continuous"/>
        </w:sectPr>
      </w:pPr>
    </w:p>
    <w:p>
      <w:pPr>
        <w:spacing w:after="0" w:line="7"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50"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66"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42" w:lineRule="exact"/>
        <w:rPr>
          <w:sz w:val="20"/>
          <w:szCs w:val="20"/>
          <w:color w:val="auto"/>
        </w:rPr>
      </w:pPr>
    </w:p>
    <w:p>
      <w:pPr>
        <w:ind w:left="340"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560" w:right="160"/>
        <w:spacing w:after="0" w:line="364"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1200" w:type="dxa"/>
            <w:vAlign w:val="bottom"/>
          </w:tcPr>
          <w:p>
            <w:pPr>
              <w:spacing w:after="0"/>
              <w:rPr>
                <w:sz w:val="20"/>
                <w:szCs w:val="20"/>
                <w:color w:val="auto"/>
              </w:rPr>
            </w:pPr>
            <w:r>
              <w:rPr>
                <w:rFonts w:ascii="Arial" w:cs="Arial" w:eastAsia="Arial" w:hAnsi="Arial"/>
                <w:sz w:val="10"/>
                <w:szCs w:val="10"/>
                <w:color w:val="auto"/>
              </w:rPr>
              <w:t>Large accelerated filer o</w:t>
            </w:r>
          </w:p>
        </w:tc>
        <w:tc>
          <w:tcPr>
            <w:tcW w:w="2800" w:type="dxa"/>
            <w:vAlign w:val="bottom"/>
          </w:tcPr>
          <w:p>
            <w:pPr>
              <w:ind w:left="860"/>
              <w:spacing w:after="0"/>
              <w:rPr>
                <w:sz w:val="20"/>
                <w:szCs w:val="20"/>
                <w:color w:val="auto"/>
              </w:rPr>
            </w:pPr>
            <w:r>
              <w:rPr>
                <w:rFonts w:ascii="Arial" w:cs="Arial" w:eastAsia="Arial" w:hAnsi="Arial"/>
                <w:sz w:val="10"/>
                <w:szCs w:val="10"/>
                <w:color w:val="auto"/>
              </w:rPr>
              <w:t>Accelerated filer o</w:t>
            </w:r>
          </w:p>
        </w:tc>
        <w:tc>
          <w:tcPr>
            <w:tcW w:w="1360" w:type="dxa"/>
            <w:vAlign w:val="bottom"/>
          </w:tcPr>
          <w:p>
            <w:pPr>
              <w:spacing w:after="0"/>
              <w:rPr>
                <w:sz w:val="11"/>
                <w:szCs w:val="11"/>
                <w:color w:val="auto"/>
              </w:rPr>
            </w:pPr>
          </w:p>
        </w:tc>
        <w:tc>
          <w:tcPr>
            <w:tcW w:w="2100" w:type="dxa"/>
            <w:vAlign w:val="bottom"/>
            <w:gridSpan w:val="2"/>
          </w:tcPr>
          <w:p>
            <w:pPr>
              <w:jc w:val="center"/>
              <w:ind w:right="666"/>
              <w:spacing w:after="0" w:line="115" w:lineRule="exact"/>
              <w:rPr>
                <w:sz w:val="20"/>
                <w:szCs w:val="20"/>
                <w:color w:val="auto"/>
              </w:rPr>
            </w:pPr>
            <w:r>
              <w:rPr>
                <w:rFonts w:ascii="Arial" w:cs="Arial" w:eastAsia="Arial" w:hAnsi="Arial"/>
                <w:sz w:val="10"/>
                <w:szCs w:val="10"/>
                <w:color w:val="auto"/>
                <w:w w:val="97"/>
              </w:rPr>
              <w:t xml:space="preserve">Non-accelerated filer </w:t>
            </w:r>
            <w:r>
              <w:rPr>
                <w:rFonts w:ascii="MS PGothic" w:cs="MS PGothic" w:eastAsia="MS PGothic" w:hAnsi="MS PGothic"/>
                <w:sz w:val="10"/>
                <w:szCs w:val="10"/>
                <w:color w:val="auto"/>
                <w:w w:val="97"/>
              </w:rPr>
              <w:t>☑</w:t>
            </w:r>
          </w:p>
        </w:tc>
        <w:tc>
          <w:tcPr>
            <w:tcW w:w="1720" w:type="dxa"/>
            <w:vAlign w:val="bottom"/>
          </w:tcPr>
          <w:p>
            <w:pPr>
              <w:spacing w:after="0"/>
              <w:rPr>
                <w:sz w:val="11"/>
                <w:szCs w:val="11"/>
                <w:color w:val="auto"/>
              </w:rPr>
            </w:pPr>
          </w:p>
        </w:tc>
        <w:tc>
          <w:tcPr>
            <w:tcW w:w="1600" w:type="dxa"/>
            <w:vAlign w:val="bottom"/>
          </w:tcPr>
          <w:p>
            <w:pPr>
              <w:ind w:left="380"/>
              <w:spacing w:after="0"/>
              <w:rPr>
                <w:sz w:val="20"/>
                <w:szCs w:val="20"/>
                <w:color w:val="auto"/>
              </w:rPr>
            </w:pPr>
            <w:r>
              <w:rPr>
                <w:rFonts w:ascii="Arial" w:cs="Arial" w:eastAsia="Arial" w:hAnsi="Arial"/>
                <w:sz w:val="10"/>
                <w:szCs w:val="10"/>
                <w:color w:val="auto"/>
                <w:w w:val="93"/>
              </w:rPr>
              <w:t>Smaller reporting company o</w:t>
            </w: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460" w:type="dxa"/>
            <w:vAlign w:val="bottom"/>
            <w:gridSpan w:val="3"/>
          </w:tcPr>
          <w:p>
            <w:pPr>
              <w:jc w:val="center"/>
              <w:ind w:left="585"/>
              <w:spacing w:after="0"/>
              <w:rPr>
                <w:sz w:val="20"/>
                <w:szCs w:val="20"/>
                <w:color w:val="auto"/>
              </w:rPr>
            </w:pPr>
            <w:r>
              <w:rPr>
                <w:rFonts w:ascii="Arial" w:cs="Arial" w:eastAsia="Arial" w:hAnsi="Arial"/>
                <w:sz w:val="10"/>
                <w:szCs w:val="10"/>
                <w:color w:val="auto"/>
                <w:w w:val="96"/>
              </w:rPr>
              <w:t>(Do not check if a smaller reporting company)</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460" w:type="dxa"/>
            <w:vAlign w:val="bottom"/>
            <w:gridSpan w:val="3"/>
          </w:tcPr>
          <w:p>
            <w:pPr>
              <w:ind w:left="260"/>
              <w:spacing w:after="0"/>
              <w:rPr>
                <w:sz w:val="20"/>
                <w:szCs w:val="20"/>
                <w:color w:val="auto"/>
              </w:rPr>
            </w:pPr>
            <w:r>
              <w:rPr>
                <w:rFonts w:ascii="Arial" w:cs="Arial" w:eastAsia="Arial" w:hAnsi="Arial"/>
                <w:sz w:val="12"/>
                <w:szCs w:val="12"/>
                <w:b w:val="1"/>
                <w:bCs w:val="1"/>
                <w:color w:val="auto"/>
              </w:rPr>
              <w:t>CALCULATION OF REGISTRATION FEE</w:t>
            </w: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00" w:type="dxa"/>
            <w:vAlign w:val="bottom"/>
          </w:tcPr>
          <w:p>
            <w:pPr>
              <w:spacing w:after="0"/>
              <w:rPr>
                <w:sz w:val="7"/>
                <w:szCs w:val="7"/>
                <w:color w:val="auto"/>
              </w:rPr>
            </w:pPr>
          </w:p>
        </w:tc>
        <w:tc>
          <w:tcPr>
            <w:tcW w:w="2800" w:type="dxa"/>
            <w:vAlign w:val="bottom"/>
            <w:tcBorders>
              <w:right w:val="single" w:sz="8" w:color="auto"/>
            </w:tcBorders>
            <w:vMerge w:val="restart"/>
          </w:tcPr>
          <w:p>
            <w:pPr>
              <w:jc w:val="center"/>
              <w:ind w:right="1248"/>
              <w:spacing w:after="0"/>
              <w:rPr>
                <w:sz w:val="20"/>
                <w:szCs w:val="20"/>
                <w:color w:val="auto"/>
              </w:rPr>
            </w:pPr>
            <w:r>
              <w:rPr>
                <w:rFonts w:ascii="Arial" w:cs="Arial" w:eastAsia="Arial" w:hAnsi="Arial"/>
                <w:sz w:val="10"/>
                <w:szCs w:val="10"/>
                <w:b w:val="1"/>
                <w:bCs w:val="1"/>
                <w:color w:val="auto"/>
                <w:w w:val="92"/>
              </w:rPr>
              <w:t>Title of Each Class of</w:t>
            </w:r>
          </w:p>
        </w:tc>
        <w:tc>
          <w:tcPr>
            <w:tcW w:w="136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Amount to be</w:t>
            </w:r>
          </w:p>
        </w:tc>
        <w:tc>
          <w:tcPr>
            <w:tcW w:w="3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6"/>
              </w:rPr>
              <w:t>Proposed Maximum</w:t>
            </w:r>
          </w:p>
        </w:tc>
        <w:tc>
          <w:tcPr>
            <w:tcW w:w="1600" w:type="dxa"/>
            <w:vAlign w:val="bottom"/>
            <w:vMerge w:val="restart"/>
          </w:tcPr>
          <w:p>
            <w:pPr>
              <w:jc w:val="center"/>
              <w:ind w:left="26"/>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Offering Price Per</w:t>
            </w: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Aggregate Offering</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0" w:type="dxa"/>
            <w:vAlign w:val="bottom"/>
            <w:tcBorders>
              <w:bottom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jc w:val="center"/>
              <w:ind w:right="1248"/>
              <w:spacing w:after="0"/>
              <w:rPr>
                <w:sz w:val="20"/>
                <w:szCs w:val="20"/>
                <w:color w:val="auto"/>
              </w:rPr>
            </w:pPr>
            <w:r>
              <w:rPr>
                <w:rFonts w:ascii="Arial" w:cs="Arial" w:eastAsia="Arial" w:hAnsi="Arial"/>
                <w:sz w:val="10"/>
                <w:szCs w:val="10"/>
                <w:b w:val="1"/>
                <w:bCs w:val="1"/>
                <w:color w:val="auto"/>
                <w:w w:val="92"/>
              </w:rPr>
              <w:t>Security To be Registered</w:t>
            </w:r>
          </w:p>
        </w:tc>
        <w:tc>
          <w:tcPr>
            <w:tcW w:w="1360" w:type="dxa"/>
            <w:vAlign w:val="bottom"/>
            <w:tcBorders>
              <w:bottom w:val="single" w:sz="8" w:color="auto"/>
            </w:tcBorders>
          </w:tcPr>
          <w:p>
            <w:pPr>
              <w:jc w:val="center"/>
              <w:ind w:left="305"/>
              <w:spacing w:after="0"/>
              <w:rPr>
                <w:sz w:val="20"/>
                <w:szCs w:val="20"/>
                <w:color w:val="auto"/>
              </w:rPr>
            </w:pPr>
            <w:r>
              <w:rPr>
                <w:rFonts w:ascii="Arial" w:cs="Arial" w:eastAsia="Arial" w:hAnsi="Arial"/>
                <w:sz w:val="10"/>
                <w:szCs w:val="10"/>
                <w:b w:val="1"/>
                <w:bCs w:val="1"/>
                <w:color w:val="auto"/>
                <w:w w:val="93"/>
              </w:rPr>
              <w:t>Registered(1)</w:t>
            </w:r>
          </w:p>
        </w:tc>
        <w:tc>
          <w:tcPr>
            <w:tcW w:w="38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Share(2)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Price(2)</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0"/>
                <w:szCs w:val="10"/>
                <w:b w:val="1"/>
                <w:bCs w:val="1"/>
                <w:color w:val="auto"/>
                <w:w w:val="94"/>
              </w:rPr>
              <w:t>Registration Fee(3)</w:t>
            </w:r>
          </w:p>
        </w:tc>
        <w:tc>
          <w:tcPr>
            <w:tcW w:w="0" w:type="dxa"/>
            <w:vAlign w:val="bottom"/>
          </w:tcPr>
          <w:p>
            <w:pPr>
              <w:spacing w:after="0"/>
              <w:rPr>
                <w:sz w:val="1"/>
                <w:szCs w:val="1"/>
                <w:color w:val="auto"/>
              </w:rPr>
            </w:pPr>
          </w:p>
        </w:tc>
      </w:tr>
      <w:tr>
        <w:trPr>
          <w:trHeight w:val="147"/>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Common Stock, par value $0.01 per share</w:t>
            </w:r>
          </w:p>
        </w:tc>
        <w:tc>
          <w:tcPr>
            <w:tcW w:w="136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color w:val="auto"/>
              </w:rPr>
              <w:t>12,075,000</w:t>
            </w:r>
          </w:p>
        </w:tc>
        <w:tc>
          <w:tcPr>
            <w:tcW w:w="3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right"/>
              <w:ind w:right="646"/>
              <w:spacing w:after="0"/>
              <w:rPr>
                <w:sz w:val="20"/>
                <w:szCs w:val="20"/>
                <w:color w:val="auto"/>
              </w:rPr>
            </w:pPr>
            <w:r>
              <w:rPr>
                <w:rFonts w:ascii="Arial" w:cs="Arial" w:eastAsia="Arial" w:hAnsi="Arial"/>
                <w:sz w:val="12"/>
                <w:szCs w:val="12"/>
                <w:color w:val="auto"/>
              </w:rPr>
              <w:t>$20.00</w:t>
            </w:r>
          </w:p>
        </w:tc>
        <w:tc>
          <w:tcPr>
            <w:tcW w:w="172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2"/>
                <w:szCs w:val="12"/>
                <w:color w:val="auto"/>
              </w:rPr>
              <w:t>$241,500,000</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2"/>
                <w:szCs w:val="12"/>
                <w:color w:val="auto"/>
                <w:w w:val="92"/>
              </w:rPr>
              <w:t>$9,491</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1,575,000 shares of Common Stock issuable upon exercise of the underwriters’ over-allotment option.</w:t>
      </w:r>
    </w:p>
    <w:p>
      <w:pPr>
        <w:spacing w:after="0" w:line="5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w:t>
      </w:r>
    </w:p>
    <w:p>
      <w:pPr>
        <w:spacing w:after="0" w:line="5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$9,039 previously paid</w:t>
      </w:r>
    </w:p>
    <w:p>
      <w:pPr>
        <w:spacing w:after="0" w:line="96" w:lineRule="exact"/>
        <w:rPr>
          <w:sz w:val="20"/>
          <w:szCs w:val="20"/>
          <w:color w:val="auto"/>
        </w:rPr>
      </w:pPr>
    </w:p>
    <w:p>
      <w:pPr>
        <w:ind w:left="340" w:right="6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69215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Dated September 29, 2008</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is the initial public offering of common stock of Grand Canyon Education, Inc. We are offering 10,500,000 shares of our common stock.</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$18.00 and $20.00 per share. We have applied to list our common stock on the Nasdaq Global Market under the symbol “LOPE.”</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10.</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8040" w:type="dxa"/>
            <w:vAlign w:val="bottom"/>
          </w:tcPr>
          <w:p>
            <w:pPr>
              <w:spacing w:after="0"/>
              <w:rPr>
                <w:sz w:val="20"/>
                <w:szCs w:val="20"/>
                <w:color w:val="auto"/>
              </w:rPr>
            </w:pPr>
            <w:r>
              <w:rPr>
                <w:rFonts w:ascii="Arial" w:cs="Arial" w:eastAsia="Arial" w:hAnsi="Arial"/>
                <w:sz w:val="13"/>
                <w:szCs w:val="13"/>
                <w:color w:val="auto"/>
              </w:rPr>
              <w:t>Public offering price</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Underwriting discounts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16478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57"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3"/>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86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87"/>
              </w:rPr>
            </w:pPr>
            <w:hyperlink w:anchor="page39">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1060" w:type="dxa"/>
            <w:vAlign w:val="bottom"/>
            <w:tcBorders>
              <w:bottom w:val="single" w:sz="8" w:color="0000EE"/>
            </w:tcBorders>
            <w:gridSpan w:val="12"/>
          </w:tcPr>
          <w:p>
            <w:pPr>
              <w:spacing w:after="0" w:line="138" w:lineRule="exact"/>
              <w:rPr>
                <w:rFonts w:ascii="Arial" w:cs="Arial" w:eastAsia="Arial" w:hAnsi="Arial"/>
                <w:sz w:val="13"/>
                <w:szCs w:val="13"/>
                <w:color w:val="0000EE"/>
                <w:w w:val="93"/>
              </w:rPr>
            </w:pPr>
            <w:hyperlink w:anchor="page40">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7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4"/>
              </w:rPr>
            </w:pPr>
            <w:hyperlink w:anchor="page42">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44</w:t>
            </w:r>
          </w:p>
        </w:tc>
      </w:tr>
      <w:tr>
        <w:trPr>
          <w:trHeight w:val="137"/>
        </w:trPr>
        <w:tc>
          <w:tcPr>
            <w:tcW w:w="48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7"/>
              </w:rPr>
            </w:pPr>
            <w:hyperlink w:anchor="page68">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63</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103">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98</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08">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103</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3"/>
          </w:tcPr>
          <w:p>
            <w:pPr>
              <w:spacing w:after="0" w:line="138" w:lineRule="exact"/>
              <w:rPr>
                <w:rFonts w:ascii="Arial" w:cs="Arial" w:eastAsia="Arial" w:hAnsi="Arial"/>
                <w:sz w:val="13"/>
                <w:szCs w:val="13"/>
                <w:color w:val="0000EE"/>
                <w:w w:val="90"/>
              </w:rPr>
            </w:pPr>
            <w:hyperlink w:anchor="page119">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114</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25">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137"/>
        </w:trPr>
        <w:tc>
          <w:tcPr>
            <w:tcW w:w="2140" w:type="dxa"/>
            <w:vAlign w:val="bottom"/>
            <w:tcBorders>
              <w:top w:val="single" w:sz="8" w:color="0000EE"/>
            </w:tcBorders>
            <w:gridSpan w:val="21"/>
          </w:tcPr>
          <w:p>
            <w:pPr>
              <w:spacing w:after="0" w:line="138" w:lineRule="exact"/>
              <w:rPr>
                <w:rFonts w:ascii="Arial" w:cs="Arial" w:eastAsia="Arial" w:hAnsi="Arial"/>
                <w:sz w:val="13"/>
                <w:szCs w:val="13"/>
                <w:color w:val="0000EE"/>
              </w:rPr>
            </w:pPr>
            <w:hyperlink w:anchor="page129">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34">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136">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131</w:t>
            </w:r>
          </w:p>
        </w:tc>
      </w:tr>
      <w:tr>
        <w:trPr>
          <w:trHeight w:val="137"/>
        </w:trPr>
        <w:tc>
          <w:tcPr>
            <w:tcW w:w="720" w:type="dxa"/>
            <w:vAlign w:val="bottom"/>
            <w:tcBorders>
              <w:bottom w:val="single" w:sz="8" w:color="0000EE"/>
            </w:tcBorders>
            <w:gridSpan w:val="8"/>
          </w:tcPr>
          <w:p>
            <w:pPr>
              <w:spacing w:after="0" w:line="138" w:lineRule="exact"/>
              <w:rPr>
                <w:rFonts w:ascii="Arial" w:cs="Arial" w:eastAsia="Arial" w:hAnsi="Arial"/>
                <w:sz w:val="13"/>
                <w:szCs w:val="13"/>
                <w:color w:val="0000EE"/>
                <w:w w:val="95"/>
              </w:rPr>
            </w:pPr>
            <w:hyperlink w:anchor="page139">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134</w:t>
            </w:r>
          </w:p>
        </w:tc>
      </w:tr>
      <w:tr>
        <w:trPr>
          <w:trHeight w:val="137"/>
        </w:trPr>
        <w:tc>
          <w:tcPr>
            <w:tcW w:w="242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42">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137</w:t>
            </w:r>
          </w:p>
        </w:tc>
      </w:tr>
      <w:tr>
        <w:trPr>
          <w:trHeight w:val="137"/>
        </w:trPr>
        <w:tc>
          <w:tcPr>
            <w:tcW w:w="1960" w:type="dxa"/>
            <w:vAlign w:val="bottom"/>
            <w:tcBorders>
              <w:bottom w:val="single" w:sz="8" w:color="0000EE"/>
            </w:tcBorders>
            <w:gridSpan w:val="18"/>
          </w:tcPr>
          <w:p>
            <w:pPr>
              <w:spacing w:after="0" w:line="138" w:lineRule="exact"/>
              <w:rPr>
                <w:rFonts w:ascii="Arial" w:cs="Arial" w:eastAsia="Arial" w:hAnsi="Arial"/>
                <w:sz w:val="13"/>
                <w:szCs w:val="13"/>
                <w:color w:val="0000EE"/>
                <w:w w:val="92"/>
              </w:rPr>
            </w:pPr>
            <w:hyperlink w:anchor="page142">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137</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2">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137</w:t>
            </w:r>
          </w:p>
        </w:tc>
      </w:tr>
      <w:tr>
        <w:trPr>
          <w:trHeight w:val="137"/>
        </w:trPr>
        <w:tc>
          <w:tcPr>
            <w:tcW w:w="74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1"/>
              </w:rPr>
            </w:pPr>
            <w:hyperlink w:anchor="page144">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20"/>
          </w:tcPr>
          <w:p>
            <w:pPr>
              <w:spacing w:after="0" w:line="138" w:lineRule="exact"/>
              <w:rPr>
                <w:rFonts w:ascii="Arial" w:cs="Arial" w:eastAsia="Arial" w:hAnsi="Arial"/>
                <w:sz w:val="13"/>
                <w:szCs w:val="13"/>
                <w:color w:val="0000EE"/>
                <w:w w:val="93"/>
              </w:rPr>
            </w:pPr>
            <w:hyperlink w:anchor="page144">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5">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EX-3.1</w:t>
            </w:r>
          </w:p>
        </w:tc>
        <w:tc>
          <w:tcPr>
            <w:tcW w:w="1180" w:type="dxa"/>
            <w:vAlign w:val="bottom"/>
            <w:tcBorders>
              <w:top w:val="single" w:sz="8" w:color="0000EE"/>
            </w:tcBorders>
            <w:gridSpan w:val="13"/>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EX-3.2</w:t>
            </w:r>
          </w:p>
        </w:tc>
        <w:tc>
          <w:tcPr>
            <w:tcW w:w="7160" w:type="dxa"/>
            <w:vAlign w:val="bottom"/>
            <w:gridSpan w:val="23"/>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EX-4.1</w:t>
            </w:r>
          </w:p>
        </w:tc>
        <w:tc>
          <w:tcPr>
            <w:tcW w:w="7160" w:type="dxa"/>
            <w:vAlign w:val="bottom"/>
            <w:gridSpan w:val="23"/>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EX-4.2</w:t>
            </w:r>
          </w:p>
        </w:tc>
        <w:tc>
          <w:tcPr>
            <w:tcW w:w="7160" w:type="dxa"/>
            <w:vAlign w:val="bottom"/>
            <w:gridSpan w:val="23"/>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EX-5.1</w:t>
            </w:r>
          </w:p>
        </w:tc>
        <w:tc>
          <w:tcPr>
            <w:tcW w:w="7160" w:type="dxa"/>
            <w:vAlign w:val="bottom"/>
            <w:gridSpan w:val="23"/>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89"/>
              </w:rPr>
              <w:t>EX-10.1</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-3313430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EX-10.2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EX-23.2</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0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860" w:right="28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86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860" w:right="40" w:firstLine="399"/>
        <w:spacing w:after="0" w:line="282" w:lineRule="auto"/>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June 30, 2008 was approximately 16,500, representing an increase of approximately 60% over our enrollment at June 30, 2007. Our net revenue and operating income for the six months ended June 30, 2008 were $70.3 million, and $6.3 million, respectively, representing increases of 59.5% and 172.2%, respectively, over the six months ended June 30, 2007. We seek to achieve continued growth in a manner that reinforces our reputation for providing academically rigorous, career-oriented educational programs that advance the careers of our students.</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reflect the quality of our programs, enhance their marketability, and improve the employability of our graduates.</w:t>
      </w:r>
    </w:p>
    <w:p>
      <w:pPr>
        <w:spacing w:after="0" w:line="96" w:lineRule="exact"/>
        <w:rPr>
          <w:sz w:val="20"/>
          <w:szCs w:val="20"/>
          <w:color w:val="auto"/>
        </w:rPr>
      </w:pPr>
    </w:p>
    <w:p>
      <w:pPr>
        <w:ind w:left="860" w:right="100" w:firstLine="399"/>
        <w:spacing w:after="0" w:line="296" w:lineRule="auto"/>
        <w:rPr>
          <w:sz w:val="20"/>
          <w:szCs w:val="20"/>
          <w:color w:val="auto"/>
        </w:rPr>
      </w:pPr>
      <w:r>
        <w:rPr>
          <w:rFonts w:ascii="Arial" w:cs="Arial" w:eastAsia="Arial" w:hAnsi="Arial"/>
          <w:sz w:val="12"/>
          <w:szCs w:val="12"/>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firstLine="399"/>
        <w:spacing w:after="0" w:line="281" w:lineRule="auto"/>
        <w:rPr>
          <w:sz w:val="20"/>
          <w:szCs w:val="20"/>
          <w:color w:val="auto"/>
        </w:rPr>
      </w:pPr>
      <w:r>
        <w:rPr>
          <w:rFonts w:ascii="Arial" w:cs="Arial" w:eastAsia="Arial" w:hAnsi="Arial"/>
          <w:sz w:val="12"/>
          <w:szCs w:val="12"/>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jc w:val="both"/>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28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67"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objectives. Our programs are taught by qualified faculty, substantially all of whom hold at least a master’s degree and often have practical experience in their respective fields.</w:t>
      </w:r>
    </w:p>
    <w:p>
      <w:pPr>
        <w:spacing w:after="0" w:line="108" w:lineRule="exact"/>
        <w:rPr>
          <w:sz w:val="20"/>
          <w:szCs w:val="20"/>
          <w:color w:val="auto"/>
        </w:rPr>
      </w:pPr>
    </w:p>
    <w:p>
      <w:pPr>
        <w:ind w:left="860" w:right="140" w:firstLine="399"/>
        <w:spacing w:after="0" w:line="320"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w:t>
      </w:r>
      <w:r>
        <w:rPr>
          <w:rFonts w:ascii="Arial" w:cs="Arial" w:eastAsia="Arial" w:hAnsi="Arial"/>
          <w:sz w:val="12"/>
          <w:szCs w:val="12"/>
          <w:i w:val="1"/>
          <w:iCs w:val="1"/>
          <w:color w:val="auto"/>
        </w:rPr>
        <w:t xml:space="preserve"> </w:t>
      </w:r>
      <w:r>
        <w:rPr>
          <w:rFonts w:ascii="Arial" w:cs="Arial" w:eastAsia="Arial" w:hAnsi="Arial"/>
          <w:sz w:val="12"/>
          <w:szCs w:val="12"/>
          <w:color w:val="auto"/>
        </w:rPr>
        <w:t>university, differentiate us in the for-profit postsecondary market and enhance the reputation of our degree programs among prospective students and employers.</w:t>
      </w:r>
    </w:p>
    <w:p>
      <w:pPr>
        <w:spacing w:after="0" w:line="35"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20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continue to increase the number of our enrollment counselors and marketing and student services personnel to drive enrollment growth and enhance student retention.</w:t>
      </w:r>
    </w:p>
    <w:p>
      <w:pPr>
        <w:spacing w:after="0" w:line="67"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i w:val="1"/>
          <w:iCs w:val="1"/>
          <w:color w:val="auto"/>
        </w:rPr>
        <w:t xml:space="preserve">Expand online program and degree offerings. </w:t>
      </w:r>
      <w:r>
        <w:rPr>
          <w:rFonts w:ascii="Arial" w:cs="Arial" w:eastAsia="Arial" w:hAnsi="Arial"/>
          <w:sz w:val="13"/>
          <w:szCs w:val="13"/>
          <w:color w:val="auto"/>
        </w:rPr>
        <w:t>We develop and offer new programs that we believe have attractive demand characteristics. We launched 17 new online program</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in 2007 and intend to launch a total of 12 new online programs in 2008, seven of which were launched in the first six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70" w:lineRule="exact"/>
        <w:rPr>
          <w:sz w:val="20"/>
          <w:szCs w:val="20"/>
          <w:color w:val="auto"/>
        </w:rPr>
      </w:pPr>
    </w:p>
    <w:p>
      <w:pPr>
        <w:ind w:left="860" w:right="44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24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86" w:lineRule="exact"/>
        <w:rPr>
          <w:rFonts w:ascii="Arial" w:cs="Arial" w:eastAsia="Arial" w:hAnsi="Arial"/>
          <w:sz w:val="13"/>
          <w:szCs w:val="13"/>
          <w:color w:val="auto"/>
        </w:rPr>
      </w:pPr>
    </w:p>
    <w:p>
      <w:pPr>
        <w:ind w:left="1860" w:right="32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right="40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59" w:lineRule="exact"/>
        <w:rPr>
          <w:rFonts w:ascii="Arial" w:cs="Arial" w:eastAsia="Arial" w:hAnsi="Arial"/>
          <w:sz w:val="13"/>
          <w:szCs w:val="13"/>
          <w:color w:val="auto"/>
        </w:rPr>
      </w:pPr>
    </w:p>
    <w:p>
      <w:pPr>
        <w:jc w:val="both"/>
        <w:ind w:left="1860" w:right="120" w:hanging="200"/>
        <w:spacing w:after="0" w:line="260"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or as a result of negative publicity affecting us or other companies in the for-profit postsecondary education sector;</w:t>
      </w:r>
    </w:p>
    <w:p>
      <w:pPr>
        <w:spacing w:after="0" w:line="69"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780" w:type="dxa"/>
            <w:vAlign w:val="bottom"/>
            <w:gridSpan w:val="2"/>
          </w:tcPr>
          <w:p>
            <w:pPr>
              <w:ind w:left="1240"/>
              <w:spacing w:after="0"/>
              <w:rPr>
                <w:sz w:val="20"/>
                <w:szCs w:val="20"/>
                <w:color w:val="auto"/>
              </w:rPr>
            </w:pPr>
            <w:r>
              <w:rPr>
                <w:rFonts w:ascii="Arial" w:cs="Arial" w:eastAsia="Arial" w:hAnsi="Arial"/>
                <w:sz w:val="13"/>
                <w:szCs w:val="13"/>
                <w:b w:val="1"/>
                <w:bCs w:val="1"/>
                <w:color w:val="auto"/>
              </w:rPr>
              <w:t>OFFERING SUMMARY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10,500,000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41,999,354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We estimate that the net proceeds to us from this offering will be approximately $179.7 million, or approximately</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3"/>
              </w:rPr>
              <w:t>$207.6 million if the underwriters exercise their over-allotment option in full, based on the midpoint of the price range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set forth on the cover page of this prospectus and after deducting the underwriting discounts and commissions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estimated offering expenses payable by 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2"/>
              </w:rPr>
              <w:t>As described in “Use of Proceeds” and “Special Distribution,” we will use the proceeds of this offering to pay a special</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distribution to our stockholders of record as of September 26, 2008, in the amount of 75% of the gross proceeds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received by us from the sale of stock in this offering, including any proceeds we receive from the underwriters’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exercise of their over-allotment option, before underwriting discounts and commissions and estimated offering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6"/>
              </w:rPr>
              <w:t>expenses. We also intend to use up to $16.0 million of the proceeds of this offering to repurchase an outstanding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warrant to purchase shares of our common stock. We intend to use the remaining proceeds to pay the expenses of this</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offering and for general corporate purposes.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0"/>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stockholders to sell their shares. Of the estimated aggregate amount of the special distribution of $149.6 million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(exclusive of any amounts that may be received from the underwriters’ exercise of the over-allotment option),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assuming an initial public offering price of $19.00 per share, which is the midpoint of the price range set forth on the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cover page of this prospectus, $81.1 million will be paid in respect of shares of our capital stock over which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directors and executive officers are deemed to exercise sole or shared voting or investment power. These proceeds will</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be allocated as set forth in the following table.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0"/>
                <w:szCs w:val="10"/>
                <w:b w:val="1"/>
                <w:bCs w:val="1"/>
                <w:color w:val="auto"/>
                <w:w w:val="93"/>
              </w:rPr>
              <w:t>Special Distribution</w:t>
            </w:r>
          </w:p>
        </w:tc>
      </w:tr>
      <w:tr>
        <w:trPr>
          <w:trHeight w:val="131"/>
        </w:trPr>
        <w:tc>
          <w:tcPr>
            <w:tcW w:w="3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(In thousands)</w:t>
            </w:r>
          </w:p>
        </w:tc>
        <w:tc>
          <w:tcPr>
            <w:tcW w:w="1140" w:type="dxa"/>
            <w:vAlign w:val="bottom"/>
          </w:tcPr>
          <w:p>
            <w:pPr>
              <w:spacing w:after="0"/>
              <w:rPr>
                <w:sz w:val="11"/>
                <w:szCs w:val="11"/>
                <w:color w:val="auto"/>
              </w:rPr>
            </w:pPr>
          </w:p>
        </w:tc>
      </w:tr>
      <w:tr>
        <w:trPr>
          <w:trHeight w:val="163"/>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45,849</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45,849</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Brent D.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16,766</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John E. Crowley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ind w:right="16"/>
              <w:spacing w:after="0"/>
              <w:rPr>
                <w:sz w:val="20"/>
                <w:szCs w:val="20"/>
                <w:color w:val="auto"/>
              </w:rPr>
            </w:pPr>
            <w:r>
              <w:rPr>
                <w:rFonts w:ascii="Arial" w:cs="Arial" w:eastAsia="Arial" w:hAnsi="Arial"/>
                <w:sz w:val="13"/>
                <w:szCs w:val="13"/>
                <w:color w:val="auto"/>
                <w:w w:val="92"/>
              </w:rPr>
              <w:t>1,736</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C.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16,775</w:t>
            </w:r>
          </w:p>
        </w:tc>
        <w:tc>
          <w:tcPr>
            <w:tcW w:w="1140" w:type="dxa"/>
            <w:vAlign w:val="bottom"/>
          </w:tcPr>
          <w:p>
            <w:pPr>
              <w:spacing w:after="0"/>
              <w:rPr>
                <w:sz w:val="13"/>
                <w:szCs w:val="13"/>
                <w:color w:val="auto"/>
              </w:rPr>
            </w:pPr>
          </w:p>
        </w:tc>
      </w:tr>
      <w:tr>
        <w:trPr>
          <w:trHeight w:val="165"/>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81,127</w:t>
            </w:r>
          </w:p>
        </w:tc>
        <w:tc>
          <w:tcPr>
            <w:tcW w:w="1140" w:type="dxa"/>
            <w:vAlign w:val="bottom"/>
          </w:tcPr>
          <w:p>
            <w:pPr>
              <w:spacing w:after="0"/>
              <w:rPr>
                <w:sz w:val="14"/>
                <w:szCs w:val="14"/>
                <w:color w:val="auto"/>
              </w:rPr>
            </w:pPr>
          </w:p>
        </w:tc>
      </w:tr>
    </w:tbl>
    <w:p>
      <w:pPr>
        <w:spacing w:after="0" w:line="141" w:lineRule="exact"/>
        <w:rPr>
          <w:sz w:val="20"/>
          <w:szCs w:val="20"/>
          <w:color w:val="auto"/>
        </w:rPr>
      </w:pPr>
    </w:p>
    <w:p>
      <w:pPr>
        <w:ind w:left="5140" w:right="20" w:hanging="394"/>
        <w:spacing w:after="0" w:line="276" w:lineRule="auto"/>
        <w:tabs>
          <w:tab w:leader="none" w:pos="5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of our directors, are managing directors of Endeavour Capital IV, LLC, the general partner of such funds.</w:t>
      </w:r>
    </w:p>
    <w:p>
      <w:pPr>
        <w:spacing w:after="0" w:line="108" w:lineRule="exact"/>
        <w:rPr>
          <w:sz w:val="20"/>
          <w:szCs w:val="20"/>
          <w:color w:val="auto"/>
        </w:rPr>
      </w:pPr>
    </w:p>
    <w:p>
      <w:pPr>
        <w:ind w:left="4540"/>
        <w:spacing w:after="0" w:line="276" w:lineRule="auto"/>
        <w:rPr>
          <w:sz w:val="20"/>
          <w:szCs w:val="20"/>
          <w:color w:val="auto"/>
        </w:rPr>
      </w:pPr>
      <w:r>
        <w:rPr>
          <w:rFonts w:ascii="Arial" w:cs="Arial" w:eastAsia="Arial" w:hAnsi="Arial"/>
          <w:sz w:val="13"/>
          <w:szCs w:val="13"/>
          <w:color w:val="auto"/>
        </w:rPr>
        <w:t>See “Special Distribution” and “Certain Relationships and Related Transactions — Special Distribution” for additional information regarding the beneficiaries of the special distribution.</w:t>
      </w:r>
    </w:p>
    <w:p>
      <w:pPr>
        <w:sectPr>
          <w:pgSz w:w="11900" w:h="16838" w:orient="portrait"/>
          <w:cols w:equalWidth="0" w:num="1">
            <w:col w:w="10780"/>
          </w:cols>
          <w:pgMar w:left="220" w:top="343" w:right="899" w:bottom="1440" w:gutter="0" w:footer="0" w:header="0"/>
        </w:sectPr>
      </w:pPr>
    </w:p>
    <w:p>
      <w:pPr>
        <w:spacing w:after="0" w:line="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0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right="100" w:firstLine="399"/>
        <w:spacing w:after="0" w:line="289" w:lineRule="auto"/>
        <w:rPr>
          <w:sz w:val="20"/>
          <w:szCs w:val="20"/>
          <w:color w:val="auto"/>
        </w:rPr>
      </w:pPr>
      <w:r>
        <w:rPr>
          <w:rFonts w:ascii="Arial" w:cs="Arial" w:eastAsia="Arial" w:hAnsi="Arial"/>
          <w:sz w:val="12"/>
          <w:szCs w:val="12"/>
          <w:color w:val="auto"/>
        </w:rPr>
        <w:t>The number of shares of our common stock to be outstanding following this offering is based on the number of shares of our common stock outstanding as of September 29, 2008, prior to the effectiveness of this offering, and excludes 5,249,921 shares of common stock reserved for future issuance under our stock-based compensation plans. The 5,249,921 shares reserved for future issuance includes 104,998 fully vested restricted shares to be granted to Brian E. Mueller, our Chief Executive Officer, and 704,923 fully vested and 2,492,256 unvested stock options to be granted to employees and a director immediately following the effectiveness of the offering at the initial public offering price.</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1,575,000 additional shares from us;</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1,826 for one split of our outstanding common stock effected on September 29, 2008;</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Series A convertible preferred stock into 10,870,178 shares of common stock upon the closing of the offering;</w:t>
      </w:r>
    </w:p>
    <w:p>
      <w:pPr>
        <w:spacing w:after="0" w:line="107" w:lineRule="exact"/>
        <w:rPr>
          <w:rFonts w:ascii="Arial" w:cs="Arial" w:eastAsia="Arial" w:hAnsi="Arial"/>
          <w:sz w:val="12"/>
          <w:szCs w:val="12"/>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filing of an amendment to our certificate of incorporation to provide for the automatic conversion of all outstanding shares of Series C preferred stock into</w:t>
      </w:r>
    </w:p>
    <w:p>
      <w:pPr>
        <w:spacing w:after="0" w:line="26" w:lineRule="exact"/>
        <w:rPr>
          <w:rFonts w:ascii="Arial" w:cs="Arial" w:eastAsia="Arial" w:hAnsi="Arial"/>
          <w:sz w:val="12"/>
          <w:szCs w:val="12"/>
          <w:color w:val="auto"/>
        </w:rPr>
      </w:pPr>
    </w:p>
    <w:p>
      <w:pPr>
        <w:ind w:left="1860" w:right="260"/>
        <w:spacing w:after="0" w:line="264" w:lineRule="auto"/>
        <w:rPr>
          <w:rFonts w:ascii="Arial" w:cs="Arial" w:eastAsia="Arial" w:hAnsi="Arial"/>
          <w:sz w:val="12"/>
          <w:szCs w:val="12"/>
          <w:color w:val="auto"/>
        </w:rPr>
      </w:pPr>
      <w:r>
        <w:rPr>
          <w:rFonts w:ascii="Arial" w:cs="Arial" w:eastAsia="Arial" w:hAnsi="Arial"/>
          <w:sz w:val="13"/>
          <w:szCs w:val="13"/>
          <w:color w:val="auto"/>
        </w:rPr>
        <w:t>1,410,526 shares of common stock upon the closing of the offering based on a conversion price equal to the initial public offering price per share, assuming an initial public offering price of $19.00 per share, which is the midpoint of the range set forth on the cover page of this prospectus;</w:t>
      </w:r>
    </w:p>
    <w:p>
      <w:pPr>
        <w:spacing w:after="0" w:line="66" w:lineRule="exact"/>
        <w:rPr>
          <w:rFonts w:ascii="Arial" w:cs="Arial" w:eastAsia="Arial" w:hAnsi="Arial"/>
          <w:sz w:val="12"/>
          <w:szCs w:val="12"/>
          <w:color w:val="auto"/>
        </w:rPr>
      </w:pPr>
    </w:p>
    <w:p>
      <w:pPr>
        <w:ind w:left="1860" w:right="2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909,348 shares of common stock at an exercise price of $0.58 per share for $16.0 million in cash, as described under “Use of Proceeds;”</w:t>
      </w:r>
    </w:p>
    <w:p>
      <w:pPr>
        <w:spacing w:after="0" w:line="59" w:lineRule="exact"/>
        <w:rPr>
          <w:rFonts w:ascii="Arial" w:cs="Arial" w:eastAsia="Arial" w:hAnsi="Arial"/>
          <w:sz w:val="13"/>
          <w:szCs w:val="13"/>
          <w:color w:val="auto"/>
        </w:rPr>
      </w:pPr>
    </w:p>
    <w:p>
      <w:pPr>
        <w:ind w:left="1860" w:right="28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firstLine="399"/>
        <w:spacing w:after="0" w:line="285" w:lineRule="auto"/>
        <w:rPr>
          <w:sz w:val="20"/>
          <w:szCs w:val="20"/>
          <w:color w:val="auto"/>
        </w:rPr>
      </w:pPr>
      <w:r>
        <w:rPr>
          <w:rFonts w:ascii="Arial" w:cs="Arial" w:eastAsia="Arial" w:hAnsi="Arial"/>
          <w:sz w:val="12"/>
          <w:szCs w:val="12"/>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55"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4"/>
              </w:rPr>
              <w:t>enrollment</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5"/>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jc w:val="right"/>
              <w:ind w:right="168"/>
              <w:spacing w:after="0"/>
              <w:rPr>
                <w:sz w:val="20"/>
                <w:szCs w:val="20"/>
                <w:color w:val="auto"/>
              </w:rPr>
            </w:pPr>
            <w:r>
              <w:rPr>
                <w:rFonts w:ascii="Arial" w:cs="Arial" w:eastAsia="Arial" w:hAnsi="Arial"/>
                <w:sz w:val="10"/>
                <w:szCs w:val="10"/>
                <w:b w:val="1"/>
                <w:bCs w:val="1"/>
                <w:color w:val="auto"/>
                <w:w w:val="93"/>
              </w:rPr>
              <w:t>and per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72,111</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99,326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44,071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70,275</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28,063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31,287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39,050</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17,555</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24,028</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20,093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35,148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14,186</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27,473</w:t>
            </w: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12,968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15,011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17,001</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8,377</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10,960</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3,782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1,629</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56,697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69,069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94,981</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41,747</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63,949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4,345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2,324</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(2,827)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(2,975)</w:t>
            </w:r>
          </w:p>
        </w:tc>
        <w:tc>
          <w:tcPr>
            <w:tcW w:w="140" w:type="dxa"/>
            <w:vAlign w:val="bottom"/>
          </w:tcPr>
          <w:p>
            <w:pPr>
              <w:spacing w:after="0"/>
              <w:rPr>
                <w:sz w:val="13"/>
                <w:szCs w:val="13"/>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3"/>
                <w:szCs w:val="13"/>
                <w:color w:val="auto"/>
              </w:rPr>
              <w:t>(1,515)</w:t>
            </w:r>
          </w:p>
        </w:tc>
        <w:tc>
          <w:tcPr>
            <w:tcW w:w="1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(1,507)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1,172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692</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(7,726)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2,542</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1,501</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5,251</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1,016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1,526</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901</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(349)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(167)</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71</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1,177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734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2,703</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0.00</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0.06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0.04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18,853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18,923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18,853</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19,089</w:t>
            </w: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36,858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35,143</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35,052</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32,623</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817</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2,387</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7,406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3,234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2,396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1,473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9,074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11,723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5,551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10,294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Period end enrollment:</w:t>
            </w:r>
            <w:r>
              <w:rPr>
                <w:rFonts w:ascii="Arial" w:cs="Arial" w:eastAsia="Arial" w:hAnsi="Arial"/>
                <w:sz w:val="11"/>
                <w:szCs w:val="11"/>
                <w:color w:val="auto"/>
              </w:rPr>
              <w:t>(4)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Online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8,406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12,497</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9,032</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14,847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Ground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2,256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2,257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1,300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0"/>
                <w:szCs w:val="10"/>
                <w:b w:val="1"/>
                <w:bCs w:val="1"/>
                <w:color w:val="auto"/>
                <w:w w:val="92"/>
              </w:rPr>
              <w:t>As of June 30, 2008</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right"/>
              <w:ind w:right="493"/>
              <w:spacing w:after="0"/>
              <w:rPr>
                <w:sz w:val="20"/>
                <w:szCs w:val="20"/>
                <w:color w:val="auto"/>
              </w:rPr>
            </w:pPr>
            <w:r>
              <w:rPr>
                <w:rFonts w:ascii="Arial" w:cs="Arial" w:eastAsia="Arial" w:hAnsi="Arial"/>
                <w:sz w:val="10"/>
                <w:szCs w:val="10"/>
                <w:b w:val="1"/>
                <w:bCs w:val="1"/>
                <w:color w:val="auto"/>
              </w:rPr>
              <w:t>Actual</w:t>
            </w:r>
          </w:p>
        </w:tc>
        <w:tc>
          <w:tcPr>
            <w:tcW w:w="300" w:type="dxa"/>
            <w:vAlign w:val="bottom"/>
          </w:tcPr>
          <w:p>
            <w:pPr>
              <w:spacing w:after="0"/>
              <w:rPr>
                <w:sz w:val="9"/>
                <w:szCs w:val="9"/>
                <w:color w:val="auto"/>
              </w:rPr>
            </w:pPr>
          </w:p>
        </w:tc>
        <w:tc>
          <w:tcPr>
            <w:tcW w:w="5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Adjusted</w:t>
            </w:r>
            <w:r>
              <w:rPr>
                <w:rFonts w:ascii="Arial" w:cs="Arial" w:eastAsia="Arial" w:hAnsi="Arial"/>
                <w:sz w:val="8"/>
                <w:szCs w:val="8"/>
                <w:b w:val="1"/>
                <w:bCs w:val="1"/>
                <w:color w:val="auto"/>
                <w:w w:val="95"/>
              </w:rPr>
              <w:t>(5)</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Pr>
          <w:p>
            <w:pPr>
              <w:jc w:val="right"/>
              <w:spacing w:after="0" w:line="81" w:lineRule="exact"/>
              <w:rPr>
                <w:sz w:val="20"/>
                <w:szCs w:val="20"/>
                <w:color w:val="auto"/>
              </w:rPr>
            </w:pPr>
            <w:r>
              <w:rPr>
                <w:rFonts w:ascii="Arial" w:cs="Arial" w:eastAsia="Arial" w:hAnsi="Arial"/>
                <w:sz w:val="9"/>
                <w:szCs w:val="9"/>
                <w:b w:val="1"/>
                <w:bCs w:val="1"/>
                <w:color w:val="auto"/>
                <w:w w:val="71"/>
              </w:rPr>
              <w:t>(Unaudited)</w:t>
            </w:r>
          </w:p>
        </w:tc>
        <w:tc>
          <w:tcPr>
            <w:tcW w:w="3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left="21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33"/>
              <w:spacing w:after="0"/>
              <w:rPr>
                <w:sz w:val="20"/>
                <w:szCs w:val="20"/>
                <w:color w:val="auto"/>
              </w:rPr>
            </w:pPr>
            <w:r>
              <w:rPr>
                <w:rFonts w:ascii="Arial" w:cs="Arial" w:eastAsia="Arial" w:hAnsi="Arial"/>
                <w:sz w:val="13"/>
                <w:szCs w:val="13"/>
                <w:color w:val="auto"/>
              </w:rPr>
              <w:t>7,206</w:t>
            </w:r>
          </w:p>
        </w:tc>
        <w:tc>
          <w:tcPr>
            <w:tcW w:w="300" w:type="dxa"/>
            <w:vAlign w:val="bottom"/>
          </w:tcPr>
          <w:p>
            <w:pPr>
              <w:jc w:val="right"/>
              <w:ind w:right="165"/>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21,316</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80,548</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94,658</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tcPr>
          <w:p>
            <w:pPr>
              <w:spacing w:after="0"/>
              <w:rPr>
                <w:sz w:val="13"/>
                <w:szCs w:val="13"/>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3"/>
                <w:szCs w:val="13"/>
                <w:color w:val="auto"/>
              </w:rPr>
              <w:t>29,420</w:t>
            </w:r>
          </w:p>
        </w:tc>
        <w:tc>
          <w:tcPr>
            <w:tcW w:w="3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29,420</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1,894</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3"/>
                <w:szCs w:val="13"/>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3"/>
                <w:szCs w:val="13"/>
                <w:color w:val="auto"/>
              </w:rPr>
              <w:t>32,469</w:t>
            </w:r>
          </w:p>
        </w:tc>
        <w:tc>
          <w:tcPr>
            <w:tcW w:w="3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(8,440)</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38,139</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60" w:right="42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160" w:right="34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0" w:lineRule="exact"/>
        <w:rPr>
          <w:rFonts w:ascii="Arial" w:cs="Arial" w:eastAsia="Arial" w:hAnsi="Arial"/>
          <w:sz w:val="13"/>
          <w:szCs w:val="13"/>
          <w:color w:val="auto"/>
        </w:rPr>
      </w:pPr>
    </w:p>
    <w:p>
      <w:pPr>
        <w:ind w:left="1160" w:right="60" w:hanging="252"/>
        <w:spacing w:after="0" w:line="289" w:lineRule="auto"/>
        <w:tabs>
          <w:tab w:leader="none" w:pos="1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160" w:right="4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60"/>
        <w:spacing w:after="0" w:line="260"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160" w:right="520"/>
        <w:spacing w:after="0" w:line="276" w:lineRule="auto"/>
        <w:rPr>
          <w:sz w:val="20"/>
          <w:szCs w:val="20"/>
          <w:color w:val="auto"/>
        </w:rPr>
      </w:pPr>
      <w:r>
        <w:rPr>
          <w:rFonts w:ascii="Arial" w:cs="Arial" w:eastAsia="Arial" w:hAnsi="Arial"/>
          <w:sz w:val="13"/>
          <w:szCs w:val="13"/>
          <w:color w:val="auto"/>
        </w:rPr>
        <w:t>Adjusted EBITDA has limitations as an analytical tool, as discussed under “Management’s Discussion and Analysis of Financial Condition and Results of Operations — Non-GAAP Discussion.”</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provides a reconciliation of net income (loss)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ind w:right="20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7"/>
              </w:rPr>
              <w:t>(Unaudited)</w:t>
            </w: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(4,286)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1,526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2,822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1,915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823</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(3,440)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1,016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600</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1,473</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(3,025)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5,438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3,797</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2,678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3,782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1,629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3"/>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9,074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5,551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10,294</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00" w:hanging="244"/>
        <w:spacing w:after="0" w:line="317" w:lineRule="auto"/>
        <w:tabs>
          <w:tab w:leader="none" w:pos="1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which are included elsewhere in this prospectus.</w:t>
      </w:r>
    </w:p>
    <w:p>
      <w:pPr>
        <w:ind w:left="1660" w:right="40" w:hanging="251"/>
        <w:spacing w:after="0" w:line="258" w:lineRule="auto"/>
        <w:tabs>
          <w:tab w:leader="none" w:pos="1660" w:val="left"/>
        </w:tabs>
        <w:numPr>
          <w:ilvl w:val="1"/>
          <w:numId w:val="8"/>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160" w:right="40" w:hanging="252"/>
        <w:spacing w:after="0" w:line="307" w:lineRule="auto"/>
        <w:tabs>
          <w:tab w:leader="none" w:pos="11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ind w:left="1160" w:hanging="252"/>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7" w:lineRule="auto"/>
        <w:rPr>
          <w:sz w:val="20"/>
          <w:szCs w:val="20"/>
          <w:color w:val="auto"/>
        </w:rPr>
      </w:pPr>
      <w:r>
        <w:rPr>
          <w:rFonts w:ascii="Arial" w:cs="Arial" w:eastAsia="Arial" w:hAnsi="Arial"/>
          <w:sz w:val="12"/>
          <w:szCs w:val="12"/>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41"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 We are cooperating with the Office of Inspector General to facilitate its investigation.</w:t>
      </w:r>
    </w:p>
    <w:p>
      <w:pPr>
        <w:spacing w:after="0" w:line="59"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We are currently in the early stages of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spacing w:after="0" w:line="1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results of operations. Because of the ongoing nature of the Office of Inspector General investigation, we can neither know nor predict the ultimate outcome of the investigation or any liability or other sanctions that might result.</w:t>
      </w:r>
    </w:p>
    <w:p>
      <w:pPr>
        <w:spacing w:after="0" w:line="13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of $5,000 to $10,000 for each violation of the False Claims Act, attorneys’ fees, costs, and interest.</w:t>
      </w:r>
    </w:p>
    <w:p>
      <w:pPr>
        <w:spacing w:after="0" w:line="6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August 2007 and was unsealed and served on us following the government’s decision not to intervene at this time.</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Because of the ongoing nature of this action, we can neither know nor predict the ultimate outcome of this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case or any liability that might result.</w:t>
      </w:r>
    </w:p>
    <w:p>
      <w:pPr>
        <w:spacing w:after="0" w:line="14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decrease our student enrollment. Such a decrease in our enrollment could have a material adverse effect on us. Congressional action could also require us to modify our practices in ways that could increase our administrative and regulatory costs.</w:t>
      </w:r>
    </w:p>
    <w:p>
      <w:pPr>
        <w:spacing w:after="0" w:line="13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39"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4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7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91"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4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cumulative impact of recent regulatory and market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26" w:lineRule="exact"/>
        <w:rPr>
          <w:sz w:val="20"/>
          <w:szCs w:val="20"/>
          <w:color w:val="auto"/>
        </w:rPr>
      </w:pPr>
    </w:p>
    <w:p>
      <w:pPr>
        <w:ind w:left="1680" w:right="8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40" w:hanging="187"/>
        <w:spacing w:after="0" w:line="276" w:lineRule="auto"/>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40"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7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78"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4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46"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4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4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79"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3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w:t>
      </w:r>
    </w:p>
    <w:p>
      <w:pPr>
        <w:spacing w:after="0" w:line="29"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8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3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39"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37"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59"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adversely affected and our student population could decrease, which could have a material adverse effect on our business, prospects, financial condition, and results of operations.</w:t>
      </w:r>
    </w:p>
    <w:p>
      <w:pPr>
        <w:spacing w:after="0" w:line="126"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3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4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Higher Learning Commission has informed us that it will consider the offering to be a change in control under its policies, which will require us to obtain the Higher Learning Commission’s approval prior to consummating the offering. We have filed additional correspondence with the Higher Learning Commission regarding the information needed to obtain such approval. As a result of its determination that the offering will be a change in control, the Higher Learning Commission is likely to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1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w:t>
      </w:r>
    </w:p>
    <w:p>
      <w:pPr>
        <w:spacing w:after="0" w:line="89"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3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 school participating in the Title IV programs may not provide, or contract with a third party that provides, any commission, bonus, or other incentive payment based on success in enrolling students 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5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7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7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which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67"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9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85"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96" w:lineRule="auto"/>
        <w:rPr>
          <w:sz w:val="20"/>
          <w:szCs w:val="20"/>
          <w:color w:val="auto"/>
        </w:rPr>
      </w:pPr>
      <w:r>
        <w:rPr>
          <w:rFonts w:ascii="Arial" w:cs="Arial" w:eastAsia="Arial" w:hAnsi="Arial"/>
          <w:sz w:val="12"/>
          <w:szCs w:val="12"/>
          <w:color w:val="auto"/>
        </w:rPr>
        <w:t>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7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37"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9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enrollment counselors to become productive, regulatory restrictions on the method of compensating enrollment counselors, and the competition in hiring and retaining enrollment counselors.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we are unable to hire, develop, and retain a sufficient number of qualified enrollment counselors, our ability to increase enrollments would be adversely affected.</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7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3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3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42"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are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 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7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78"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4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June 30, 2008, we offered 74 fully online programs, 17 of which we introduced in 2007, seven of which we introduced in the first six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3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7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7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our efforts to seek these sources of potential working adult students will be impaired, and this could materially and adversely affect our business, prospects, financial condition, and results of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7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7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01"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3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4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2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85"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3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63" w:lineRule="auto"/>
        <w:rPr>
          <w:sz w:val="20"/>
          <w:szCs w:val="20"/>
          <w:color w:val="auto"/>
        </w:rPr>
      </w:pPr>
      <w:r>
        <w:rPr>
          <w:rFonts w:ascii="Arial" w:cs="Arial" w:eastAsia="Arial" w:hAnsi="Arial"/>
          <w:sz w:val="11"/>
          <w:szCs w:val="11"/>
          <w:color w:val="auto"/>
        </w:rPr>
        <w:t>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3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67"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As of June 30, 2008, approximately 61%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and we may be required to alter the content of our courses or pay monetary damages, which may be significant.</w:t>
      </w:r>
    </w:p>
    <w:p>
      <w:pPr>
        <w:spacing w:after="0" w:line="126" w:lineRule="exact"/>
        <w:rPr>
          <w:sz w:val="20"/>
          <w:szCs w:val="20"/>
          <w:color w:val="auto"/>
        </w:rPr>
      </w:pPr>
    </w:p>
    <w:p>
      <w:pPr>
        <w:ind w:left="880" w:right="420"/>
        <w:spacing w:after="0" w:line="354"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01"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3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88"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67"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1"/>
          <w:szCs w:val="11"/>
          <w:color w:val="auto"/>
        </w:rPr>
        <w:t>A majority of our faculty at June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for clean-up, damages, and fines, or penalties which could adversely impact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67"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8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5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 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7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30"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27" w:lineRule="exact"/>
        <w:rPr>
          <w:rFonts w:ascii="Arial" w:cs="Arial" w:eastAsia="Arial" w:hAnsi="Arial"/>
          <w:sz w:val="13"/>
          <w:szCs w:val="13"/>
          <w:color w:val="auto"/>
        </w:rPr>
      </w:pPr>
    </w:p>
    <w:p>
      <w:pPr>
        <w:ind w:left="1680" w:right="300" w:hanging="187"/>
        <w:spacing w:after="0" w:line="268"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47" w:lineRule="exact"/>
        <w:rPr>
          <w:rFonts w:ascii="Arial" w:cs="Arial" w:eastAsia="Arial" w:hAnsi="Arial"/>
          <w:sz w:val="13"/>
          <w:szCs w:val="13"/>
          <w:color w:val="auto"/>
        </w:rPr>
      </w:pPr>
    </w:p>
    <w:p>
      <w:pPr>
        <w:ind w:left="1680" w:right="180" w:hanging="187"/>
        <w:spacing w:after="0" w:line="260"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the review being conducted by the Attorney General of the State of Arizona regarding institutions’ student loan practices; and</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7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69"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4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directors, executive officers, and principal existing stockholders will beneficially own approximately 30,645,702 shares, or 72.8%, of our common stock upon the completion of this offering. Our directors and executive officers will beneficially own in the aggregate approximately 28,810,572 shares, or 68.4%, of our common stock after the offering. In addition, pursuant to a voting agreement entered into among Brent Richardson, Chris Richardson, and certain of our existing stockholders, the Richardsons will have voting control over approximately 45.3%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position to address their own interests, which may be different from those of our other stockholders, including investors in this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7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31,499,354 additional shares of common stock may be eligible for sale in the public market without restriction, and up to approximately 26,771,211 shares of common stock held by affiliates may become eligible for sale, subject to the restrictions under Rule 144 of the Securities Act of 1933, as amended, or the Securities Act.</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67"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an assumed initial public offering price of $19.00 per share, the midpoint of the price range set forth on the cover page of this prospectus, you will incur immediate dilution of $18.16 in the net tangible book value per share. A $1.00 increase or decrease in the assumed initial public offering price of $19.00 per share would increase or decrease, as applicable, our pro forma as-adjusted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90"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30"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37"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to use the remainder to redeem an outstanding warrant to purchase shares of our common stock,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6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 w:lineRule="exact"/>
        <w:rPr>
          <w:sz w:val="20"/>
          <w:szCs w:val="20"/>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47"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2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net proceeds from the sale of 10,500,000 shares of our common stock offered by us in this offering will be approximately $179.7 million (or approximately $207.6 million if the underwriters exercise their over-allotment option in full), assuming an initial public offering price of $19.00 per share, which is the midpoint of the range set forth on the cover page of this prospectus, and after deducting the underwriting discounts and commissions and estimated offering expenses payable by us.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September 26, 2008. We will make this distribution upon completion of the offering. See “Special Distribution” for further information.</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2004, we issued a warrant to purchase shares of our common stock in connection with a sale-leaseback transaction we entered into relating to our ground campus.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whose sole purpose was to hold the equity interests of all of our members at the time of conversion. In connection with this offering, if the members of the holding company do not exercise such right, then we will exercise the right to repurchase the warrant or the underlying shares. Based on indications of interest received from such members to date, we expect to use at least $9.4 million, and up to $16.0 million of the net proceeds of this offering to repurchase any portion of the warrant or the underlying shares not purchased by such members.</w:t>
      </w:r>
    </w:p>
    <w:p>
      <w:pPr>
        <w:spacing w:after="0" w:line="7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will use the remaining proceeds that we receive from this offering and from the underwriters’ exercise of their over-allotment option to pay the expenses of this offering and for general corporate purposes.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the per share amount of the special distribution by $0.25 on an as-if converted basis and the net proceeds to us by approximately $1.9 million, assuming the number of shares offered by us, as set forth on the cover page of this prospectus, remains the same and, with respect to the net proceeds to us, after deducting estimated underwriting discounts and commissions and the special distribution noted above.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Of the estimated aggregate amount of the special distribution of $149.6 million (exclusive of any amounts that may be received from the underwriters’ exercise of the over-allotment option), assuming an initial public offering price of $19.00 per share, which is the midpoint of the price range set forth on the cover of this prospectus,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5100" w:type="dxa"/>
            <w:vAlign w:val="bottom"/>
            <w:vMerge w:val="continue"/>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5% Stockholders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17"/>
                <w:szCs w:val="17"/>
                <w:color w:val="auto"/>
                <w:vertAlign w:val="superscript"/>
              </w:rPr>
              <w:t>(4)</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22,423</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3,250</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8,717</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9,563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32,776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Staci L. Buse</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Significant Ventures, LLC</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12,363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12,974</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Directors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Chad N. Heath</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D. Mark Dorman</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16,776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John E. Crowley</w:t>
            </w:r>
            <w:r>
              <w:rPr>
                <w:rFonts w:ascii="Arial" w:cs="Arial" w:eastAsia="Arial" w:hAnsi="Arial"/>
                <w:sz w:val="17"/>
                <w:szCs w:val="17"/>
                <w:color w:val="auto"/>
                <w:vertAlign w:val="superscript"/>
              </w:rPr>
              <w:t>(6)</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1,736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16,308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16,775</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All directors and executive officers as a group</w:t>
            </w:r>
          </w:p>
        </w:tc>
        <w:tc>
          <w:tcPr>
            <w:tcW w:w="15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81,127</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22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Endeavor Capital IV, LLC, the general partner for each of the Endeavour Entities, are members of our board of directors.</w:t>
      </w:r>
    </w:p>
    <w:p>
      <w:pPr>
        <w:spacing w:after="0" w:line="17"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June 30, 2008:</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convertible preferred stock into 10,870,178 shares of common stock upon the closing of the offering; and</w:t>
      </w:r>
    </w:p>
    <w:p>
      <w:pPr>
        <w:spacing w:after="0" w:line="59" w:lineRule="exact"/>
        <w:rPr>
          <w:rFonts w:ascii="Arial" w:cs="Arial" w:eastAsia="Arial" w:hAnsi="Arial"/>
          <w:sz w:val="13"/>
          <w:szCs w:val="13"/>
          <w:color w:val="auto"/>
        </w:rPr>
      </w:pPr>
    </w:p>
    <w:p>
      <w:pPr>
        <w:ind w:left="2200" w:right="180" w:hanging="511"/>
        <w:spacing w:after="0" w:line="264"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C preferred stock into 1,410,526 shares of common stock upon the closing of the offering at a conversion rate equal to their liquidation preference per share divided by the initial public offering price per share, which is estimated to be $19.00 per share, which is the midpoint of the range set forth on the cover page of this prospectus; and</w:t>
      </w:r>
    </w:p>
    <w:p>
      <w:pPr>
        <w:spacing w:after="0" w:line="6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rFonts w:ascii="Arial" w:cs="Arial" w:eastAsia="Arial" w:hAnsi="Arial"/>
          <w:sz w:val="13"/>
          <w:szCs w:val="13"/>
          <w:color w:val="auto"/>
        </w:rPr>
      </w:pPr>
    </w:p>
    <w:p>
      <w:pPr>
        <w:ind w:left="2100" w:right="6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our sale of 10,500,000 shares of our common stock in this offering (at an assumed initial public offering price of $19.00 per share, which is the midpoint of the range set forth on the cover page of this prospectus) and after deducting the underwriting discounts and commissions and estimated offering expenses payable by us;</w:t>
      </w:r>
    </w:p>
    <w:p>
      <w:pPr>
        <w:spacing w:after="0" w:line="66" w:lineRule="exact"/>
        <w:rPr>
          <w:rFonts w:ascii="Arial" w:cs="Arial" w:eastAsia="Arial" w:hAnsi="Arial"/>
          <w:sz w:val="13"/>
          <w:szCs w:val="13"/>
          <w:color w:val="auto"/>
        </w:rPr>
      </w:pPr>
    </w:p>
    <w:p>
      <w:pPr>
        <w:ind w:left="210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w:t>
      </w:r>
    </w:p>
    <w:p>
      <w:pPr>
        <w:spacing w:after="0" w:line="66" w:lineRule="exact"/>
        <w:rPr>
          <w:rFonts w:ascii="Arial" w:cs="Arial" w:eastAsia="Arial" w:hAnsi="Arial"/>
          <w:sz w:val="13"/>
          <w:szCs w:val="13"/>
          <w:color w:val="auto"/>
        </w:rPr>
      </w:pPr>
    </w:p>
    <w:p>
      <w:pPr>
        <w:ind w:left="2200" w:hanging="511"/>
        <w:spacing w:after="0"/>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common stock for $16.0 million in cash as described in “Use of Proceeds;” and</w:t>
      </w:r>
    </w:p>
    <w:p>
      <w:pPr>
        <w:spacing w:after="0" w:line="96" w:lineRule="exact"/>
        <w:rPr>
          <w:rFonts w:ascii="Arial" w:cs="Arial" w:eastAsia="Arial" w:hAnsi="Arial"/>
          <w:sz w:val="13"/>
          <w:szCs w:val="13"/>
          <w:color w:val="auto"/>
        </w:rPr>
      </w:pPr>
    </w:p>
    <w:p>
      <w:pPr>
        <w:ind w:left="2200" w:right="280" w:hanging="511"/>
        <w:spacing w:after="0" w:line="276"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amendment and restatement of our certificate of incorporation in connection with the closing of this offering, which will increase our authorized capital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As of June 30,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right"/>
              <w:spacing w:after="0"/>
              <w:rPr>
                <w:sz w:val="20"/>
                <w:szCs w:val="20"/>
                <w:color w:val="auto"/>
              </w:rPr>
            </w:pPr>
            <w:r>
              <w:rPr>
                <w:rFonts w:ascii="Arial" w:cs="Arial" w:eastAsia="Arial" w:hAnsi="Arial"/>
                <w:sz w:val="10"/>
                <w:szCs w:val="10"/>
                <w:b w:val="1"/>
                <w:bCs w:val="1"/>
                <w:color w:val="auto"/>
                <w:w w:val="91"/>
              </w:rPr>
              <w:t>(In thousands, except share data)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7,206</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21,316</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29,420</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29,420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6"/>
              </w:rPr>
              <w:t>Series A convertible preferred stock: $0.01 par value; 9,700 shares authorized, 5,953 shares issued and outstanding, actual; no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shares 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18,610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Series B preferred stock: $0.01 par value; 2,200 shares authorized, no shares issued and outstanding, actual; no shares authorized,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and outstanding, pro forma and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9"/>
              </w:rPr>
              <w:t>Series C preferred stock: $0.01 par value; 3,900 shares authorized, 3,829 shares issued and outstanding, actual; no shares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13,859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Undesignated preferred stock: $0.01 par value; no shares authorized, issued and outstanding, actual and pro forma;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10,000,000 shares authorized, no shares issued and outstanding, pro forma, as adjusted</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$0.01 par value; 100,000,000 shares authorized, 19,218,650 shares issued and outstanding, actual;</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100,000,000 shares authorized, 31,499,354 shares issued and outstanding, pro forma; 100,000,000 shares authorized,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41,999,354 shares issued and outstanding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6,508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38,854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52,859</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(15,150)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(15,150)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(15,150)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24,029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38,139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55,343</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55,343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69,453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80" w:hanging="259"/>
        <w:spacing w:after="0" w:line="257"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$1.00 increase or decrease in the assumed initial public offering price of $19.00 per share would increase or decrease cash, cash equivalents, and short-term marketable securities by $1.9 million, would increase or decrease additional paid-in capital by $1.9 million, and would increase or decrease total stockholders’ equity and total capitalization by $1.9 million, after deducting the underwriting discount, the repurchase of the warrant described in the introductory paragraph to this table, and the payment of a special distribution to our existing stockholders of 75% of the gross proceeds from the sale of common stock by us in this offering. Similarly, any increase or decrease in the number of shares that we sell in the offering will increase or decrease our net proceeds in proportion to such increase or decrease, as applicable, multiplied by the offering price per share, less underwriting discounts and commissions.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of June 30, 2008, our pro forma net tangible book value would have been $21.1 million or, $0.67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Pro forma as adjusted net tangible book value per share represents the amount of total tangible assets reduced by our total liabilities, divided by the number of shares of common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outstanding after giving effect to the conversion of all outstanding classes of preferred stock into common stock, the repurchase of our outstanding warrant, the payment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estimated amount of the special distribution to certain of our existing stockholders and the sale of 10,500,000 shares of common stock in the offering at an initial public offering price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$19.00, the midpoint of the price range set forth on the cover page of this prospectus. Our pro forma as adjusted net tangible book value as of June 30, 2008 would have been $35.2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or $0.84 per share. This represents an immediate increase in net tangible book value of $0.17 per share to existing stockholders and an immediate dilution of $18.16 per share to new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investors purchasing shares in the offering. The following table illustrates this per share dilution:</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50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of common stock as of</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June 30,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0.67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repurchase of warrant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Dilution per share of common stock to new investors</w:t>
            </w: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pro forma as adjusted net tangible book value, and the dilution to new investors in the offering, will change from the amounts shown above if the underwriters’ over-allotment option is exercised.</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$1.00 increase or decrease in the assumed initial public offering price of $19.00 per share would increase or decrease, as applicable, our as pro forma 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sets forth, as of June 30, 2008, on the pro forma as-adjusted basis described above, the differences between existing stockholders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$19.00 per share of common stock, which is the midpoint of the range set forth on the cover page of this prospectus: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tcPr>
          <w:p>
            <w:pPr>
              <w:spacing w:after="0"/>
              <w:rPr>
                <w:sz w:val="10"/>
                <w:szCs w:val="10"/>
                <w:color w:val="auto"/>
              </w:rPr>
            </w:pPr>
          </w:p>
        </w:tc>
        <w:tc>
          <w:tcPr>
            <w:tcW w:w="13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89"/>
              </w:rPr>
              <w:t>Shares Purchased</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300" w:type="dxa"/>
            <w:vAlign w:val="bottom"/>
            <w:tcBorders>
              <w:top w:val="single" w:sz="8" w:color="auto"/>
            </w:tcBorders>
            <w:gridSpan w:val="2"/>
          </w:tcPr>
          <w:p>
            <w:pPr>
              <w:ind w:left="28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31,499,354</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40,300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New investors</w:t>
            </w:r>
          </w:p>
        </w:tc>
        <w:tc>
          <w:tcPr>
            <w:tcW w:w="920" w:type="dxa"/>
            <w:vAlign w:val="bottom"/>
          </w:tcPr>
          <w:p>
            <w:pPr>
              <w:jc w:val="right"/>
              <w:spacing w:after="0"/>
              <w:rPr>
                <w:sz w:val="20"/>
                <w:szCs w:val="20"/>
                <w:color w:val="auto"/>
              </w:rPr>
            </w:pPr>
            <w:r>
              <w:rPr>
                <w:rFonts w:ascii="Arial" w:cs="Arial" w:eastAsia="Arial" w:hAnsi="Arial"/>
                <w:sz w:val="13"/>
                <w:szCs w:val="13"/>
                <w:color w:val="auto"/>
              </w:rPr>
              <w:t>10,500,000</w:t>
            </w:r>
          </w:p>
        </w:tc>
        <w:tc>
          <w:tcPr>
            <w:tcW w:w="3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199,500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41,999,354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239,800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$19.00 per share would increase or decrease, as applicable, total consideration paid by new investors, total consideration paid by all stockholders and average price per share paid by all stockholders by $10.5 million, $10.5 million, and $0.25,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This table does not give effect to the payment of the special distribution to existing stockholders.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31,499,354, or 72.3%, and the number of shares held by new investors would increase to 12,075,000, or 27.7%, of the total number of shares of our common stock outstanding after this offering.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5"/>
              </w:rPr>
              <w:t>February 2, 2004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3"/>
          </w:tcPr>
          <w:p>
            <w:pPr>
              <w:jc w:val="center"/>
              <w:ind w:left="182"/>
              <w:spacing w:after="0"/>
              <w:rPr>
                <w:sz w:val="20"/>
                <w:szCs w:val="20"/>
                <w:color w:val="auto"/>
              </w:rPr>
            </w:pPr>
            <w:r>
              <w:rPr>
                <w:rFonts w:ascii="Arial" w:cs="Arial" w:eastAsia="Arial" w:hAnsi="Arial"/>
                <w:sz w:val="9"/>
                <w:szCs w:val="9"/>
                <w:b w:val="1"/>
                <w:bCs w:val="1"/>
                <w:color w:val="auto"/>
                <w:w w:val="94"/>
              </w:rPr>
              <w:t>Six Months Ended</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1"/>
              </w:rPr>
              <w:t>to December 31,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9"/>
                <w:szCs w:val="9"/>
                <w:b w:val="1"/>
                <w:bCs w:val="1"/>
                <w:color w:val="auto"/>
                <w:w w:val="92"/>
              </w:rPr>
              <w:t>Year Ended December 31,</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June 30,</w:t>
            </w: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83"/>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2005</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rPr>
              <w:t>2006</w:t>
            </w: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1"/>
              </w:rPr>
              <w:t>(Unaudited)</w:t>
            </w: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jc w:val="center"/>
              <w:ind w:right="83"/>
              <w:spacing w:after="0" w:line="75"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gridSpan w:val="2"/>
          </w:tcPr>
          <w:p>
            <w:pPr>
              <w:spacing w:after="0" w:line="75" w:lineRule="exact"/>
              <w:rPr>
                <w:sz w:val="20"/>
                <w:szCs w:val="20"/>
                <w:color w:val="auto"/>
              </w:rPr>
            </w:pPr>
            <w:r>
              <w:rPr>
                <w:rFonts w:ascii="Arial" w:cs="Arial" w:eastAsia="Arial" w:hAnsi="Arial"/>
                <w:sz w:val="8"/>
                <w:szCs w:val="8"/>
                <w:b w:val="1"/>
                <w:bCs w:val="1"/>
                <w:color w:val="auto"/>
                <w:w w:val="98"/>
              </w:rPr>
              <w:t>(Restated)</w:t>
            </w:r>
            <w:r>
              <w:rPr>
                <w:rFonts w:ascii="Arial" w:cs="Arial" w:eastAsia="Arial" w:hAnsi="Arial"/>
                <w:sz w:val="6"/>
                <w:szCs w:val="6"/>
                <w:b w:val="1"/>
                <w:bCs w:val="1"/>
                <w:color w:val="auto"/>
                <w:w w:val="98"/>
              </w:rPr>
              <w:t>(1)</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9"/>
          </w:tcPr>
          <w:p>
            <w:pPr>
              <w:jc w:val="right"/>
              <w:ind w:right="140"/>
              <w:spacing w:after="0"/>
              <w:rPr>
                <w:sz w:val="20"/>
                <w:szCs w:val="20"/>
                <w:color w:val="auto"/>
              </w:rPr>
            </w:pPr>
            <w:r>
              <w:rPr>
                <w:rFonts w:ascii="Arial" w:cs="Arial" w:eastAsia="Arial" w:hAnsi="Arial"/>
                <w:sz w:val="9"/>
                <w:szCs w:val="9"/>
                <w:b w:val="1"/>
                <w:bCs w:val="1"/>
                <w:color w:val="auto"/>
                <w:w w:val="93"/>
              </w:rPr>
              <w:t>(In thousands, except enrollment and per share data)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Net revenue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25,629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51,793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72,111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99,326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44,071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70,275</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Instructional costs and services</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19,705</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31,287</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39,050</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17,555</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24,028</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and promotional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9,735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14,047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20,093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35,148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w w:val="97"/>
              </w:rPr>
              <w:t>14,186</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27,473</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10,828</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12,968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15,011</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17,001</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8,377</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10,960</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Royalty to former owner</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1,619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3,782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1,629</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40,716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56,697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69,069</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94,981</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41,747</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63,949</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3,042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4,345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2,324</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6,326</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(3,098)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(2,975)</w:t>
            </w:r>
          </w:p>
        </w:tc>
        <w:tc>
          <w:tcPr>
            <w:tcW w:w="100" w:type="dxa"/>
            <w:vAlign w:val="bottom"/>
          </w:tcPr>
          <w:p>
            <w:pPr>
              <w:spacing w:after="0"/>
              <w:rPr>
                <w:sz w:val="12"/>
                <w:szCs w:val="12"/>
                <w:color w:val="auto"/>
              </w:rPr>
            </w:pPr>
          </w:p>
        </w:tc>
        <w:tc>
          <w:tcPr>
            <w:tcW w:w="880" w:type="dxa"/>
            <w:vAlign w:val="bottom"/>
            <w:gridSpan w:val="2"/>
          </w:tcPr>
          <w:p>
            <w:pPr>
              <w:jc w:val="right"/>
              <w:ind w:right="414"/>
              <w:spacing w:after="0"/>
              <w:rPr>
                <w:sz w:val="20"/>
                <w:szCs w:val="20"/>
                <w:color w:val="auto"/>
              </w:rPr>
            </w:pPr>
            <w:r>
              <w:rPr>
                <w:rFonts w:ascii="Arial" w:cs="Arial" w:eastAsia="Arial" w:hAnsi="Arial"/>
                <w:sz w:val="12"/>
                <w:szCs w:val="12"/>
                <w:color w:val="auto"/>
              </w:rPr>
              <w:t>(1,515)</w:t>
            </w:r>
          </w:p>
        </w:tc>
        <w:tc>
          <w:tcPr>
            <w:tcW w:w="1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4"/>
              </w:rPr>
              <w:t>(1,507)</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692</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(7,726)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2,542</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1,501</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5,251</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Income tax expense (benefit)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1,016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600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1,526</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901</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3,224</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Preferred dividends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(167)</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Net income available (loss attributable) to common stockholders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1,177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734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0.06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0.04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0.02</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Shares used in computing earnings (loss)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18,853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18,923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w w:val="97"/>
              </w:rPr>
              <w:t>18,853</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19,089</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36,858</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35,143</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35,052</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32,623</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Capital expenditures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24,376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817</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2,387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rPr>
              <w:t>7,406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3,234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3,983</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1,879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2,396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3,300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1,473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2,269</w:t>
            </w:r>
          </w:p>
        </w:tc>
        <w:tc>
          <w:tcPr>
            <w:tcW w:w="0" w:type="dxa"/>
            <w:vAlign w:val="bottom"/>
          </w:tcPr>
          <w:p>
            <w:pPr>
              <w:spacing w:after="0"/>
              <w:rPr>
                <w:sz w:val="1"/>
                <w:szCs w:val="1"/>
                <w:color w:val="auto"/>
              </w:rPr>
            </w:pPr>
          </w:p>
        </w:tc>
      </w:tr>
      <w:tr>
        <w:trPr>
          <w:trHeight w:val="147"/>
        </w:trPr>
        <w:tc>
          <w:tcPr>
            <w:tcW w:w="4600" w:type="dxa"/>
            <w:vAlign w:val="bottom"/>
          </w:tcPr>
          <w:p>
            <w:pPr>
              <w:spacing w:after="0" w:line="148" w:lineRule="exact"/>
              <w:rPr>
                <w:sz w:val="20"/>
                <w:szCs w:val="20"/>
                <w:color w:val="auto"/>
              </w:rPr>
            </w:pPr>
            <w:r>
              <w:rPr>
                <w:rFonts w:ascii="Arial" w:cs="Arial" w:eastAsia="Arial" w:hAnsi="Arial"/>
                <w:sz w:val="10"/>
                <w:szCs w:val="10"/>
                <w:color w:val="auto"/>
              </w:rPr>
              <w:t>Adjusted EBITDA</w:t>
            </w:r>
            <w:r>
              <w:rPr>
                <w:rFonts w:ascii="Arial" w:cs="Arial" w:eastAsia="Arial" w:hAnsi="Arial"/>
                <w:sz w:val="17"/>
                <w:szCs w:val="17"/>
                <w:color w:val="auto"/>
                <w:vertAlign w:val="superscript"/>
              </w:rPr>
              <w:t>(4)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(13,503)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(895)</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9,074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11,723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5,551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10,294</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Period end enrollment:</w:t>
            </w:r>
            <w:r>
              <w:rPr>
                <w:rFonts w:ascii="Arial" w:cs="Arial" w:eastAsia="Arial" w:hAnsi="Arial"/>
                <w:sz w:val="17"/>
                <w:szCs w:val="17"/>
                <w:color w:val="auto"/>
                <w:vertAlign w:val="superscript"/>
              </w:rPr>
              <w:t>(5)</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Online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3,141</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6,212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8,406</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12,497</w:t>
            </w: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9,032</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14,847</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Ground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1,852</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2,210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2,256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2,257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1,300</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1,663</w:t>
            </w: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vMerge w:val="restart"/>
          </w:tcPr>
          <w:p>
            <w:pPr>
              <w:ind w:left="200"/>
              <w:spacing w:after="0"/>
              <w:rPr>
                <w:sz w:val="20"/>
                <w:szCs w:val="20"/>
                <w:color w:val="auto"/>
              </w:rPr>
            </w:pPr>
            <w:r>
              <w:rPr>
                <w:rFonts w:ascii="Arial" w:cs="Arial" w:eastAsia="Arial" w:hAnsi="Arial"/>
                <w:sz w:val="10"/>
                <w:szCs w:val="10"/>
                <w:b w:val="1"/>
                <w:bCs w:val="1"/>
                <w:color w:val="auto"/>
              </w:rPr>
              <w:t>As of December 31,</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2004</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200"/>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jc w:val="right"/>
              <w:ind w:right="128"/>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98"/>
              </w:rPr>
              <w:t>2007</w:t>
            </w: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20"/>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58"/>
              <w:spacing w:after="0" w:line="98" w:lineRule="exact"/>
              <w:rPr>
                <w:sz w:val="20"/>
                <w:szCs w:val="20"/>
                <w:color w:val="auto"/>
              </w:rPr>
            </w:pPr>
            <w:r>
              <w:rPr>
                <w:rFonts w:ascii="Arial" w:cs="Arial" w:eastAsia="Arial" w:hAnsi="Arial"/>
                <w:sz w:val="10"/>
                <w:szCs w:val="10"/>
                <w:b w:val="1"/>
                <w:bCs w:val="1"/>
                <w:color w:val="auto"/>
                <w:w w:val="97"/>
              </w:rPr>
              <w:t>(Unaudited)</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(Unaudited)</w:t>
            </w:r>
          </w:p>
        </w:tc>
        <w:tc>
          <w:tcPr>
            <w:tcW w:w="100" w:type="dxa"/>
            <w:vAlign w:val="bottom"/>
          </w:tcPr>
          <w:p>
            <w:pPr>
              <w:spacing w:after="0"/>
              <w:rPr>
                <w:sz w:val="8"/>
                <w:szCs w:val="8"/>
                <w:color w:val="auto"/>
              </w:rPr>
            </w:pPr>
          </w:p>
        </w:tc>
        <w:tc>
          <w:tcPr>
            <w:tcW w:w="20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97"/>
              </w:rPr>
              <w:t>(In</w:t>
            </w:r>
          </w:p>
        </w:tc>
        <w:tc>
          <w:tcPr>
            <w:tcW w:w="104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20"/>
              <w:spacing w:after="0" w:line="98" w:lineRule="exact"/>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88"/>
              </w:rPr>
              <w:t>thousands)</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3,476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2,579</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   14,361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23,210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7,206</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30,892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51,859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61,232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88,568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80,548</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2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24,360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24,789</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29,728</w:t>
            </w:r>
          </w:p>
        </w:tc>
        <w:tc>
          <w:tcPr>
            <w:tcW w:w="1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29,228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4,511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2,635</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2,462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25,590</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21,390</w:t>
            </w:r>
          </w:p>
        </w:tc>
        <w:tc>
          <w:tcPr>
            <w:tcW w:w="1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31,948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32,469</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(12,111)</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(11,723)</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4"/>
              </w:rPr>
              <w:t>(10,386)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(8,440)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8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240" w:hanging="259"/>
        <w:spacing w:after="0" w:line="264"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0" w:lineRule="exact"/>
        <w:rPr>
          <w:rFonts w:ascii="Arial" w:cs="Arial" w:eastAsia="Arial" w:hAnsi="Arial"/>
          <w:sz w:val="13"/>
          <w:szCs w:val="13"/>
          <w:color w:val="auto"/>
        </w:rPr>
      </w:pPr>
    </w:p>
    <w:p>
      <w:pPr>
        <w:ind w:left="1000" w:right="60" w:hanging="259"/>
        <w:spacing w:after="0" w:line="289"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000" w:right="4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22"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96" w:lineRule="exact"/>
        <w:rPr>
          <w:rFonts w:ascii="Arial" w:cs="Arial" w:eastAsia="Arial" w:hAnsi="Arial"/>
          <w:sz w:val="12"/>
          <w:szCs w:val="12"/>
          <w:color w:val="auto"/>
        </w:rPr>
      </w:pPr>
    </w:p>
    <w:p>
      <w:pPr>
        <w:ind w:left="1680" w:hanging="187"/>
        <w:spacing w:after="0"/>
        <w:tabs>
          <w:tab w:leader="none" w:pos="16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86" w:lineRule="exact"/>
        <w:rPr>
          <w:rFonts w:ascii="Arial" w:cs="Arial" w:eastAsia="Arial" w:hAnsi="Arial"/>
          <w:sz w:val="13"/>
          <w:szCs w:val="13"/>
          <w:color w:val="auto"/>
        </w:rPr>
      </w:pPr>
    </w:p>
    <w:p>
      <w:pPr>
        <w:ind w:left="1680" w:right="40" w:hanging="187"/>
        <w:spacing w:after="0" w:line="276" w:lineRule="auto"/>
        <w:tabs>
          <w:tab w:leader="none" w:pos="168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20"/>
        <w:spacing w:after="0" w:line="258"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Six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center"/>
              <w:ind w:right="20"/>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823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1,473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3,797</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1,629</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9,074</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5,551</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10,294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1"/>
          <w:numId w:val="21"/>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13" w:lineRule="exact"/>
        <w:rPr>
          <w:rFonts w:ascii="Arial" w:cs="Arial" w:eastAsia="Arial" w:hAnsi="Arial"/>
          <w:sz w:val="12"/>
          <w:szCs w:val="12"/>
          <w:color w:val="auto"/>
        </w:rPr>
      </w:pPr>
    </w:p>
    <w:p>
      <w:pPr>
        <w:ind w:left="1400" w:right="80" w:hanging="507"/>
        <w:spacing w:after="0" w:line="258" w:lineRule="auto"/>
        <w:tabs>
          <w:tab w:leader="none" w:pos="14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000" w:right="20" w:hanging="259"/>
        <w:spacing w:after="0" w:line="320" w:lineRule="auto"/>
        <w:tabs>
          <w:tab w:leader="none" w:pos="10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8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June 30, 2008, we had approximately 16,500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4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As a result of this nationwide scrutiny, Congress has passed new laws, the Department of Education has enacted stricter regulations, and several states have adopted codes of conduct or enacted state laws that further regulate the conduct of lenders, schools, and school personnel. The effect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such actions may be to increase the cost of participating in the Title IV programs and other student loan programs, although we are unable to calculate such potential costs at this time.</w:t>
      </w:r>
    </w:p>
    <w:p>
      <w:pPr>
        <w:spacing w:after="0" w:line="10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addition, recent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Also, in recent years, several for-profit education companies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any of which could have a material adverse effect on our business, prospects, financial condition and results of operations and could adversely affect our stock price.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5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summary of our student enrollment at December 31, 2005, 2006, and 2007 and June 30, 2007 and 2008 (which included less than 100 students pursuing non-degree certificates in each period)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2005</w:t>
            </w: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gridSpan w:val="4"/>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4"/>
          </w:tcPr>
          <w:p>
            <w:pPr>
              <w:jc w:val="right"/>
              <w:ind w:right="19"/>
              <w:spacing w:after="0" w:line="98" w:lineRule="exact"/>
              <w:rPr>
                <w:sz w:val="20"/>
                <w:szCs w:val="20"/>
                <w:color w:val="auto"/>
              </w:rPr>
            </w:pPr>
            <w:r>
              <w:rPr>
                <w:rFonts w:ascii="Arial" w:cs="Arial" w:eastAsia="Arial" w:hAnsi="Arial"/>
                <w:sz w:val="10"/>
                <w:szCs w:val="10"/>
                <w:b w:val="1"/>
                <w:bCs w:val="1"/>
                <w:color w:val="auto"/>
              </w:rPr>
              <w:t>2007</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54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gridSpan w:val="2"/>
          </w:tcPr>
          <w:p>
            <w:pPr>
              <w:jc w:val="right"/>
              <w:ind w:right="159"/>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3"/>
          </w:tcPr>
          <w:p>
            <w:pPr>
              <w:jc w:val="right"/>
              <w:ind w:right="140"/>
              <w:spacing w:after="0" w:line="98"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2"/>
          </w:tcPr>
          <w:p>
            <w:pPr>
              <w:jc w:val="right"/>
              <w:ind w:right="108"/>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6,204</w:t>
            </w:r>
          </w:p>
        </w:tc>
        <w:tc>
          <w:tcPr>
            <w:tcW w:w="9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73.7</w:t>
            </w:r>
          </w:p>
        </w:tc>
        <w:tc>
          <w:tcPr>
            <w:tcW w:w="5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7,812</w:t>
            </w: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9,156</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62.1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7,641</w:t>
            </w:r>
          </w:p>
        </w:tc>
        <w:tc>
          <w:tcPr>
            <w:tcW w:w="580" w:type="dxa"/>
            <w:vAlign w:val="bottom"/>
            <w:tcBorders>
              <w:left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74.0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10,051</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400" w:type="dxa"/>
            <w:vAlign w:val="bottom"/>
          </w:tcPr>
          <w:p>
            <w:pPr>
              <w:jc w:val="right"/>
              <w:spacing w:after="0"/>
              <w:rPr>
                <w:sz w:val="20"/>
                <w:szCs w:val="20"/>
                <w:color w:val="auto"/>
              </w:rPr>
            </w:pPr>
            <w:r>
              <w:rPr>
                <w:rFonts w:ascii="Arial" w:cs="Arial" w:eastAsia="Arial" w:hAnsi="Arial"/>
                <w:sz w:val="13"/>
                <w:szCs w:val="13"/>
                <w:color w:val="auto"/>
              </w:rPr>
              <w:t>2,218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26.3</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2,850</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26.7</w:t>
            </w:r>
          </w:p>
        </w:tc>
        <w:tc>
          <w:tcPr>
            <w:tcW w:w="2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5,598</w:t>
            </w:r>
          </w:p>
        </w:tc>
        <w:tc>
          <w:tcPr>
            <w:tcW w:w="660" w:type="dxa"/>
            <w:vAlign w:val="bottom"/>
            <w:gridSpan w:val="4"/>
          </w:tcPr>
          <w:p>
            <w:pPr>
              <w:jc w:val="right"/>
              <w:ind w:right="20"/>
              <w:spacing w:after="0"/>
              <w:rPr>
                <w:sz w:val="20"/>
                <w:szCs w:val="20"/>
                <w:color w:val="auto"/>
              </w:rPr>
            </w:pPr>
            <w:r>
              <w:rPr>
                <w:rFonts w:ascii="Arial" w:cs="Arial" w:eastAsia="Arial" w:hAnsi="Arial"/>
                <w:sz w:val="13"/>
                <w:szCs w:val="13"/>
                <w:color w:val="auto"/>
              </w:rPr>
              <w:t>37.9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3"/>
                <w:szCs w:val="13"/>
                <w:color w:val="auto"/>
              </w:rPr>
              <w:t>2,691</w:t>
            </w:r>
          </w:p>
        </w:tc>
        <w:tc>
          <w:tcPr>
            <w:tcW w:w="580" w:type="dxa"/>
            <w:vAlign w:val="bottom"/>
            <w:gridSpan w:val="3"/>
          </w:tcPr>
          <w:p>
            <w:pPr>
              <w:jc w:val="right"/>
              <w:ind w:right="148"/>
              <w:spacing w:after="0"/>
              <w:rPr>
                <w:sz w:val="20"/>
                <w:szCs w:val="20"/>
                <w:color w:val="auto"/>
              </w:rPr>
            </w:pPr>
            <w:r>
              <w:rPr>
                <w:rFonts w:ascii="Arial" w:cs="Arial" w:eastAsia="Arial" w:hAnsi="Arial"/>
                <w:sz w:val="13"/>
                <w:szCs w:val="13"/>
                <w:color w:val="auto"/>
              </w:rPr>
              <w:t>26.0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6,459</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39.1</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10,662</w:t>
            </w: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14,754</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85"/>
              </w:rPr>
              <w:t>10,332</w:t>
            </w:r>
          </w:p>
        </w:tc>
        <w:tc>
          <w:tcPr>
            <w:tcW w:w="580" w:type="dxa"/>
            <w:vAlign w:val="bottom"/>
            <w:tcBorders>
              <w:left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16,510</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0"/>
                <w:szCs w:val="10"/>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880" w:type="dxa"/>
            <w:vAlign w:val="bottom"/>
            <w:tcBorders>
              <w:bottom w:val="single" w:sz="8" w:color="auto"/>
            </w:tcBorders>
            <w:gridSpan w:val="4"/>
          </w:tcPr>
          <w:p>
            <w:pPr>
              <w:jc w:val="right"/>
              <w:ind w:right="239"/>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2006</w:t>
            </w: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bottom w:val="single" w:sz="8" w:color="auto"/>
            </w:tcBorders>
            <w:gridSpan w:val="3"/>
          </w:tcPr>
          <w:p>
            <w:pPr>
              <w:jc w:val="right"/>
              <w:ind w:right="20"/>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40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w:t>
            </w:r>
          </w:p>
        </w:tc>
        <w:tc>
          <w:tcPr>
            <w:tcW w:w="4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340" w:type="dxa"/>
            <w:vAlign w:val="bottom"/>
          </w:tcPr>
          <w:p>
            <w:pPr>
              <w:jc w:val="right"/>
              <w:ind w:right="79"/>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tcPr>
          <w:p>
            <w:pPr>
              <w:jc w:val="right"/>
              <w:ind w:right="220"/>
              <w:spacing w:after="0" w:line="98" w:lineRule="exact"/>
              <w:rPr>
                <w:sz w:val="20"/>
                <w:szCs w:val="20"/>
                <w:color w:val="auto"/>
              </w:rPr>
            </w:pPr>
            <w:r>
              <w:rPr>
                <w:rFonts w:ascii="Arial" w:cs="Arial" w:eastAsia="Arial" w:hAnsi="Arial"/>
                <w:sz w:val="10"/>
                <w:szCs w:val="10"/>
                <w:b w:val="1"/>
                <w:bCs w:val="1"/>
                <w:color w:val="auto"/>
              </w:rPr>
              <w:t>#</w:t>
            </w:r>
          </w:p>
        </w:tc>
        <w:tc>
          <w:tcPr>
            <w:tcW w:w="580" w:type="dxa"/>
            <w:vAlign w:val="bottom"/>
            <w:gridSpan w:val="3"/>
          </w:tcPr>
          <w:p>
            <w:pPr>
              <w:ind w:left="320"/>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74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73.8</w:t>
            </w: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8,406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78.8</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12,497</w:t>
            </w:r>
          </w:p>
        </w:tc>
        <w:tc>
          <w:tcPr>
            <w:tcW w:w="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9,032</w:t>
            </w:r>
          </w:p>
        </w:tc>
        <w:tc>
          <w:tcPr>
            <w:tcW w:w="66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14,847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Ground*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2,210</w:t>
            </w:r>
          </w:p>
        </w:tc>
        <w:tc>
          <w:tcPr>
            <w:tcW w:w="1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26.2</w:t>
            </w:r>
          </w:p>
        </w:tc>
        <w:tc>
          <w:tcPr>
            <w:tcW w:w="1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2,256</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21.2</w:t>
            </w:r>
          </w:p>
        </w:tc>
        <w:tc>
          <w:tcPr>
            <w:tcW w:w="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2,257</w:t>
            </w:r>
          </w:p>
        </w:tc>
        <w:tc>
          <w:tcPr>
            <w:tcW w:w="2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15.3</w:t>
            </w: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1,300</w:t>
            </w:r>
          </w:p>
        </w:tc>
        <w:tc>
          <w:tcPr>
            <w:tcW w:w="660" w:type="dxa"/>
            <w:vAlign w:val="bottom"/>
            <w:gridSpan w:val="4"/>
          </w:tcPr>
          <w:p>
            <w:pPr>
              <w:jc w:val="right"/>
              <w:ind w:right="80"/>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3"/>
                <w:szCs w:val="13"/>
                <w:color w:val="auto"/>
              </w:rPr>
              <w:t>1,663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16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10,662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100.0</w:t>
            </w: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14,754</w:t>
            </w:r>
          </w:p>
        </w:tc>
        <w:tc>
          <w:tcPr>
            <w:tcW w:w="2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10,332</w:t>
            </w:r>
          </w:p>
        </w:tc>
        <w:tc>
          <w:tcPr>
            <w:tcW w:w="66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16,510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3"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six months ended June 30, 2007 and 2008, we offered scholarships with a total value of approximately $4.8 million and $7.7 million, respectively.</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We derive a majority of our net revenue from tuition financed by the Title IV programs. For the years ended December 31, 2006 and 2007, 67.9%, and 70.2%, respectively, of our net revenue was derived from the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Instructional cost and services. </w:t>
      </w:r>
      <w:r>
        <w:rPr>
          <w:rFonts w:ascii="Arial" w:cs="Arial" w:eastAsia="Arial" w:hAnsi="Arial"/>
          <w:sz w:val="13"/>
          <w:szCs w:val="13"/>
          <w:color w:val="auto"/>
        </w:rPr>
        <w:t>Instructional cost and services consist primarily of costs related to the administration and delivery of our educational programs. This expense category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72"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Selling and promotional. </w:t>
      </w:r>
      <w:r>
        <w:rPr>
          <w:rFonts w:ascii="Arial" w:cs="Arial" w:eastAsia="Arial" w:hAnsi="Arial"/>
          <w:sz w:val="13"/>
          <w:szCs w:val="13"/>
          <w:color w:val="auto"/>
        </w:rPr>
        <w:t>Selling and promotional expenses include salaries and benefits of personnel engaged in the marketing, recruitment, and retention of students,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 and June 30, 2008 in an effort to increase our recruiting activities and enroll prospective students. We also leased new enrollment centers in Arizona and Utah, and we intend to continue to increase the number of our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20" w:lineRule="auto"/>
        <w:rPr>
          <w:sz w:val="20"/>
          <w:szCs w:val="20"/>
          <w:color w:val="auto"/>
        </w:rPr>
      </w:pPr>
      <w:r>
        <w:rPr>
          <w:rFonts w:ascii="Arial" w:cs="Arial" w:eastAsia="Arial" w:hAnsi="Arial"/>
          <w:sz w:val="12"/>
          <w:szCs w:val="12"/>
          <w:color w:val="auto"/>
        </w:rPr>
        <w:t>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six month periods ended June 30, 2007 and 2008, we expensed approximately $2.8 million, $3.7 million, $4.3 million, $2.1 million, and $2.9 million, respectively, pursuant to these arrangements. As we increase our internal recruiting, marketing, and enrollment staff, we expect this revenue share as a proportion of total revenue to decline.</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February 2004 acquisition of the assets of Grand Canyon University by several of our current stockholders, we entered into a royalty</w:t>
      </w:r>
      <w:r>
        <w:rPr>
          <w:rFonts w:ascii="Arial" w:cs="Arial" w:eastAsia="Arial" w:hAnsi="Arial"/>
          <w:sz w:val="13"/>
          <w:szCs w:val="13"/>
          <w:i w:val="1"/>
          <w:iCs w:val="1"/>
          <w:color w:val="auto"/>
        </w:rPr>
        <w:t xml:space="preserve"> </w:t>
      </w:r>
      <w:r>
        <w:rPr>
          <w:rFonts w:ascii="Arial" w:cs="Arial" w:eastAsia="Arial" w:hAnsi="Arial"/>
          <w:sz w:val="13"/>
          <w:szCs w:val="13"/>
          <w:color w:val="auto"/>
        </w:rPr>
        <w:t>fee arrangement with the former owner in which we agreed to pay a stated percentage of cash revenue generated by our online programs. For the years ended December 31, 2005, 2006, and 2007, and for the six month periods ended June 30, 2007 and 2008, we expensed $1.6 million, $2.7 million, $3.8 million, $1.6 million, and $1.5 million, respectively, in connection with this arrangement. This arrangement has been terminated, as discussed below.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 DGCL.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we intend to have our shares listed for trading on the Nasdaq</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Global 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58"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Settlement with former owner. </w:t>
      </w:r>
      <w:r>
        <w:rPr>
          <w:rFonts w:ascii="Arial" w:cs="Arial" w:eastAsia="Arial" w:hAnsi="Arial"/>
          <w:sz w:val="13"/>
          <w:szCs w:val="13"/>
          <w:color w:val="auto"/>
        </w:rPr>
        <w:t>To resolve a dispute with our former owner arising from our acquisition of Grand Canyon University and subsequent lease of our campus, we entered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into a standstill agreement in September 2007 pursuant to which we agreed with the former owner to stay all pending legal proceedings through April 15, 2008. In accordance with the terms of the standstill agreement, we made an initial non-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10" w:lineRule="auto"/>
        <w:rPr>
          <w:sz w:val="20"/>
          <w:szCs w:val="20"/>
          <w:color w:val="auto"/>
        </w:rPr>
      </w:pPr>
      <w:r>
        <w:rPr>
          <w:rFonts w:ascii="Arial" w:cs="Arial" w:eastAsia="Arial" w:hAnsi="Arial"/>
          <w:sz w:val="11"/>
          <w:szCs w:val="11"/>
          <w:color w:val="auto"/>
        </w:rPr>
        <w:t>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46" w:lineRule="exact"/>
        <w:rPr>
          <w:sz w:val="20"/>
          <w:szCs w:val="20"/>
          <w:color w:val="auto"/>
        </w:rPr>
      </w:pPr>
    </w:p>
    <w:p>
      <w:pPr>
        <w:ind w:left="680" w:right="180" w:firstLine="399"/>
        <w:spacing w:after="0" w:line="256" w:lineRule="auto"/>
        <w:rPr>
          <w:sz w:val="20"/>
          <w:szCs w:val="20"/>
          <w:color w:val="auto"/>
        </w:rPr>
      </w:pPr>
      <w:r>
        <w:rPr>
          <w:rFonts w:ascii="Arial" w:cs="Arial" w:eastAsia="Arial" w:hAnsi="Arial"/>
          <w:sz w:val="13"/>
          <w:szCs w:val="13"/>
          <w:b w:val="1"/>
          <w:bCs w:val="1"/>
          <w:i w:val="1"/>
          <w:iCs w:val="1"/>
          <w:color w:val="auto"/>
        </w:rPr>
        <w:t xml:space="preserve">Management fees and expenses. </w:t>
      </w:r>
      <w:r>
        <w:rPr>
          <w:rFonts w:ascii="Arial" w:cs="Arial" w:eastAsia="Arial" w:hAnsi="Arial"/>
          <w:sz w:val="13"/>
          <w:szCs w:val="13"/>
          <w:color w:val="auto"/>
        </w:rPr>
        <w:t>In connection with an August 2005 investment led by Endeavour Capital, we entered into a professional services agreement with Endeavour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Capital’s general partner. Concurrent with the closing of this offering, the professional services agreement will terminate by its terms. For the years ended December 31, 2005, 2006, and 2007, and for the six month periods ended June 30, 2007 and 2008, we incurred $0.1 million, $0.3 million, $0.3 million, $0.1 million, and $0.2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Stock-based and other executive compensation. </w:t>
      </w:r>
      <w:r>
        <w:rPr>
          <w:rFonts w:ascii="Arial" w:cs="Arial" w:eastAsia="Arial" w:hAnsi="Arial"/>
          <w:sz w:val="13"/>
          <w:szCs w:val="13"/>
          <w:color w:val="auto"/>
        </w:rPr>
        <w:t>Prior to this offering, we have not granted or issued any stock-based 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$9.0 million in the fourth quarter of 2008.</w:t>
      </w:r>
    </w:p>
    <w:p>
      <w:pPr>
        <w:spacing w:after="0" w:line="7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July 2008, we hired a new Chief Executive Officer, Chief Financial Officer, and Executive Vice President, as well as other financial and accounting personnel. Accordingly, compensation expenses, as reflected in our general and administrative expenses, will be higher beginning in the third quarter of 2008.</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b w:val="1"/>
          <w:bCs w:val="1"/>
          <w:i w:val="1"/>
          <w:iCs w:val="1"/>
          <w:color w:val="auto"/>
        </w:rPr>
        <w:t xml:space="preserve">License agreement. </w:t>
      </w:r>
      <w:r>
        <w:rPr>
          <w:rFonts w:ascii="Arial" w:cs="Arial" w:eastAsia="Arial" w:hAnsi="Arial"/>
          <w:sz w:val="12"/>
          <w:szCs w:val="12"/>
          <w:color w:val="auto"/>
        </w:rPr>
        <w:t>In June 2004, we entered into a license agreement with Blanchard Education, LLC (“Blanchard”) relating to our use of the Ken Blanchard name for our College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7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connection with the preparation of our 2005, 2006, and 2007 financial statements, and our financial statements for the six month period ended June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2008, we identified errors regarding our accounting for the following transactions:</w:t>
      </w:r>
    </w:p>
    <w:p>
      <w:pPr>
        <w:spacing w:after="0" w:line="59" w:lineRule="exact"/>
        <w:rPr>
          <w:sz w:val="20"/>
          <w:szCs w:val="20"/>
          <w:color w:val="auto"/>
        </w:rPr>
      </w:pPr>
    </w:p>
    <w:p>
      <w:pPr>
        <w:ind w:left="1680" w:right="14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49" w:lineRule="exact"/>
        <w:rPr>
          <w:rFonts w:ascii="Arial" w:cs="Arial" w:eastAsia="Arial" w:hAnsi="Arial"/>
          <w:sz w:val="13"/>
          <w:szCs w:val="13"/>
          <w:color w:val="auto"/>
        </w:rPr>
      </w:pPr>
    </w:p>
    <w:p>
      <w:pPr>
        <w:jc w:val="both"/>
        <w:ind w:left="1680" w:right="180" w:hanging="187"/>
        <w:spacing w:after="0" w:line="260"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all periods, we failed to properly account for the issuance of certain common stock and equity linked instruments to third parties.</w:t>
      </w:r>
    </w:p>
    <w:p>
      <w:pPr>
        <w:spacing w:after="0" w:line="96" w:lineRule="exact"/>
        <w:rPr>
          <w:rFonts w:ascii="Arial" w:cs="Arial" w:eastAsia="Arial" w:hAnsi="Arial"/>
          <w:sz w:val="13"/>
          <w:szCs w:val="13"/>
          <w:color w:val="auto"/>
        </w:rPr>
      </w:pPr>
    </w:p>
    <w:p>
      <w:pPr>
        <w:ind w:left="1680" w:right="60" w:hanging="187"/>
        <w:spacing w:after="0" w:line="371" w:lineRule="auto"/>
        <w:tabs>
          <w:tab w:leader="none" w:pos="16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11" w:lineRule="exact"/>
        <w:rPr>
          <w:rFonts w:ascii="Arial" w:cs="Arial" w:eastAsia="Arial" w:hAnsi="Arial"/>
          <w:sz w:val="11"/>
          <w:szCs w:val="11"/>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failed to properly account for deferred taxes at the date of conversion from a limited liability company to a corporation.</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believe that certain of the control deficiencies related to these errors constitute material weaknesses in our internal control over financial reporting. Such material weaknesses related to our lack of processes and controls that would ensure the proper recording of assets, expenses, leases, and equity instruments in accordance with GAAP.</w:t>
      </w:r>
    </w:p>
    <w:p>
      <w:pPr>
        <w:spacing w:after="0" w:line="35"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the second and third quarters of fiscal year 2008. Our Chief Financial Officer has taken responsibility for implementing changes and improvements in the internal control over financial reporting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remediate the control deficiencies that gave rise to the material weaknesses. Specifically, these changes include:</w:t>
      </w:r>
    </w:p>
    <w:p>
      <w:pPr>
        <w:spacing w:after="0" w:line="96" w:lineRule="exact"/>
        <w:rPr>
          <w:sz w:val="20"/>
          <w:szCs w:val="20"/>
          <w:color w:val="auto"/>
        </w:rPr>
      </w:pPr>
    </w:p>
    <w:p>
      <w:pPr>
        <w:ind w:left="1680" w:right="32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making numerous process changes in the financial reporting area, including additional oversight and review;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conducting training of our accounting staff for purposes of enabling them to recognize and properly account for transactions of the type described above.</w:t>
      </w:r>
    </w:p>
    <w:p>
      <w:pPr>
        <w:spacing w:after="0" w:line="13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reduction in our accounts receivable and related allowances. We believe our reserves are adequate to cover any write offs we may make.</w:t>
      </w:r>
    </w:p>
    <w:p>
      <w:pPr>
        <w:spacing w:after="0" w:line="96" w:lineRule="exact"/>
        <w:rPr>
          <w:sz w:val="20"/>
          <w:szCs w:val="20"/>
          <w:color w:val="auto"/>
        </w:rPr>
      </w:pPr>
    </w:p>
    <w:p>
      <w:pPr>
        <w:jc w:val="both"/>
        <w:ind w:left="680" w:right="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firstLine="798"/>
        <w:spacing w:after="0" w:line="28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Effective January 1, 2008,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580" w:type="dxa"/>
            <w:vAlign w:val="bottom"/>
            <w:gridSpan w:val="2"/>
          </w:tcPr>
          <w:p>
            <w:pPr>
              <w:jc w:val="center"/>
              <w:ind w:left="11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vMerge w:val="restart"/>
          </w:tcPr>
          <w:p>
            <w:pPr>
              <w:jc w:val="right"/>
              <w:ind w:right="292"/>
              <w:spacing w:after="0"/>
              <w:rPr>
                <w:sz w:val="20"/>
                <w:szCs w:val="20"/>
                <w:color w:val="auto"/>
              </w:rPr>
            </w:pPr>
            <w:r>
              <w:rPr>
                <w:rFonts w:ascii="Arial" w:cs="Arial" w:eastAsia="Arial" w:hAnsi="Arial"/>
                <w:sz w:val="6"/>
                <w:szCs w:val="6"/>
                <w:b w:val="1"/>
                <w:bCs w:val="1"/>
                <w:color w:val="auto"/>
                <w:w w:val="81"/>
              </w:rPr>
              <w:t>(1)</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2007</w:t>
            </w: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77"/>
              </w:rPr>
              <w:t>(Restated)</w:t>
            </w:r>
          </w:p>
        </w:tc>
        <w:tc>
          <w:tcPr>
            <w:tcW w:w="40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100.0%</w:t>
            </w:r>
          </w:p>
        </w:tc>
        <w:tc>
          <w:tcPr>
            <w:tcW w:w="9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54.2</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43.4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39.8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Selling and promotional</w:t>
            </w: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27.1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27.9</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32.2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25.0</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20.8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19.0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4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3.7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72"/>
              <w:spacing w:after="0"/>
              <w:rPr>
                <w:sz w:val="20"/>
                <w:szCs w:val="20"/>
                <w:color w:val="auto"/>
              </w:rPr>
            </w:pPr>
            <w:r>
              <w:rPr>
                <w:rFonts w:ascii="Arial" w:cs="Arial" w:eastAsia="Arial" w:hAnsi="Arial"/>
                <w:sz w:val="13"/>
                <w:szCs w:val="13"/>
                <w:color w:val="auto"/>
              </w:rPr>
              <w:t>95.8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94.7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2"/>
            <w:vMerge w:val="continue"/>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(9.5)</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5.3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8"/>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(5.9)</w:t>
            </w:r>
          </w:p>
        </w:tc>
        <w:tc>
          <w:tcPr>
            <w:tcW w:w="980" w:type="dxa"/>
            <w:vAlign w:val="bottom"/>
            <w:gridSpan w:val="3"/>
            <w:shd w:val="clear" w:color="auto" w:fill="CCEEFF"/>
          </w:tcPr>
          <w:p>
            <w:pPr>
              <w:jc w:val="right"/>
              <w:ind w:right="332"/>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1.6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(6.6)</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0.7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1.4</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(8.3)</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Six Months Ended June 30, 2008 Compared to Six Months Ended June 30, 2007</w:t>
      </w:r>
    </w:p>
    <w:p>
      <w:pPr>
        <w:spacing w:after="0" w:line="13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six months ended June 30, 2008 was $70.3 million, an increase of $26.2 million, or 59.5%, as compared to net revenue of $44.1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six months ended June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59.8% between June 30, 2007 and 2008,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six months ended June 30, 2008 were $24.0 million, an increase of $6.4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36.9%, as compared to instructional cost and services expenses of $17.6 million for the six months ended June 30, 2007. This increase was primarily due to increases in instructional compensation and related expenses, faculty compensation, depreciation and amortization, and other miscellaneous instructional costs and services of $2.4 million, $1.8 million, $0.7 million, and $1.2 million, respectively. These increases are all attributable to the increased headcount (both staff and faculty) needed to provide student instruction and support services we consider necessary as a result of the increase in enrollments. Our instructional cost and services expenses as a percentage of net revenue decreased by 5.6% to 34.2% for the six months ended June 30, 2008, as compared to 39.8% for the six months ended June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Selling and promotional expenses. </w:t>
      </w:r>
      <w:r>
        <w:rPr>
          <w:rFonts w:ascii="Arial" w:cs="Arial" w:eastAsia="Arial" w:hAnsi="Arial"/>
          <w:sz w:val="12"/>
          <w:szCs w:val="12"/>
          <w:color w:val="auto"/>
        </w:rPr>
        <w:t>Our selling and promotional expenses for the six months ended June 30, 2008 were $27.5 million, an increase of $13.3 million, or 93.7%,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selling and promotional expenses of $14.2 million for the six months ended June 30, 2007. This increase was primarily due to increases in selling and promotional employee compensation and related expenses, advertising, revenue sharing expense, and other selling and promotional costs of $8.2 million, $3.5 million, $0.9 million, and $0.6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6.9% to 39.1% for the six months ended June 30, 2008, from 32.2% for the six months ended June 30, 2007.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should decrease, and we therefore plan to reduce selling and promotional expenses as a percentage of net revenue in the future.</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six months ended June 30, 2008 were $11.0 million, an increase of $2.6 million, or 30.8%,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$8.4 million for the six months ended June 30, 2007. This increase was primarily due to increases in bad debt expense; legal, audit, and corporate insurance; and other general and administrative expenses of $0.9 million, $0.8 million, and $0.8 million, respectively. Bad debt expense increased to $4.1 million for the six months ended June 30, 2008 from $3.2 million for the six months ended June 30, 2007 as a result of a proportional increase in net revenue. The increase in legal, audit, and corporate insurance is primarily related to legal costs associated with the Sungard matter, which went to arbitration in the second quarter of fiscal 2008. See “Business — Legal Proceedings.” The other general and administrative expense increase was attributable to expenditures made to continue to support the growth of our business. Our general and administrative expenses as a percentage of net revenue decreased by 3.4% to 15.6% for the six months ended June 30, 2008, from 19.0% for the six months ended June 30, 2007, primarily due to a decrease in our bad debt expense and employee compensation and related benefits as a percentage of revenue between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periods from 7.2% and 4.7% of revenue during the first six months of 2007, respectively, to 5.8% and 3.0% of revenue during the first six months of 2008, respectively. The improvement in bad debt expense as a percentage of revenue is primarily due to an improvement in our aging between periods and an increased revenue base. The decrease in employee compensation and related benefits as a percentage of revenue is the result of us leveraging our current staffing over a larger revenue base.</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the former owner related to online revenue, we incurred royalty expenses for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2008 of $1.5 million, a decrease of $0.1 million, or 8.7%, as compared to royalty expenses incurred of $1.6 million for the six months ended June 30, 2007 as a result of the elimination of the obligation to pay royalties to the former owner effective April 15, 2008. In the future the only expense that will be recorded will be the amortization of the prepaid royalty asset that was established as a result of payments made to eliminate this future obligation. Our royalty expense as a percentage of net revenue decreased to 2.1% for the six months ended June 30, 2008 from 3.7% for the six months ended June 30, 2007.</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for both the six month periods ended June 30, 2008 and 2007 was $1.5 million as the average level of borrowings remained fairly consistent</w:t>
      </w:r>
      <w:r>
        <w:rPr>
          <w:rFonts w:ascii="Arial" w:cs="Arial" w:eastAsia="Arial" w:hAnsi="Arial"/>
          <w:sz w:val="13"/>
          <w:szCs w:val="13"/>
          <w:i w:val="1"/>
          <w:iCs w:val="1"/>
          <w:color w:val="auto"/>
        </w:rPr>
        <w:t xml:space="preserve"> </w:t>
      </w:r>
      <w:r>
        <w:rPr>
          <w:rFonts w:ascii="Arial" w:cs="Arial" w:eastAsia="Arial" w:hAnsi="Arial"/>
          <w:sz w:val="13"/>
          <w:szCs w:val="13"/>
          <w:color w:val="auto"/>
        </w:rPr>
        <w:t>between periods.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Our interest income for the six months ended June 30, 2008 was $0.4 million, a decrease of $0.3 million from $0.7 million for the six months ended June 30, 2007,</w:t>
      </w:r>
      <w:r>
        <w:rPr>
          <w:rFonts w:ascii="Arial" w:cs="Arial" w:eastAsia="Arial" w:hAnsi="Arial"/>
          <w:sz w:val="13"/>
          <w:szCs w:val="13"/>
          <w:i w:val="1"/>
          <w:iCs w:val="1"/>
          <w:color w:val="auto"/>
        </w:rPr>
        <w:t xml:space="preserve"> </w:t>
      </w:r>
      <w:r>
        <w:rPr>
          <w:rFonts w:ascii="Arial" w:cs="Arial" w:eastAsia="Arial" w:hAnsi="Arial"/>
          <w:sz w:val="13"/>
          <w:szCs w:val="13"/>
          <w:color w:val="auto"/>
        </w:rPr>
        <w:t>as a result of decreased levels of cash and cash equivalents.</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expense for the six months ended June 30, 2008 was $2.0 million, an increase of $1.4 million from $0.6 million for the six months ended June 30,</w:t>
      </w:r>
      <w:r>
        <w:rPr>
          <w:rFonts w:ascii="Arial" w:cs="Arial" w:eastAsia="Arial" w:hAnsi="Arial"/>
          <w:sz w:val="12"/>
          <w:szCs w:val="12"/>
          <w:i w:val="1"/>
          <w:iCs w:val="1"/>
          <w:color w:val="auto"/>
        </w:rPr>
        <w:t xml:space="preserve"> </w:t>
      </w:r>
      <w:r>
        <w:rPr>
          <w:rFonts w:ascii="Arial" w:cs="Arial" w:eastAsia="Arial" w:hAnsi="Arial"/>
          <w:sz w:val="12"/>
          <w:szCs w:val="12"/>
          <w:color w:val="auto"/>
        </w:rPr>
        <w:t>2007. This increase was primarily attributable to increased income before income taxes, partially offset by a slight decrease in our effective income tax rate to 38.6% from 40.0%.</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six months ended June 30, 2008 was $3.2 million, an increase of $2.3 million, or 257.8%, as compared to net income of $0.9 million for the six</w:t>
      </w:r>
      <w:r>
        <w:rPr>
          <w:rFonts w:ascii="Arial" w:cs="Arial" w:eastAsia="Arial" w:hAnsi="Arial"/>
          <w:sz w:val="13"/>
          <w:szCs w:val="13"/>
          <w:i w:val="1"/>
          <w:iCs w:val="1"/>
          <w:color w:val="auto"/>
        </w:rPr>
        <w:t xml:space="preserve"> </w:t>
      </w:r>
      <w:r>
        <w:rPr>
          <w:rFonts w:ascii="Arial" w:cs="Arial" w:eastAsia="Arial" w:hAnsi="Arial"/>
          <w:sz w:val="13"/>
          <w:szCs w:val="13"/>
          <w:color w:val="auto"/>
        </w:rPr>
        <w:t>months ended June 30, 2007,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13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2007 was $99.3 million, an increase of $27.2 million, or 37.7%, as compared to net revenue of $72.1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year ended December 31, 2007 were $39.1 million, an increase of $7.8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$35.1 million, an increase of $15.1 million, or 74.9%,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$20.1 million for the year ended December 31, 2006. This increase was driven by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2007 were $17.0 million, an increase of $2.0 million, or 13.3%,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general and administrative expenses of $15.0 million for the year ended December 31, 2006. Bad debt expense increased to $6.3 million for the year ended December 31, 2007 from $4.7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72"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$3.0 million, an increase of $0.2 million, from $2.8 million for the year ended December 31, 2006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 higher average level of borrowings in 2007.</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i w:val="1"/>
          <w:iCs w:val="1"/>
          <w:color w:val="auto"/>
        </w:rPr>
        <w:t xml:space="preserve">Income tax expense. </w:t>
      </w:r>
      <w:r>
        <w:rPr>
          <w:rFonts w:ascii="Arial" w:cs="Arial" w:eastAsia="Arial" w:hAnsi="Arial"/>
          <w:sz w:val="11"/>
          <w:szCs w:val="11"/>
          <w:color w:val="auto"/>
        </w:rPr>
        <w:t>Income tax expense for the year ended December 31, 2007 was $1.0 million, an increase of $0.5 million, or 92.1%, from $0.5 million for the year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2006. This increase was primarily attributable to increased income before income taxes, partially offset by a decrease in our effective income tax rate to 40.0% from 46.9%.</w:t>
      </w:r>
    </w:p>
    <w:p>
      <w:pPr>
        <w:spacing w:after="0" w:line="1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$1.5 million, an increase of $0.9 million, or 155.2%, as compared to net income of $0.6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13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 ground programs in an online delivery format, as limited by the growth restrictions imposed by the Department of Education, which were eliminated in October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$31.3 million, an increase of $3.2 million, or 11.5%,</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$28.1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10.8% to 43.4% for the year ended December 31, 2006, as compared to 54.2%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$20.1 million, an increase of $6.0 million, or 43.0%,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$15.0 million, an increase of $2.0 million, or 15.8%,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$13.0 million for the year ended December 31, 2005. Bad debt expense increased to $4.7 million for the year ended December 31, 2006 from $2.6 million for the year ended December 31, 2005 due to an increase in net revenue and management’s assessment of our rapidly growing student base and changes in payment trends. Our general and administrative expenses as a percentage of net revenue decreased by 4.2% to 20.8% for the year ended December 31, 2006, from 25.0%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$2.8 million, a decrease of $0.3 million, or 8.7%, from $3.1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$0.5 million, an increase of $4.0 million from income tax benefit of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46.9% from 44.5%.</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$0.6 million, an increase of $4.9 million as compared to net loss of $4.3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and Seasonality</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First Quarter</w:t>
            </w:r>
          </w:p>
        </w:tc>
        <w:tc>
          <w:tcPr>
            <w:tcW w:w="140" w:type="dxa"/>
            <w:vAlign w:val="bottom"/>
          </w:tcPr>
          <w:p>
            <w:pPr>
              <w:spacing w:after="0"/>
              <w:rPr>
                <w:sz w:val="10"/>
                <w:szCs w:val="10"/>
                <w:color w:val="auto"/>
              </w:rPr>
            </w:pPr>
          </w:p>
        </w:tc>
        <w:tc>
          <w:tcPr>
            <w:tcW w:w="134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8"/>
              </w:rPr>
              <w:t>Second Quarter</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 Quarter</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Fourth Quarter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380" w:type="dxa"/>
            <w:vAlign w:val="bottom"/>
          </w:tcPr>
          <w:p>
            <w:pPr>
              <w:jc w:val="right"/>
              <w:ind w:right="73"/>
              <w:spacing w:after="0" w:line="81" w:lineRule="exact"/>
              <w:rPr>
                <w:sz w:val="20"/>
                <w:szCs w:val="20"/>
                <w:color w:val="auto"/>
              </w:rPr>
            </w:pPr>
            <w:r>
              <w:rPr>
                <w:rFonts w:ascii="Arial" w:cs="Arial" w:eastAsia="Arial" w:hAnsi="Arial"/>
                <w:sz w:val="9"/>
                <w:szCs w:val="9"/>
                <w:b w:val="1"/>
                <w:bCs w:val="1"/>
                <w:color w:val="auto"/>
                <w:w w:val="83"/>
              </w:rPr>
              <w:t>except</w:t>
            </w:r>
          </w:p>
        </w:tc>
        <w:tc>
          <w:tcPr>
            <w:tcW w:w="100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enrollment data)</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tcPr>
          <w:p>
            <w:pPr>
              <w:jc w:val="center"/>
              <w:ind w:left="756"/>
              <w:spacing w:after="0" w:line="108" w:lineRule="exact"/>
              <w:rPr>
                <w:sz w:val="20"/>
                <w:szCs w:val="20"/>
                <w:color w:val="auto"/>
              </w:rPr>
            </w:pPr>
            <w:r>
              <w:rPr>
                <w:rFonts w:ascii="Arial" w:cs="Arial" w:eastAsia="Arial" w:hAnsi="Arial"/>
                <w:sz w:val="10"/>
                <w:szCs w:val="10"/>
                <w:b w:val="1"/>
                <w:bCs w:val="1"/>
                <w:color w:val="auto"/>
                <w:w w:val="95"/>
              </w:rPr>
              <w:t>(unaudited)</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0"/>
                <w:szCs w:val="10"/>
                <w:b w:val="1"/>
                <w:bCs w:val="1"/>
                <w:color w:val="auto"/>
                <w:w w:val="96"/>
              </w:rPr>
              <w:t>(restated)</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16,695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16,009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7,540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3,645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15,647</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15,701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19,806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9,088</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8,137</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10,662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20,858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8,845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8,710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9,976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3,614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3,471</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19,074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22,673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24,508</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(2,190)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11,397</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10,332</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13,448</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35,709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34,566</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11,620</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4,541</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29,769</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34,180</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2,076</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17,486</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16,510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95"/>
              <w:spacing w:after="0"/>
              <w:rPr>
                <w:sz w:val="20"/>
                <w:szCs w:val="20"/>
                <w:color w:val="auto"/>
              </w:rPr>
            </w:pPr>
            <w:r>
              <w:rPr>
                <w:rFonts w:ascii="Arial" w:cs="Arial" w:eastAsia="Arial" w:hAnsi="Arial"/>
                <w:sz w:val="13"/>
                <w:szCs w:val="13"/>
                <w:color w:val="auto"/>
              </w:rPr>
              <w:t>57</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and the first six months of 2008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cash provided by operating activities and several private placements of securities. Our unrestricted cash, cash equivalents, and marketable securities were $14.4 million, $23.2 million, and $7.2 million at December 31, 2006 and 2007 and June 30, 2008,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Net cash used by operating activities for the six months ended June 30, 2008 was $1.3 million. This reduction from the cash provided by operating activities</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year ended December 31, 2007 is due to the payment of $19.5 million made to our former owner in April 2008 to satisfy in full all past royalties due under the royalty agreement and the elimination of the existing obligation to pay royalties for online student revenues in perpetuity. Excluding this payment, net cash provided by operating activities for the six months ended June 30, 2008 would have been $11.0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cash provided by operating activities would have been $6.3 million. Our tax payments exceeded our tax expense as our $5.0 million of income taxes paid represented a majority of our 2006 and 2007 tax obligations.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3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by (used in) investing activities was $(10.0) million, $6.7 million, and $(7.6)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$(4.0) million for the six months ended June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$4.0 million for the six months ended June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provided by (used in) financing activities was $16.0 million, $(1.7) million, and $9.3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$(10.7) million for the six months ended June 30, 2008. During these periods, principal payments on notes payable, capital lease obligations and our line of credit were offset by private placements of securities by our stockholders and amounts drawn on our line of credit. Net cash used in financing activities for the six months ended June 30, 2008 also included the $6.0 million related to the repurchase of a warrant from our former owner pursuant to the standstill agreement.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Less than</w:t>
            </w:r>
          </w:p>
        </w:tc>
        <w:tc>
          <w:tcPr>
            <w:tcW w:w="220" w:type="dxa"/>
            <w:vAlign w:val="bottom"/>
          </w:tcPr>
          <w:p>
            <w:pPr>
              <w:spacing w:after="0"/>
              <w:rPr>
                <w:sz w:val="7"/>
                <w:szCs w:val="7"/>
                <w:color w:val="auto"/>
              </w:rPr>
            </w:pP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1 Year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37"/>
              <w:spacing w:after="0"/>
              <w:rPr>
                <w:sz w:val="20"/>
                <w:szCs w:val="20"/>
                <w:color w:val="auto"/>
              </w:rPr>
            </w:pPr>
            <w:r>
              <w:rPr>
                <w:rFonts w:ascii="Arial" w:cs="Arial" w:eastAsia="Arial" w:hAnsi="Arial"/>
                <w:sz w:val="10"/>
                <w:szCs w:val="10"/>
                <w:b w:val="1"/>
                <w:bCs w:val="1"/>
                <w:color w:val="auto"/>
                <w:w w:val="82"/>
              </w:rPr>
              <w:t>2-3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7"/>
              <w:spacing w:after="0"/>
              <w:rPr>
                <w:sz w:val="20"/>
                <w:szCs w:val="20"/>
                <w:color w:val="auto"/>
              </w:rPr>
            </w:pPr>
            <w:r>
              <w:rPr>
                <w:rFonts w:ascii="Arial" w:cs="Arial" w:eastAsia="Arial" w:hAnsi="Arial"/>
                <w:sz w:val="10"/>
                <w:szCs w:val="10"/>
                <w:b w:val="1"/>
                <w:bCs w:val="1"/>
                <w:color w:val="auto"/>
                <w:w w:val="96"/>
              </w:rPr>
              <w:t>4-5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6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See Note 8, “Notes Payable and Capital Lease Obligations,” to our financial statements, which are included elsewhere in this prospectus, for a discussion of our long term debt and capital lease obligations.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See Note 9, “Commitments and Contingencies,” to our financial statements, which are included elsewhere in this prospectus, for a discussion of our operating lease obligations.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4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that inflation has not had a material impact on our results of operations for the years ended December 31, 2005, 2006, or 2007 and the six months ended June 30, 2008.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can be no assurance that future inflation will not have an adverse impact on our operating results and financial condition.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June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71"/>
              </w:rPr>
              <w:t>(Unaudited)</w:t>
            </w: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70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2,822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1,915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70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1,879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2,396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1,473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5,438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3,797</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1,619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2,678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1,629</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(c)</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3"/>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9,074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5,551</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10,294</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313"/>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380" w:hanging="313"/>
        <w:spacing w:after="0" w:line="296"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10" w:lineRule="exact"/>
        <w:rPr>
          <w:rFonts w:ascii="Arial" w:cs="Arial" w:eastAsia="Arial" w:hAnsi="Arial"/>
          <w:sz w:val="12"/>
          <w:szCs w:val="12"/>
          <w:color w:val="auto"/>
        </w:rPr>
      </w:pPr>
    </w:p>
    <w:p>
      <w:pPr>
        <w:ind w:left="1000" w:right="80" w:hanging="252"/>
        <w:spacing w:after="0" w:line="258" w:lineRule="auto"/>
        <w:tabs>
          <w:tab w:leader="none" w:pos="10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7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 portion of which will be fully vested upon grant. As a result, we expect to incur non-cash, stock-based</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compensation expenses in future periods, including expenses of approximately $10 million in the second half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and June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our adoption did not have a material impact on our financial statements.</w:t>
      </w:r>
    </w:p>
    <w:p>
      <w:pPr>
        <w:spacing w:after="0" w:line="59"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will have a material impact on our financial position or results of operations.</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In February 2007, the FASB issued SFAS No. 159, </w:t>
      </w:r>
      <w:r>
        <w:rPr>
          <w:rFonts w:ascii="Arial" w:cs="Arial" w:eastAsia="Arial" w:hAnsi="Arial"/>
          <w:sz w:val="11"/>
          <w:szCs w:val="11"/>
          <w:i w:val="1"/>
          <w:iCs w:val="1"/>
          <w:color w:val="auto"/>
        </w:rPr>
        <w:t>The Fair Value Option for Financial Assets and Financial Liabilities Including an Amendment of FASB Statement No. 115</w:t>
      </w:r>
      <w:r>
        <w:rPr>
          <w:rFonts w:ascii="Arial" w:cs="Arial" w:eastAsia="Arial" w:hAnsi="Arial"/>
          <w:sz w:val="11"/>
          <w:szCs w:val="11"/>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40" w:lineRule="exact"/>
        <w:rPr>
          <w:sz w:val="20"/>
          <w:szCs w:val="20"/>
          <w:color w:val="auto"/>
        </w:rPr>
      </w:pPr>
    </w:p>
    <w:p>
      <w:pPr>
        <w:ind w:left="680" w:right="320" w:firstLine="399"/>
        <w:spacing w:after="0" w:line="303" w:lineRule="auto"/>
        <w:rPr>
          <w:sz w:val="20"/>
          <w:szCs w:val="20"/>
          <w:color w:val="auto"/>
        </w:rPr>
      </w:pPr>
      <w:r>
        <w:rPr>
          <w:rFonts w:ascii="Arial" w:cs="Arial" w:eastAsia="Arial" w:hAnsi="Arial"/>
          <w:sz w:val="11"/>
          <w:szCs w:val="11"/>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w:t>
      </w:r>
    </w:p>
    <w:p>
      <w:pPr>
        <w:ind w:left="680" w:right="280"/>
        <w:spacing w:after="0" w:line="264" w:lineRule="auto"/>
        <w:rPr>
          <w:sz w:val="20"/>
          <w:szCs w:val="20"/>
          <w:color w:val="auto"/>
        </w:rPr>
      </w:pPr>
      <w:r>
        <w:rPr>
          <w:rFonts w:ascii="Arial" w:cs="Arial" w:eastAsia="Arial" w:hAnsi="Arial"/>
          <w:sz w:val="13"/>
          <w:szCs w:val="13"/>
          <w:color w:val="auto"/>
        </w:rPr>
        <w:t>40 million jobs in 2006, many of which require postsecondary education credentials. Furthermore, the BLS has projected that the education, business, and healthcare fields will generate approximately six million new jobs between 2006 and 2016.</w:t>
      </w:r>
    </w:p>
    <w:p>
      <w:pPr>
        <w:spacing w:after="0" w:line="3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23"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June 30, 2008 was approximately 16,500, representing an increase of approximately 60% over our enrollment at June 30, 2007. Our net revenue and operating income for the six months ended June 30, 2008 were $70.3 million and $6.3 million, respectively, representing increases of 59.5% and 172.2%, respectively, over the six months ended June 30, 2007. We believe our growth is the result of a combination of factors, including our:</w:t>
      </w:r>
    </w:p>
    <w:p>
      <w:pPr>
        <w:spacing w:after="0" w:line="52" w:lineRule="exact"/>
        <w:rPr>
          <w:sz w:val="20"/>
          <w:szCs w:val="20"/>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53"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2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March 2008 NCES report,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 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According to the March 2008 NCES report, as of 2007 71% of adults age 25 years or older did not possess a bachelor’s or higher degree. In the September 2008 report, the NCES estimated that, as of 2006, adults age 25 years or older represented 39% of total 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4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 LLC,</w:t>
      </w:r>
      <w:r>
        <w:rPr>
          <w:rFonts w:ascii="Arial" w:cs="Arial" w:eastAsia="Arial" w:hAnsi="Arial"/>
          <w:sz w:val="12"/>
          <w:szCs w:val="12"/>
          <w:i w:val="1"/>
          <w:iCs w:val="1"/>
          <w:color w:val="auto"/>
        </w:rPr>
        <w:t xml:space="preserve"> </w:t>
      </w:r>
      <w:r>
        <w:rPr>
          <w:rFonts w:ascii="Arial" w:cs="Arial" w:eastAsia="Arial" w:hAnsi="Arial"/>
          <w:sz w:val="12"/>
          <w:szCs w:val="12"/>
          <w:color w:val="auto"/>
        </w:rPr>
        <w:t>an education consulting and research firm, projected that from 2002 to 2007 enrollment in online postsecondary programs increased from approximately 0.5 million to approximately</w:t>
      </w:r>
    </w:p>
    <w:p>
      <w:pPr>
        <w:ind w:left="680" w:right="240"/>
        <w:spacing w:after="0" w:line="281" w:lineRule="auto"/>
        <w:rPr>
          <w:sz w:val="20"/>
          <w:szCs w:val="20"/>
          <w:color w:val="auto"/>
        </w:rPr>
      </w:pPr>
      <w:r>
        <w:rPr>
          <w:rFonts w:ascii="Arial" w:cs="Arial" w:eastAsia="Arial" w:hAnsi="Arial"/>
          <w:sz w:val="12"/>
          <w:szCs w:val="12"/>
          <w:color w:val="auto"/>
        </w:rPr>
        <w:t>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3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Education, business, and healthcare. </w:t>
      </w:r>
      <w:r>
        <w:rPr>
          <w:rFonts w:ascii="Arial" w:cs="Arial" w:eastAsia="Arial" w:hAnsi="Arial"/>
          <w:sz w:val="11"/>
          <w:szCs w:val="11"/>
          <w:color w:val="auto"/>
        </w:rPr>
        <w:t>The education, business, and healthcare sectors represent a large and growing market for postsecondary education. According to the March 2008</w:t>
      </w:r>
      <w:r>
        <w:rPr>
          <w:rFonts w:ascii="Arial" w:cs="Arial" w:eastAsia="Arial" w:hAnsi="Arial"/>
          <w:sz w:val="11"/>
          <w:szCs w:val="11"/>
          <w:i w:val="1"/>
          <w:iCs w:val="1"/>
          <w:color w:val="auto"/>
        </w:rPr>
        <w:t xml:space="preserve"> </w:t>
      </w:r>
      <w:r>
        <w:rPr>
          <w:rFonts w:ascii="Arial" w:cs="Arial" w:eastAsia="Arial" w:hAnsi="Arial"/>
          <w:sz w:val="11"/>
          <w:szCs w:val="11"/>
          <w:color w:val="auto"/>
        </w:rPr>
        <w:t>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26" w:lineRule="exact"/>
        <w:rPr>
          <w:sz w:val="20"/>
          <w:szCs w:val="20"/>
          <w:color w:val="auto"/>
        </w:rPr>
      </w:pPr>
    </w:p>
    <w:p>
      <w:pPr>
        <w:ind w:left="1680" w:right="40" w:hanging="187"/>
        <w:spacing w:after="0" w:line="296"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20" w:lineRule="exact"/>
        <w:rPr>
          <w:rFonts w:ascii="Arial" w:cs="Arial" w:eastAsia="Arial" w:hAnsi="Arial"/>
          <w:sz w:val="12"/>
          <w:szCs w:val="12"/>
          <w:color w:val="auto"/>
        </w:rPr>
      </w:pPr>
    </w:p>
    <w:p>
      <w:pPr>
        <w:ind w:left="1680" w:right="24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19" w:lineRule="exact"/>
        <w:rPr>
          <w:rFonts w:ascii="Arial" w:cs="Arial" w:eastAsia="Arial" w:hAnsi="Arial"/>
          <w:sz w:val="13"/>
          <w:szCs w:val="13"/>
          <w:color w:val="auto"/>
        </w:rPr>
      </w:pPr>
    </w:p>
    <w:p>
      <w:pPr>
        <w:ind w:left="1680" w:right="40" w:hanging="187"/>
        <w:spacing w:after="0" w:line="296"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we have the following competitive strengths:</w:t>
      </w:r>
    </w:p>
    <w:p>
      <w:pPr>
        <w:spacing w:after="0" w:line="67"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30"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June 30, 2008, approximately 63.3% of our online students were enrolled in graduate degree programs.</w:t>
      </w:r>
    </w:p>
    <w:p>
      <w:pPr>
        <w:spacing w:after="0" w:line="36"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30"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42" w:lineRule="exact"/>
        <w:rPr>
          <w:sz w:val="20"/>
          <w:szCs w:val="20"/>
          <w:color w:val="auto"/>
        </w:rPr>
      </w:pPr>
    </w:p>
    <w:p>
      <w:pPr>
        <w:ind w:left="680" w:right="120" w:firstLine="798"/>
        <w:spacing w:after="0" w:line="282"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52" w:lineRule="exact"/>
        <w:rPr>
          <w:sz w:val="20"/>
          <w:szCs w:val="20"/>
          <w:color w:val="auto"/>
        </w:rPr>
      </w:pPr>
    </w:p>
    <w:p>
      <w:pPr>
        <w:ind w:left="680" w:right="20" w:firstLine="798"/>
        <w:spacing w:after="0" w:line="258" w:lineRule="auto"/>
        <w:rPr>
          <w:sz w:val="20"/>
          <w:szCs w:val="20"/>
          <w:color w:val="auto"/>
        </w:rPr>
      </w:pPr>
      <w:r>
        <w:rPr>
          <w:rFonts w:ascii="Arial" w:cs="Arial" w:eastAsia="Arial" w:hAnsi="Arial"/>
          <w:sz w:val="13"/>
          <w:szCs w:val="13"/>
          <w:color w:val="auto"/>
        </w:rPr>
        <w:t>Effective July 1, 2008, we hired Brian Mueller, Stan Meyer, and Dan 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67"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continue to increase enrollment in our three core disciplines by identifying, enrolling, and retaining students seeking careers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30" w:lineRule="exact"/>
        <w:rPr>
          <w:sz w:val="20"/>
          <w:szCs w:val="20"/>
          <w:color w:val="auto"/>
        </w:rPr>
      </w:pPr>
    </w:p>
    <w:p>
      <w:pPr>
        <w:ind w:left="680" w:right="60" w:firstLine="798"/>
        <w:spacing w:after="0" w:line="257" w:lineRule="auto"/>
        <w:rPr>
          <w:sz w:val="20"/>
          <w:szCs w:val="20"/>
          <w:color w:val="auto"/>
        </w:rPr>
      </w:pPr>
      <w:r>
        <w:rPr>
          <w:rFonts w:ascii="Arial" w:cs="Arial" w:eastAsia="Arial" w:hAnsi="Arial"/>
          <w:sz w:val="13"/>
          <w:szCs w:val="13"/>
          <w:i w:val="1"/>
          <w:iCs w:val="1"/>
          <w:color w:val="auto"/>
        </w:rPr>
        <w:t xml:space="preserve">Expand online program and degree offerings. </w:t>
      </w:r>
      <w:r>
        <w:rPr>
          <w:rFonts w:ascii="Arial" w:cs="Arial" w:eastAsia="Arial" w:hAnsi="Arial"/>
          <w:sz w:val="13"/>
          <w:szCs w:val="13"/>
          <w:color w:val="auto"/>
        </w:rPr>
        <w:t>We develop and offer new programs that we believe have attractive demand characteristics. We launched 17 new online</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offerings in 2007, including the Ken Blanchard Executive MBA program, and intend to launch a total of 12 new online programs in 2008, seven of which were launched in the first six months of 2008. We recently launched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2" w:lineRule="exact"/>
        <w:rPr>
          <w:sz w:val="20"/>
          <w:szCs w:val="20"/>
          <w:color w:val="auto"/>
        </w:rPr>
      </w:pPr>
    </w:p>
    <w:p>
      <w:pPr>
        <w:ind w:left="680" w:right="20" w:firstLine="798"/>
        <w:spacing w:after="0" w:line="260"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 We seek to promote our brand by establishing relationships with industry leaders, such as Ken Blanchard, who have recognizable identities with potential students and further validate the quality and relevance of our program offerings.</w:t>
      </w:r>
    </w:p>
    <w:p>
      <w:pPr>
        <w:spacing w:after="0" w:line="40" w:lineRule="exact"/>
        <w:rPr>
          <w:sz w:val="20"/>
          <w:szCs w:val="20"/>
          <w:color w:val="auto"/>
        </w:rPr>
      </w:pPr>
    </w:p>
    <w:p>
      <w:pPr>
        <w:ind w:left="680" w:right="300" w:firstLine="798"/>
        <w:spacing w:after="0" w:line="296" w:lineRule="auto"/>
        <w:rPr>
          <w:sz w:val="20"/>
          <w:szCs w:val="20"/>
          <w:color w:val="auto"/>
        </w:rPr>
      </w:pPr>
      <w:r>
        <w:rPr>
          <w:rFonts w:ascii="Arial" w:cs="Arial" w:eastAsia="Arial" w:hAnsi="Arial"/>
          <w:sz w:val="12"/>
          <w:szCs w:val="12"/>
          <w:i w:val="1"/>
          <w:iCs w:val="1"/>
          <w:color w:val="auto"/>
        </w:rPr>
        <w:t xml:space="preserve">Expand relationships with private sector and government employers. </w:t>
      </w:r>
      <w:r>
        <w:rPr>
          <w:rFonts w:ascii="Arial" w:cs="Arial" w:eastAsia="Arial" w:hAnsi="Arial"/>
          <w:sz w:val="12"/>
          <w:szCs w:val="12"/>
          <w:color w:val="auto"/>
        </w:rPr>
        <w:t>We seek additional relationships with health care systems, school districts, emergency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and other employers through which we can market our offerings to their employees. As evidence of our success in these initiatives to date, in the first six months of 2008, we taught courses at 29 hospitals and had direct billing arrangements with 24 employers covering programs being pursued by over 1,000 of their employees. We recently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47" w:lineRule="exact"/>
        <w:rPr>
          <w:sz w:val="20"/>
          <w:szCs w:val="20"/>
          <w:color w:val="auto"/>
        </w:rPr>
      </w:pPr>
    </w:p>
    <w:p>
      <w:pPr>
        <w:ind w:left="680" w:right="120" w:firstLine="798"/>
        <w:spacing w:after="0" w:line="282"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significant investments in our people, processes, and technology infrastructure since 2004. We believe</w:t>
      </w:r>
      <w:r>
        <w:rPr>
          <w:rFonts w:ascii="Arial" w:cs="Arial" w:eastAsia="Arial" w:hAnsi="Arial"/>
          <w:sz w:val="12"/>
          <w:szCs w:val="12"/>
          <w:i w:val="1"/>
          <w:iCs w:val="1"/>
          <w:color w:val="auto"/>
        </w:rPr>
        <w:t xml:space="preserve"> </w:t>
      </w:r>
      <w:r>
        <w:rPr>
          <w:rFonts w:ascii="Arial" w:cs="Arial" w:eastAsia="Arial" w:hAnsi="Arial"/>
          <w:sz w:val="12"/>
          <w:szCs w:val="12"/>
          <w:color w:val="auto"/>
        </w:rPr>
        <w:t>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67" w:lineRule="exact"/>
        <w:rPr>
          <w:sz w:val="20"/>
          <w:szCs w:val="20"/>
          <w:color w:val="auto"/>
        </w:rPr>
      </w:pPr>
    </w:p>
    <w:p>
      <w:pPr>
        <w:ind w:left="1680" w:right="20" w:hanging="187"/>
        <w:spacing w:after="0" w:line="289"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3" w:lineRule="exact"/>
        <w:rPr>
          <w:rFonts w:ascii="Arial" w:cs="Arial" w:eastAsia="Arial" w:hAnsi="Arial"/>
          <w:sz w:val="12"/>
          <w:szCs w:val="12"/>
          <w:color w:val="auto"/>
        </w:rPr>
      </w:pPr>
    </w:p>
    <w:p>
      <w:pPr>
        <w:ind w:left="1680" w:right="60" w:hanging="187"/>
        <w:spacing w:after="0" w:line="285"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38%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16" w:lineRule="exact"/>
        <w:rPr>
          <w:rFonts w:ascii="Arial" w:cs="Arial" w:eastAsia="Arial" w:hAnsi="Arial"/>
          <w:sz w:val="12"/>
          <w:szCs w:val="12"/>
          <w:color w:val="auto"/>
        </w:rPr>
      </w:pPr>
    </w:p>
    <w:p>
      <w:pPr>
        <w:ind w:left="1680" w:right="240" w:hanging="187"/>
        <w:spacing w:after="0" w:line="296"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10" w:lineRule="exact"/>
        <w:rPr>
          <w:rFonts w:ascii="Arial" w:cs="Arial" w:eastAsia="Arial" w:hAnsi="Arial"/>
          <w:sz w:val="12"/>
          <w:szCs w:val="12"/>
          <w:color w:val="auto"/>
        </w:rPr>
      </w:pPr>
    </w:p>
    <w:p>
      <w:pPr>
        <w:ind w:left="1680" w:right="80" w:hanging="187"/>
        <w:spacing w:after="0" w:line="258"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31" w:lineRule="exact"/>
        <w:rPr>
          <w:rFonts w:ascii="Arial" w:cs="Arial" w:eastAsia="Arial" w:hAnsi="Arial"/>
          <w:sz w:val="13"/>
          <w:szCs w:val="13"/>
          <w:color w:val="auto"/>
        </w:rPr>
      </w:pPr>
    </w:p>
    <w:p>
      <w:pPr>
        <w:ind w:left="1680" w:hanging="187"/>
        <w:spacing w:after="0" w:line="296"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20"/>
        <w:spacing w:after="0" w:line="260" w:lineRule="auto"/>
        <w:rPr>
          <w:sz w:val="20"/>
          <w:szCs w:val="20"/>
          <w:color w:val="auto"/>
        </w:rPr>
      </w:pPr>
      <w:r>
        <w:rPr>
          <w:rFonts w:ascii="Arial" w:cs="Arial" w:eastAsia="Arial" w:hAnsi="Arial"/>
          <w:sz w:val="13"/>
          <w:szCs w:val="13"/>
          <w:color w:val="auto"/>
        </w:rPr>
        <w:t>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67" w:lineRule="exact"/>
        <w:rPr>
          <w:sz w:val="20"/>
          <w:szCs w:val="20"/>
          <w:color w:val="auto"/>
        </w:rPr>
      </w:pPr>
    </w:p>
    <w:p>
      <w:pPr>
        <w:ind w:left="1680" w:right="100" w:hanging="187"/>
        <w:spacing w:after="0" w:line="316" w:lineRule="auto"/>
        <w:tabs>
          <w:tab w:leader="none" w:pos="1680" w:val="left"/>
        </w:tabs>
        <w:numPr>
          <w:ilvl w:val="0"/>
          <w:numId w:val="34"/>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2" w:lineRule="exact"/>
        <w:rPr>
          <w:rFonts w:ascii="Arial" w:cs="Arial" w:eastAsia="Arial" w:hAnsi="Arial"/>
          <w:sz w:val="11"/>
          <w:szCs w:val="11"/>
          <w:color w:val="auto"/>
        </w:rPr>
      </w:pPr>
    </w:p>
    <w:p>
      <w:pPr>
        <w:ind w:left="1680" w:hanging="187"/>
        <w:spacing w:after="0" w:line="289"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Small class size. </w:t>
      </w:r>
      <w:r>
        <w:rPr>
          <w:rFonts w:ascii="Arial" w:cs="Arial" w:eastAsia="Arial" w:hAnsi="Arial"/>
          <w:sz w:val="12"/>
          <w:szCs w:val="12"/>
          <w:color w:val="auto"/>
        </w:rPr>
        <w:t>Over 90% of our online classes had 25 or fewer students, with no classes exceeding 40 students, and over 80% of our ground classes had 25 or fewer</w:t>
      </w:r>
      <w:r>
        <w:rPr>
          <w:rFonts w:ascii="Arial" w:cs="Arial" w:eastAsia="Arial" w:hAnsi="Arial"/>
          <w:sz w:val="12"/>
          <w:szCs w:val="12"/>
          <w:i w:val="1"/>
          <w:iCs w:val="1"/>
          <w:color w:val="auto"/>
        </w:rPr>
        <w:t xml:space="preserve"> </w:t>
      </w:r>
      <w:r>
        <w:rPr>
          <w:rFonts w:ascii="Arial" w:cs="Arial" w:eastAsia="Arial" w:hAnsi="Arial"/>
          <w:sz w:val="12"/>
          <w:szCs w:val="12"/>
          <w:color w:val="auto"/>
        </w:rPr>
        <w:t>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32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1760" w:type="dxa"/>
            <w:vAlign w:val="bottom"/>
          </w:tcPr>
          <w:p>
            <w:pPr>
              <w:ind w:left="1080"/>
              <w:spacing w:after="0"/>
              <w:rPr>
                <w:sz w:val="20"/>
                <w:szCs w:val="20"/>
                <w:color w:val="auto"/>
              </w:rPr>
            </w:pPr>
            <w:r>
              <w:rPr>
                <w:rFonts w:ascii="Arial" w:cs="Arial" w:eastAsia="Arial" w:hAnsi="Arial"/>
                <w:sz w:val="10"/>
                <w:szCs w:val="10"/>
                <w:b w:val="1"/>
                <w:bCs w:val="1"/>
                <w:color w:val="auto"/>
                <w:w w:val="94"/>
              </w:rPr>
              <w:t>Current Period</w:t>
            </w:r>
          </w:p>
        </w:tc>
      </w:tr>
      <w:tr>
        <w:trPr>
          <w:trHeight w:val="178"/>
        </w:trPr>
        <w:tc>
          <w:tcPr>
            <w:tcW w:w="432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780" w:type="dxa"/>
            <w:vAlign w:val="bottom"/>
          </w:tcPr>
          <w:p>
            <w:pPr>
              <w:spacing w:after="0"/>
              <w:rPr>
                <w:sz w:val="20"/>
                <w:szCs w:val="20"/>
                <w:color w:val="auto"/>
              </w:rPr>
            </w:pPr>
            <w:r>
              <w:rPr>
                <w:rFonts w:ascii="Arial" w:cs="Arial" w:eastAsia="Arial" w:hAnsi="Arial"/>
                <w:sz w:val="13"/>
                <w:szCs w:val="13"/>
                <w:color w:val="auto"/>
              </w:rPr>
              <w:t>•  The Arizona State Board of Education approves our College of</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93"/>
              </w:rPr>
              <w:t>2006 - 2008*</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4"/>
              </w:rPr>
              <w:t>Education to offer Institutional Recommendations for the certification</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3"/>
              </w:rPr>
              <w:t>of elementary, secondary, and special education teachers and school</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administrators.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780" w:type="dxa"/>
            <w:vAlign w:val="bottom"/>
          </w:tcPr>
          <w:p>
            <w:pPr>
              <w:spacing w:after="0"/>
              <w:rPr>
                <w:sz w:val="20"/>
                <w:szCs w:val="20"/>
                <w:color w:val="auto"/>
              </w:rPr>
            </w:pPr>
            <w:r>
              <w:rPr>
                <w:rFonts w:ascii="Arial" w:cs="Arial" w:eastAsia="Arial" w:hAnsi="Arial"/>
                <w:sz w:val="13"/>
                <w:szCs w:val="13"/>
                <w:color w:val="auto"/>
              </w:rPr>
              <w:t>•  The Association of Collegiate Business Schools and Programs</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89"/>
              </w:rPr>
              <w:t>2007 - 2017</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3"/>
              </w:rPr>
              <w:t>accredits our Master of Business Administration degree program and</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7"/>
              </w:rPr>
              <w:t>our Bachelor of Science degree programs in Accounting, Business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Administration, and Marketing.</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780" w:type="dxa"/>
            <w:vAlign w:val="bottom"/>
          </w:tcPr>
          <w:p>
            <w:pPr>
              <w:spacing w:after="0"/>
              <w:rPr>
                <w:sz w:val="20"/>
                <w:szCs w:val="20"/>
                <w:color w:val="auto"/>
              </w:rPr>
            </w:pPr>
            <w:r>
              <w:rPr>
                <w:rFonts w:ascii="Arial" w:cs="Arial" w:eastAsia="Arial" w:hAnsi="Arial"/>
                <w:sz w:val="13"/>
                <w:szCs w:val="13"/>
                <w:color w:val="auto"/>
                <w:w w:val="99"/>
              </w:rPr>
              <w:t>•  The Commission on Collegiate Nursing Education accredits our</w:t>
            </w:r>
          </w:p>
        </w:tc>
        <w:tc>
          <w:tcPr>
            <w:tcW w:w="1760" w:type="dxa"/>
            <w:vAlign w:val="bottom"/>
          </w:tcPr>
          <w:p>
            <w:pPr>
              <w:ind w:left="600"/>
              <w:spacing w:after="0"/>
              <w:rPr>
                <w:sz w:val="20"/>
                <w:szCs w:val="20"/>
                <w:color w:val="auto"/>
              </w:rPr>
            </w:pPr>
            <w:r>
              <w:rPr>
                <w:rFonts w:ascii="Arial" w:cs="Arial" w:eastAsia="Arial" w:hAnsi="Arial"/>
                <w:sz w:val="13"/>
                <w:szCs w:val="13"/>
                <w:color w:val="auto"/>
              </w:rPr>
              <w:t>2006 - 2016 (B.S.)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2"/>
              </w:rPr>
              <w:t>Bachelor of Science (B.S.) in Nursing and Master of Science (M.S.) —</w:t>
            </w:r>
          </w:p>
        </w:tc>
        <w:tc>
          <w:tcPr>
            <w:tcW w:w="1760" w:type="dxa"/>
            <w:vAlign w:val="bottom"/>
          </w:tcPr>
          <w:p>
            <w:pPr>
              <w:ind w:left="580"/>
              <w:spacing w:after="0"/>
              <w:rPr>
                <w:sz w:val="20"/>
                <w:szCs w:val="20"/>
                <w:color w:val="auto"/>
              </w:rPr>
            </w:pPr>
            <w:r>
              <w:rPr>
                <w:rFonts w:ascii="Arial" w:cs="Arial" w:eastAsia="Arial" w:hAnsi="Arial"/>
                <w:sz w:val="13"/>
                <w:szCs w:val="13"/>
                <w:color w:val="auto"/>
              </w:rPr>
              <w:t>2006 - 2011 (M.S.)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Nursing degree programs.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  The Arizona State Board of Nursing approves our Bachelor of</w:t>
            </w:r>
          </w:p>
        </w:tc>
        <w:tc>
          <w:tcPr>
            <w:tcW w:w="1760" w:type="dxa"/>
            <w:vAlign w:val="bottom"/>
          </w:tcPr>
          <w:p>
            <w:pPr>
              <w:ind w:left="600"/>
              <w:spacing w:after="0"/>
              <w:rPr>
                <w:sz w:val="20"/>
                <w:szCs w:val="20"/>
                <w:color w:val="auto"/>
              </w:rPr>
            </w:pPr>
            <w:r>
              <w:rPr>
                <w:rFonts w:ascii="Arial" w:cs="Arial" w:eastAsia="Arial" w:hAnsi="Arial"/>
                <w:sz w:val="13"/>
                <w:szCs w:val="13"/>
                <w:color w:val="auto"/>
              </w:rPr>
              <w:t>2006 - 2016 (B.S.)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7"/>
              </w:rPr>
              <w:t>Science (B.S.) in Nursing and Master of Science (M.S.) — Nursing</w:t>
            </w:r>
          </w:p>
        </w:tc>
        <w:tc>
          <w:tcPr>
            <w:tcW w:w="1760" w:type="dxa"/>
            <w:vAlign w:val="bottom"/>
          </w:tcPr>
          <w:p>
            <w:pPr>
              <w:ind w:left="580"/>
              <w:spacing w:after="0"/>
              <w:rPr>
                <w:sz w:val="20"/>
                <w:szCs w:val="20"/>
                <w:color w:val="auto"/>
              </w:rPr>
            </w:pPr>
            <w:r>
              <w:rPr>
                <w:rFonts w:ascii="Arial" w:cs="Arial" w:eastAsia="Arial" w:hAnsi="Arial"/>
                <w:sz w:val="13"/>
                <w:szCs w:val="13"/>
                <w:color w:val="auto"/>
              </w:rPr>
              <w:t>2006 - 2011 (M.S.)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degree programs.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w w:val="99"/>
              </w:rPr>
              <w:t>•  The Commission on Accreditation of Athletic Training Education</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89"/>
              </w:rPr>
              <w:t>2008 - 2013</w:t>
            </w:r>
          </w:p>
        </w:tc>
      </w:tr>
      <w:tr>
        <w:trPr>
          <w:trHeight w:val="165"/>
        </w:trPr>
        <w:tc>
          <w:tcPr>
            <w:tcW w:w="4320" w:type="dxa"/>
            <w:vAlign w:val="bottom"/>
          </w:tcPr>
          <w:p>
            <w:pPr>
              <w:spacing w:after="0"/>
              <w:rPr>
                <w:sz w:val="14"/>
                <w:szCs w:val="14"/>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accredits our Athletic Training Program.</w:t>
            </w:r>
          </w:p>
        </w:tc>
        <w:tc>
          <w:tcPr>
            <w:tcW w:w="1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-1627505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35"/>
        </w:numPr>
        <w:rPr>
          <w:rFonts w:ascii="Arial" w:cs="Arial" w:eastAsia="Arial" w:hAnsi="Arial"/>
          <w:sz w:val="10"/>
          <w:szCs w:val="10"/>
          <w:color w:val="auto"/>
        </w:rPr>
      </w:pPr>
      <w:r>
        <w:rPr>
          <w:rFonts w:ascii="Arial" w:cs="Arial" w:eastAsia="Arial" w:hAnsi="Arial"/>
          <w:sz w:val="10"/>
          <w:szCs w:val="10"/>
          <w:color w:val="auto"/>
        </w:rPr>
        <w:t>We have had our site visit related to the renewal of this specialized program approval and are not aware of any factors that could cause this specialized program approval not to be renewed in the ordinary course.</w:t>
      </w:r>
    </w:p>
    <w:p>
      <w:pPr>
        <w:spacing w:after="0" w:line="8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recently were approved to offer our first doctoral program in education, which began in May 2008.</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20" w:hanging="187"/>
        <w:spacing w:after="0" w:line="264"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license the right to utilize the name of Ken Blanchard in connection with our business school and Executive MBA Programs. See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7"/>
              </w:rPr>
              <w:t>•  Business Administration —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faculty includes full-time, ground-based faculty who teach under a nine-month or twelve-month teaching contract, as well as adjunct ground-based faculty and online faculty who we contract to teach on a course-by-course basis for a specified fee. As of June 30, 2008, we employed 452 ground-based faculty members, of which 53 were full-time and 399 were part-time adjuncts, and maintained a pool of over 1,000 online faculty members, all of whom had completed our required training and 753 of which taught at least one course during the first six months of 2008. Substantially all of our current faculty members hold at least a master’s degree in their respective field and approximately 38%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7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53"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enable us to gain a better understanding of the attributes of our students who ultimately enroll and graduate so that we can target our marketing and enrollment processes accordingly.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40" w:hanging="187"/>
        <w:spacing w:after="0" w:line="27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June 30, 2008, we employed over 450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Retention. </w:t>
      </w:r>
      <w:r>
        <w:rPr>
          <w:rFonts w:ascii="Arial" w:cs="Arial" w:eastAsia="Arial" w:hAnsi="Arial"/>
          <w:sz w:val="12"/>
          <w:szCs w:val="12"/>
          <w:color w:val="auto"/>
        </w:rPr>
        <w:t>We employ a retention team whose purpose is to support the student in advancing from matriculation through graduation. At June 30, 2008, our retention team consisted of</w:t>
      </w:r>
      <w:r>
        <w:rPr>
          <w:rFonts w:ascii="Arial" w:cs="Arial" w:eastAsia="Arial" w:hAnsi="Arial"/>
          <w:sz w:val="12"/>
          <w:szCs w:val="12"/>
          <w:i w:val="1"/>
          <w:iCs w:val="1"/>
          <w:color w:val="auto"/>
        </w:rPr>
        <w:t xml:space="preserve"> </w:t>
      </w:r>
      <w:r>
        <w:rPr>
          <w:rFonts w:ascii="Arial" w:cs="Arial" w:eastAsia="Arial" w:hAnsi="Arial"/>
          <w:sz w:val="12"/>
          <w:szCs w:val="12"/>
          <w:color w:val="auto"/>
        </w:rPr>
        <w:t>19 “retention specialists,” whom, among other 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significantly increase retention 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At June 30, 2008, we had 16,510 students enrolled in our courses, of which 14,847, or 89.9%, were enrolled in our online programs, and 1,663, or 10.1%, were enrolled in our ground programs. Of our online students, which were geographically distributed throughout all 50 states of the United States, and Canada, 91.7% were age 25 or older. Of our ground students, which, although we draw students from throughout the United States, were predominantly comprised of students from Arizona, 82.1% were age 25 or older.</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is a summary of our student enrollment at June 30, 2008 and December 31,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80" w:type="dxa"/>
            <w:vAlign w:val="bottom"/>
            <w:gridSpan w:val="3"/>
          </w:tcPr>
          <w:p>
            <w:pPr>
              <w:ind w:left="660"/>
              <w:spacing w:after="0"/>
              <w:rPr>
                <w:sz w:val="20"/>
                <w:szCs w:val="20"/>
                <w:color w:val="auto"/>
              </w:rPr>
            </w:pPr>
            <w:r>
              <w:rPr>
                <w:rFonts w:ascii="Arial" w:cs="Arial" w:eastAsia="Arial" w:hAnsi="Arial"/>
                <w:sz w:val="10"/>
                <w:szCs w:val="10"/>
                <w:b w:val="1"/>
                <w:bCs w:val="1"/>
                <w:color w:val="auto"/>
                <w:w w:val="92"/>
              </w:rPr>
              <w:t>June 30, 2008</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Borders>
              <w:top w:val="single" w:sz="8" w:color="auto"/>
            </w:tcBorders>
            <w:gridSpan w:val="3"/>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64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rPr>
              <w:t># of Students</w:t>
            </w:r>
          </w:p>
        </w:tc>
        <w:tc>
          <w:tcPr>
            <w:tcW w:w="68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10,051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800" w:type="dxa"/>
            <w:vAlign w:val="bottom"/>
          </w:tcPr>
          <w:p>
            <w:pPr>
              <w:jc w:val="right"/>
              <w:spacing w:after="0"/>
              <w:rPr>
                <w:sz w:val="20"/>
                <w:szCs w:val="20"/>
                <w:color w:val="auto"/>
              </w:rPr>
            </w:pPr>
            <w:r>
              <w:rPr>
                <w:rFonts w:ascii="Arial" w:cs="Arial" w:eastAsia="Arial" w:hAnsi="Arial"/>
                <w:sz w:val="13"/>
                <w:szCs w:val="13"/>
                <w:color w:val="auto"/>
              </w:rPr>
              <w:t>6,459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39.1</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80" w:type="dxa"/>
            <w:vAlign w:val="bottom"/>
            <w:gridSpan w:val="3"/>
          </w:tcPr>
          <w:p>
            <w:pPr>
              <w:ind w:left="660"/>
              <w:spacing w:after="0"/>
              <w:rPr>
                <w:sz w:val="20"/>
                <w:szCs w:val="20"/>
                <w:color w:val="auto"/>
              </w:rPr>
            </w:pPr>
            <w:r>
              <w:rPr>
                <w:rFonts w:ascii="Arial" w:cs="Arial" w:eastAsia="Arial" w:hAnsi="Arial"/>
                <w:sz w:val="10"/>
                <w:szCs w:val="10"/>
                <w:b w:val="1"/>
                <w:bCs w:val="1"/>
                <w:color w:val="auto"/>
                <w:w w:val="92"/>
              </w:rPr>
              <w:t>June 30, 2008</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 of Students</w:t>
            </w: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147"/>
        </w:trPr>
        <w:tc>
          <w:tcPr>
            <w:tcW w:w="56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1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14,847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89.9</w:t>
            </w:r>
          </w:p>
        </w:tc>
        <w:tc>
          <w:tcPr>
            <w:tcW w:w="158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800" w:type="dxa"/>
            <w:vAlign w:val="bottom"/>
          </w:tcPr>
          <w:p>
            <w:pPr>
              <w:jc w:val="right"/>
              <w:spacing w:after="0"/>
              <w:rPr>
                <w:sz w:val="20"/>
                <w:szCs w:val="20"/>
                <w:color w:val="auto"/>
              </w:rPr>
            </w:pPr>
            <w:r>
              <w:rPr>
                <w:rFonts w:ascii="Arial" w:cs="Arial" w:eastAsia="Arial" w:hAnsi="Arial"/>
                <w:sz w:val="13"/>
                <w:szCs w:val="13"/>
                <w:color w:val="auto"/>
              </w:rPr>
              <w:t>1,663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900" w:right="100" w:hanging="213"/>
        <w:spacing w:after="0" w:line="259" w:lineRule="auto"/>
        <w:tabs>
          <w:tab w:leader="none" w:pos="9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Includes our traditional ground students, as well as our professional studies ground students. Enrollment of our ground students is typically lower at June 30 as compared to December 31 because a portion of our ground students are not enrolled in classes during the summer months.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offer tuition scholarships to select students, including online students, athletes, employees, and participants in programs we offer through relationships with employers. For the years ended December 31, 2006 and 2007 and the six months ended June 30, 2008, our revenue was reduced by approximately $8.0 million, $10.3 million, and $7.7 million, respectively, as a result of scholarships that we offered to our students.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120"/>
        <w:spacing w:after="0" w:line="276" w:lineRule="auto"/>
        <w:rPr>
          <w:rFonts w:ascii="Arial" w:cs="Arial" w:eastAsia="Arial" w:hAnsi="Arial"/>
          <w:sz w:val="13"/>
          <w:szCs w:val="13"/>
          <w:color w:val="auto"/>
        </w:rPr>
      </w:pPr>
      <w:r>
        <w:rPr>
          <w:rFonts w:ascii="Arial" w:cs="Arial" w:eastAsia="Arial" w:hAnsi="Arial"/>
          <w:sz w:val="13"/>
          <w:szCs w:val="13"/>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100"/>
        <w:spacing w:after="0" w:line="264" w:lineRule="auto"/>
        <w:rPr>
          <w:sz w:val="20"/>
          <w:szCs w:val="20"/>
          <w:color w:val="auto"/>
        </w:rPr>
      </w:pPr>
      <w:r>
        <w:rPr>
          <w:rFonts w:ascii="Arial" w:cs="Arial" w:eastAsia="Arial" w:hAnsi="Arial"/>
          <w:sz w:val="13"/>
          <w:szCs w:val="13"/>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67" w:lineRule="exact"/>
        <w:rPr>
          <w:sz w:val="20"/>
          <w:szCs w:val="20"/>
          <w:color w:val="auto"/>
        </w:rPr>
      </w:pPr>
    </w:p>
    <w:p>
      <w:pPr>
        <w:jc w:val="both"/>
        <w:ind w:left="1680" w:hanging="187"/>
        <w:spacing w:after="0" w:line="260"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2008,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0" w:lineRule="exact"/>
        <w:rPr>
          <w:sz w:val="20"/>
          <w:szCs w:val="20"/>
          <w:color w:val="auto"/>
        </w:rPr>
      </w:pPr>
    </w:p>
    <w:p>
      <w:pPr>
        <w:jc w:val="both"/>
        <w:ind w:left="680"/>
        <w:spacing w:after="0" w:line="320"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w:t>
      </w:r>
    </w:p>
    <w:p>
      <w:pPr>
        <w:spacing w:after="0" w:line="3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and the first six months of 2008,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Online course delivery and management. </w:t>
      </w:r>
      <w:r>
        <w:rPr>
          <w:rFonts w:ascii="Arial" w:cs="Arial" w:eastAsia="Arial" w:hAnsi="Arial"/>
          <w:sz w:val="11"/>
          <w:szCs w:val="11"/>
          <w:color w:val="auto"/>
        </w:rPr>
        <w:t>In 2007, we implemented the ANGEL Learning Management Suite, which is a web-based system and collaboration portal that stores,</w:t>
      </w:r>
      <w:r>
        <w:rPr>
          <w:rFonts w:ascii="Arial" w:cs="Arial" w:eastAsia="Arial" w:hAnsi="Arial"/>
          <w:sz w:val="11"/>
          <w:szCs w:val="11"/>
          <w:i w:val="1"/>
          <w:iCs w:val="1"/>
          <w:color w:val="auto"/>
        </w:rPr>
        <w:t xml:space="preserve"> </w:t>
      </w:r>
      <w:r>
        <w:rPr>
          <w:rFonts w:ascii="Arial" w:cs="Arial" w:eastAsia="Arial" w:hAnsi="Arial"/>
          <w:sz w:val="11"/>
          <w:szCs w:val="11"/>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expect to begin for selected courses in the fall of 2008.</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 and accounts payable. Each of these packages is scalable to capacity levels well in excess of current requirements.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2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addition to our faculty, as of June 30, 2008, we employed 979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2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10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126" w:lineRule="exact"/>
        <w:rPr>
          <w:sz w:val="20"/>
          <w:szCs w:val="20"/>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130" w:lineRule="exact"/>
        <w:rPr>
          <w:sz w:val="20"/>
          <w:szCs w:val="20"/>
          <w:color w:val="auto"/>
        </w:rPr>
      </w:pPr>
    </w:p>
    <w:p>
      <w:pPr>
        <w:jc w:val="both"/>
        <w:ind w:left="680" w:right="280" w:firstLine="399"/>
        <w:spacing w:after="0" w:line="296" w:lineRule="auto"/>
        <w:rPr>
          <w:sz w:val="20"/>
          <w:szCs w:val="20"/>
          <w:color w:val="auto"/>
        </w:rPr>
      </w:pPr>
      <w:r>
        <w:rPr>
          <w:rFonts w:ascii="Arial" w:cs="Arial" w:eastAsia="Arial" w:hAnsi="Arial"/>
          <w:sz w:val="12"/>
          <w:szCs w:val="12"/>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We believe our existing facilities are adequate for current requirements and that additional space can be obtained on commercially reasonable terms to meet future requirements.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3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8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9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3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February 28, 2007, we filed a complaint against SunGard Higher Education Managed Services, Inc. in the Maricopa County Superior Court, Case No. CV2007-003492, for breach of contract, breach of implied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has also counterclaimed alleging breach of contract relating to the parties’ technology services agreement. Following discovery, the arbitration occurred in late May 2008 and final arguments were heard in July 2008. We are seeking approximately $1.4 million from SunGard, and SunGard has counterclaimed for approximately $1.7 million.</w:t>
      </w:r>
    </w:p>
    <w:p>
      <w:pPr>
        <w:spacing w:after="0" w:line="8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Because of the ongoing nature of the Office of Inspector General investigation, we can neither know nor predict the ultimate outcome of the investigation or any liability or other sanctions that may result.</w:t>
      </w:r>
    </w:p>
    <w:p>
      <w:pPr>
        <w:spacing w:after="0" w:line="9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 xml:space="preserve">On September 11, 2008, we were served with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of $5,000 to $10,000 for each violation of the False Claims Act, attorneys’ fees, costs, and interest. A number of similar lawsuits have been filed in recent years against educational institutions that receive Title IV funds. We plan to contest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complaint vigorously.</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The case is in its early stages and it is possible that, during the course of the litigation, other information may be discovered that would adversely affect the outcome of the litigation.</w:t>
      </w:r>
    </w:p>
    <w:p>
      <w:pPr>
        <w:spacing w:after="0" w:line="9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60" w:hanging="187"/>
        <w:spacing w:after="0" w:line="276" w:lineRule="auto"/>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42"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Eligibility and certification procedures. </w:t>
      </w:r>
      <w:r>
        <w:rPr>
          <w:rFonts w:ascii="Arial" w:cs="Arial" w:eastAsia="Arial" w:hAnsi="Arial"/>
          <w:sz w:val="12"/>
          <w:szCs w:val="12"/>
          <w:color w:val="auto"/>
        </w:rPr>
        <w:t>Each institution must apply periodically to the Department of Education for continued certification to participate in the Title IV programs.</w:t>
      </w:r>
      <w:r>
        <w:rPr>
          <w:rFonts w:ascii="Arial" w:cs="Arial" w:eastAsia="Arial" w:hAnsi="Arial"/>
          <w:sz w:val="12"/>
          <w:szCs w:val="12"/>
          <w:i w:val="1"/>
          <w:iCs w:val="1"/>
          <w:color w:val="auto"/>
        </w:rPr>
        <w:t xml:space="preserve"> </w:t>
      </w:r>
      <w:r>
        <w:rPr>
          <w:rFonts w:ascii="Arial" w:cs="Arial" w:eastAsia="Arial" w:hAnsi="Arial"/>
          <w:sz w:val="12"/>
          <w:szCs w:val="12"/>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6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47"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57"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55"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6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08" w:lineRule="auto"/>
        <w:rPr>
          <w:sz w:val="20"/>
          <w:szCs w:val="20"/>
          <w:color w:val="auto"/>
        </w:rPr>
      </w:pPr>
      <w:r>
        <w:rPr>
          <w:rFonts w:ascii="Arial" w:cs="Arial" w:eastAsia="Arial" w:hAnsi="Arial"/>
          <w:sz w:val="11"/>
          <w:szCs w:val="11"/>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4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6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Incentive compensation rule. </w:t>
      </w:r>
      <w:r>
        <w:rPr>
          <w:rFonts w:ascii="Arial" w:cs="Arial" w:eastAsia="Arial" w:hAnsi="Arial"/>
          <w:sz w:val="13"/>
          <w:szCs w:val="13"/>
          <w:color w:val="auto"/>
        </w:rPr>
        <w:t>An institution that participates in the Title IV programs may not provide any commission, bonus, or other incentive payment based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on success in securing enrollments or financial aid to any person or entity engaged in any student recruitment, admissions, or financial aid awarding activity. The Department of Education’s regulations set forth 12 “safe harbors” which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5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of $5,000 to $10,000 for each violation of the False Claims Act, attorneys’ fees, costs, and interest.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2007 and was unsealed and served on us following the government’s decision not to intervene at this time.</w:t>
      </w:r>
    </w:p>
    <w:p>
      <w:pPr>
        <w:spacing w:after="0" w:line="6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w:t>
      </w:r>
    </w:p>
    <w:p>
      <w:pPr>
        <w:spacing w:after="0" w:line="72"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 xml:space="preserve">Any fine or other sanction resulting from the Department of Education investigation or otherwise, or any monetary liability resulting from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could damage our reputation and impose significant costs on us, which could have a material adverse effect on our business, prospects, financial condition, and results of operations. Because of the ongoing nature of the Office of Inspector General investigation and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we can neither know nor predict the ultimate outcome of the investigation or lawsuit or any liability or other sanctions that might result.</w:t>
      </w:r>
    </w:p>
    <w:p>
      <w:pPr>
        <w:spacing w:after="0" w:line="7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65"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Potential effect of regulatory violations. </w:t>
      </w:r>
      <w:r>
        <w:rPr>
          <w:rFonts w:ascii="Arial" w:cs="Arial" w:eastAsia="Arial" w:hAnsi="Arial"/>
          <w:sz w:val="12"/>
          <w:szCs w:val="12"/>
          <w:color w:val="auto"/>
        </w:rPr>
        <w:t>If we fail to comply with the regulatory standards governing the Title IV programs, the Department of Education could impose one or more</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i w:val="1"/>
          <w:iCs w:val="1"/>
          <w:color w:val="auto"/>
        </w:rPr>
        <w:t xml:space="preserve">Uncertainties, increased oversight, and changes in student loan environment. </w:t>
      </w:r>
      <w:r>
        <w:rPr>
          <w:rFonts w:ascii="Arial" w:cs="Arial" w:eastAsia="Arial" w:hAnsi="Arial"/>
          <w:sz w:val="11"/>
          <w:szCs w:val="11"/>
          <w:color w:val="auto"/>
        </w:rPr>
        <w:t>During 2007 and 2008, student loan programs, including the Title IV programs, have come under</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2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attempt to ensure that all eligible students will be able to obtain Title IV loans in the future and that a sufficient number of lenders will continue to provide Title IV loans. Among other things, the new legislation:</w:t>
      </w:r>
    </w:p>
    <w:p>
      <w:pPr>
        <w:spacing w:after="0" w:line="20" w:lineRule="exact"/>
        <w:rPr>
          <w:sz w:val="20"/>
          <w:szCs w:val="20"/>
          <w:color w:val="auto"/>
        </w:rPr>
      </w:pPr>
    </w:p>
    <w:p>
      <w:pPr>
        <w:ind w:left="1680" w:right="80" w:hanging="187"/>
        <w:spacing w:after="0" w:line="27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34"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6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Acquiring other schools. </w:t>
      </w:r>
      <w:r>
        <w:rPr>
          <w:rFonts w:ascii="Arial" w:cs="Arial" w:eastAsia="Arial" w:hAnsi="Arial"/>
          <w:sz w:val="13"/>
          <w:szCs w:val="13"/>
          <w:color w:val="auto"/>
        </w:rPr>
        <w:t>While we have not acquired any other schools in the past, we may seek to do so in the future. The Department of Education and virtually all state education</w:t>
      </w:r>
      <w:r>
        <w:rPr>
          <w:rFonts w:ascii="Arial" w:cs="Arial" w:eastAsia="Arial" w:hAnsi="Arial"/>
          <w:sz w:val="13"/>
          <w:szCs w:val="13"/>
          <w:i w:val="1"/>
          <w:iCs w:val="1"/>
          <w:color w:val="auto"/>
        </w:rPr>
        <w:t xml:space="preserve"> </w:t>
      </w:r>
      <w:r>
        <w:rPr>
          <w:rFonts w:ascii="Arial" w:cs="Arial" w:eastAsia="Arial" w:hAnsi="Arial"/>
          <w:sz w:val="13"/>
          <w:szCs w:val="13"/>
          <w:color w:val="auto"/>
        </w:rPr>
        <w:t>agencies and accrediting commissions require a company to seek their approval if it wishes to acquire another school. In our case, we would need to obtain the approval of the Arizona State Board for Private Postsecondary Education or other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is pending, or at all, or that it will not impose restrictions as a condition of approving our pending recertification application or with respect to any future recertification.</w:t>
      </w:r>
    </w:p>
    <w:p>
      <w:pPr>
        <w:spacing w:after="0" w:line="73"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i w:val="1"/>
          <w:iCs w:val="1"/>
          <w:color w:val="auto"/>
        </w:rPr>
        <w:t xml:space="preserve">Change in ownership resulting in a change in control. </w:t>
      </w:r>
      <w:r>
        <w:rPr>
          <w:rFonts w:ascii="Arial" w:cs="Arial" w:eastAsia="Arial" w:hAnsi="Arial"/>
          <w:sz w:val="12"/>
          <w:szCs w:val="12"/>
          <w:color w:val="auto"/>
        </w:rPr>
        <w:t>Many states and accrediting commissions require institutions of higher education to report or obtain approval of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changes in control and changes in other 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Higher Learning Commission has informed us that it will consider the offering to be a change in control under its policies, which will require us to obtain the Higher Learning Commission’s approval prior to consummating the offering. We have filed additional correspondence with the Higher Learning Commission regarding the information needed to obtain such approval. As a result of its determination that the offering will be a change in control, the Higher Learning Commission is likely to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59"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in some cases in advance of this offering, according to its procedures.</w:t>
      </w:r>
    </w:p>
    <w:p>
      <w:pPr>
        <w:spacing w:after="0" w:line="3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6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620" w:type="dxa"/>
            <w:vAlign w:val="bottom"/>
          </w:tcPr>
          <w:p>
            <w:pPr>
              <w:jc w:val="right"/>
              <w:ind w:right="95"/>
              <w:spacing w:after="0"/>
              <w:rPr>
                <w:sz w:val="20"/>
                <w:szCs w:val="20"/>
                <w:color w:val="auto"/>
              </w:rPr>
            </w:pPr>
            <w:r>
              <w:rPr>
                <w:rFonts w:ascii="Arial" w:cs="Arial" w:eastAsia="Arial" w:hAnsi="Arial"/>
                <w:sz w:val="10"/>
                <w:szCs w:val="10"/>
                <w:b w:val="1"/>
                <w:bCs w:val="1"/>
                <w:color w:val="auto"/>
              </w:rPr>
              <w:t>Age</w:t>
            </w:r>
          </w:p>
        </w:tc>
        <w:tc>
          <w:tcPr>
            <w:tcW w:w="3720" w:type="dxa"/>
            <w:vAlign w:val="bottom"/>
          </w:tcPr>
          <w:p>
            <w:pPr>
              <w:ind w:left="1920"/>
              <w:spacing w:after="0"/>
              <w:rPr>
                <w:sz w:val="20"/>
                <w:szCs w:val="20"/>
                <w:color w:val="auto"/>
              </w:rPr>
            </w:pPr>
            <w:r>
              <w:rPr>
                <w:rFonts w:ascii="Arial" w:cs="Arial" w:eastAsia="Arial" w:hAnsi="Arial"/>
                <w:sz w:val="10"/>
                <w:szCs w:val="10"/>
                <w:b w:val="1"/>
                <w:bCs w:val="1"/>
                <w:color w:val="auto"/>
              </w:rPr>
              <w:t>Position</w:t>
            </w:r>
          </w:p>
        </w:tc>
      </w:tr>
      <w:tr>
        <w:trPr>
          <w:trHeight w:val="49"/>
        </w:trPr>
        <w:tc>
          <w:tcPr>
            <w:tcW w:w="3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Chairman</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Brian E. Mueller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55</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Executive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52</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3720" w:type="dxa"/>
            <w:vAlign w:val="bottom"/>
          </w:tcPr>
          <w:p>
            <w:pPr>
              <w:ind w:left="14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Daniel E. Bachus</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W. Stan Meyer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Timothy R. Fischer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Administrative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Michael S. Lacrosse</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53</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Information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Grand Canyon University President</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Chad N. Heath</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David J. Johnson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Director-Nominee</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64</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-1329055</wp:posOffset>
            </wp:positionV>
            <wp:extent cx="184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Brent D. Richardson </w:t>
      </w:r>
      <w:r>
        <w:rPr>
          <w:rFonts w:ascii="Arial" w:cs="Arial" w:eastAsia="Arial" w:hAnsi="Arial"/>
          <w:sz w:val="11"/>
          <w:szCs w:val="11"/>
          <w:color w:val="auto"/>
        </w:rPr>
        <w:t>has been serving as our Executive Chairman since July 1, 2008. Mr. Richardson previously served as our Chief Executive Officer from 2004 to July 2008.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Richardson earned his Bachelor of Science degree in Finance from Eastern Illinois University. Brent Richardson and Chris Richardson are brothers.</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Brian E. Mueller </w:t>
      </w:r>
      <w:r>
        <w:rPr>
          <w:rFonts w:ascii="Arial" w:cs="Arial" w:eastAsia="Arial" w:hAnsi="Arial"/>
          <w:sz w:val="13"/>
          <w:szCs w:val="13"/>
          <w:color w:val="auto"/>
        </w:rPr>
        <w:t>has been serving as our Chief Executive Officer since July 1, 2008. From 1987 to 2008, Mr. Mueller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University, and Juris Doctor from the University of Arizona College of Law, where he graduated summa cum laude. Brent Richardson and Chris Richardson are brothers.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Daniel E. Bachus </w:t>
      </w:r>
      <w:r>
        <w:rPr>
          <w:rFonts w:ascii="Arial" w:cs="Arial" w:eastAsia="Arial" w:hAnsi="Arial"/>
          <w:sz w:val="13"/>
          <w:szCs w:val="13"/>
          <w:color w:val="auto"/>
        </w:rPr>
        <w:t>has been serving as our Chief Financial Officer since July 1, 2008. From January 2007 until June 2008, Mr. Bachus served as chief financial officer for Loreto Bay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 Stan Meyer </w:t>
      </w:r>
      <w:r>
        <w:rPr>
          <w:rFonts w:ascii="Arial" w:cs="Arial" w:eastAsia="Arial" w:hAnsi="Arial"/>
          <w:sz w:val="13"/>
          <w:szCs w:val="13"/>
          <w:color w:val="auto"/>
        </w:rPr>
        <w:t>has been serving as our Executive Vice President since July 1, 2008. From August 2002 to June 2008, Mr. Meyer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Timothy R. Fischer </w:t>
      </w:r>
      <w:r>
        <w:rPr>
          <w:rFonts w:ascii="Arial" w:cs="Arial" w:eastAsia="Arial" w:hAnsi="Arial"/>
          <w:sz w:val="13"/>
          <w:szCs w:val="13"/>
          <w:color w:val="auto"/>
        </w:rPr>
        <w:t>has been serving as our Chief Administrative Officer since July 1, 2008. Mr. Fischer previously served as our Chief Financial Officer from 2005 until July 2008.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Grand Canyon University President since July 31, 2008. From 2007 to July 2008 she served as our Provost and Chief Academic Officer. From</w:t>
      </w:r>
      <w:r>
        <w:rPr>
          <w:rFonts w:ascii="Arial" w:cs="Arial" w:eastAsia="Arial" w:hAnsi="Arial"/>
          <w:sz w:val="13"/>
          <w:szCs w:val="13"/>
          <w:i w:val="1"/>
          <w:iCs w:val="1"/>
          <w:color w:val="auto"/>
        </w:rPr>
        <w:t xml:space="preserve"> </w:t>
      </w:r>
      <w:r>
        <w:rPr>
          <w:rFonts w:ascii="Arial" w:cs="Arial" w:eastAsia="Arial" w:hAnsi="Arial"/>
          <w:sz w:val="13"/>
          <w:szCs w:val="13"/>
          <w:color w:val="auto"/>
        </w:rPr>
        <w:t>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 Mark Dorman </w:t>
      </w:r>
      <w:r>
        <w:rPr>
          <w:rFonts w:ascii="Arial" w:cs="Arial" w:eastAsia="Arial" w:hAnsi="Arial"/>
          <w:sz w:val="13"/>
          <w:szCs w:val="13"/>
          <w:color w:val="auto"/>
        </w:rPr>
        <w:t>has been serving as a director of Grand Canyon University since 2005. Mr. Dorman is a managing director of Endeavour Capital. Prior to joining Endeavour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David J. Johnson </w:t>
      </w:r>
      <w:r>
        <w:rPr>
          <w:rFonts w:ascii="Arial" w:cs="Arial" w:eastAsia="Arial" w:hAnsi="Arial"/>
          <w:sz w:val="13"/>
          <w:szCs w:val="13"/>
          <w:color w:val="auto"/>
        </w:rPr>
        <w:t>has been nominated and has agreed to serve as a member of our board of directors effective upon the closing of the offering. From 1997 to 2006, Mr. Johnson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3"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Quarterly Report on Form 10-Q, one of these cases, a derivative action, has been settled subject to final Court approval.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is expected to be appealed. Mr. Bachus also was originally named as a defendant in a related, ongoing derivative action, but was not named in the current, amended complaint in that action.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director does not have a relationship which, in the opinion of our board of directors, would interfere with the exercise of independent judgment by the director in carrying out the responsibilities of a director.</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w:t>
      </w:r>
    </w:p>
    <w:p>
      <w:pPr>
        <w:spacing w:after="0" w:line="1" w:lineRule="exact"/>
        <w:rPr>
          <w:sz w:val="20"/>
          <w:szCs w:val="20"/>
          <w:color w:val="auto"/>
        </w:rPr>
      </w:pPr>
    </w:p>
    <w:p>
      <w:pPr>
        <w:ind w:left="680" w:right="240"/>
        <w:spacing w:after="0" w:line="307" w:lineRule="auto"/>
        <w:rPr>
          <w:sz w:val="20"/>
          <w:szCs w:val="20"/>
          <w:color w:val="auto"/>
        </w:rPr>
      </w:pPr>
      <w:r>
        <w:rPr>
          <w:rFonts w:ascii="Arial" w:cs="Arial" w:eastAsia="Arial" w:hAnsi="Arial"/>
          <w:sz w:val="12"/>
          <w:szCs w:val="12"/>
          <w:color w:val="auto"/>
        </w:rPr>
        <w:t>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each annual meeting, our stockholders elect our full board of directors. Directors may be removed at any time for cause by the affirmative vote of the holders of a majority of the voting power then entitled to vote.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consist of Messrs. Henry (chair) and Johnson, each of whom will be “independent,” as defined under and required by the rules of Nasdaq</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of Messrs. Johnson (chair), Heath, and Dorman, each of whom is or will be “independent,” as defined under and</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of Messrs. Heath (chair) and Dorman, each of whom is “independent,” as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following discussion and analysis should be read in conjunction with “Compensation of Named Executive Officers” and the related tables that follow.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Timothy R. Fischer, currently our Chief Administrative Officer and formerly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For example, base salaries for each of Brent Richardson, John Crowley, and Chris Richardson were increased from $250,000 in fiscal 2006 to $292,019 in fiscal 2007 as a result of the growth in our net revenue and Adjusted EBITDA for 2006, which was driven, in part, by the leadership and execution of our strategy by these named executive officers. We also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bonuses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Elements of Post-Termination Compensation and Benefits. </w:t>
      </w:r>
      <w:r>
        <w:rPr>
          <w:rFonts w:ascii="Arial" w:cs="Arial" w:eastAsia="Arial" w:hAnsi="Arial"/>
          <w:sz w:val="13"/>
          <w:szCs w:val="13"/>
          <w:color w:val="auto"/>
        </w:rPr>
        <w:t>We are a party to written agreements that provide certain of our named executive officers with post-termination salary and</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 provide consist of the following:</w:t>
      </w:r>
    </w:p>
    <w:p>
      <w:pPr>
        <w:spacing w:after="0" w:line="70" w:lineRule="exact"/>
        <w:rPr>
          <w:sz w:val="20"/>
          <w:szCs w:val="20"/>
          <w:color w:val="auto"/>
        </w:rPr>
      </w:pPr>
    </w:p>
    <w:p>
      <w:pPr>
        <w:ind w:left="1680" w:right="100" w:hanging="187"/>
        <w:spacing w:after="0" w:line="258"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Salary continuation. </w:t>
      </w:r>
      <w:r>
        <w:rPr>
          <w:rFonts w:ascii="Arial" w:cs="Arial" w:eastAsia="Arial" w:hAnsi="Arial"/>
          <w:sz w:val="13"/>
          <w:szCs w:val="13"/>
          <w:color w:val="auto"/>
        </w:rPr>
        <w:t>Each of Brent Richardson, John Crowley, and Chris Richardson has a written employment agreement under which he will receive continuing salary</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 12 months if we seek to extend their post-termination non-compete and related covenants.</w:t>
      </w:r>
    </w:p>
    <w:p>
      <w:pPr>
        <w:spacing w:after="0" w:line="61" w:lineRule="exact"/>
        <w:rPr>
          <w:rFonts w:ascii="Arial" w:cs="Arial" w:eastAsia="Arial" w:hAnsi="Arial"/>
          <w:sz w:val="13"/>
          <w:szCs w:val="13"/>
          <w:color w:val="auto"/>
        </w:rPr>
      </w:pPr>
    </w:p>
    <w:p>
      <w:pPr>
        <w:ind w:left="1680" w:right="120" w:hanging="187"/>
        <w:spacing w:after="0" w:line="276"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Company performance. </w:t>
      </w:r>
      <w:r>
        <w:rPr>
          <w:rFonts w:ascii="Arial" w:cs="Arial" w:eastAsia="Arial" w:hAnsi="Arial"/>
          <w:sz w:val="12"/>
          <w:szCs w:val="12"/>
          <w:color w:val="auto"/>
        </w:rPr>
        <w:t>In reviewing our performance, we focus principally on the achievement of net revenue and Adjusted EBITDA levels, and on maintaining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Equity Plans. </w:t>
      </w:r>
      <w:r>
        <w:rPr>
          <w:rFonts w:ascii="Arial" w:cs="Arial" w:eastAsia="Arial" w:hAnsi="Arial"/>
          <w:sz w:val="13"/>
          <w:szCs w:val="13"/>
          <w:color w:val="auto"/>
        </w:rPr>
        <w:t>As discussed above, we have historically relied upon base salaries and cash bonuses to attract, motivate and retain our named executive officers. We have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have authorized and reserved a total of 4,199,937 shares of our common stock for issuance under the Incentive Plan. This reserve automatically increases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conjunction with adoption of the Incentive Plan, our board of directors has approved a comprehensive policy relating to the granting of stock options and other equity-based awards. Under this policy:</w:t>
      </w:r>
    </w:p>
    <w:p>
      <w:pPr>
        <w:spacing w:after="0" w:line="59" w:lineRule="exact"/>
        <w:rPr>
          <w:sz w:val="20"/>
          <w:szCs w:val="20"/>
          <w:color w:val="auto"/>
        </w:rPr>
      </w:pPr>
    </w:p>
    <w:p>
      <w:pPr>
        <w:ind w:left="168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80" w:right="160" w:firstLine="395"/>
        <w:spacing w:after="0" w:line="276" w:lineRule="auto"/>
        <w:rPr>
          <w:sz w:val="20"/>
          <w:szCs w:val="20"/>
          <w:color w:val="auto"/>
        </w:rPr>
      </w:pPr>
      <w:r>
        <w:rPr>
          <w:rFonts w:ascii="Arial" w:cs="Arial" w:eastAsia="Arial" w:hAnsi="Arial"/>
          <w:sz w:val="13"/>
          <w:szCs w:val="13"/>
          <w:color w:val="auto"/>
        </w:rPr>
        <w:t>In connection with the initial public offering, we plan to issue 704,923 fully vested and 2,492,256 unvested stock options with an exercise price equal to the initial public offering price to employees and a director under this Incentive Plan.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1"/>
          <w:szCs w:val="11"/>
          <w:color w:val="auto"/>
        </w:rPr>
        <w:t>We have authorized and reserved a total of 1,049,984 shares of our common stock for sale under the ESPP. In addition, the ESPP provides for an automatic annual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w:t>
      </w:r>
    </w:p>
    <w:p>
      <w:pPr>
        <w:spacing w:after="0" w:line="1" w:lineRule="exact"/>
        <w:rPr>
          <w:sz w:val="20"/>
          <w:szCs w:val="20"/>
          <w:color w:val="auto"/>
        </w:rPr>
      </w:pPr>
    </w:p>
    <w:p>
      <w:pPr>
        <w:ind w:left="680" w:right="60" w:firstLine="7"/>
        <w:spacing w:after="0" w:line="281" w:lineRule="auto"/>
        <w:tabs>
          <w:tab w:leader="none" w:pos="836"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6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Executive Employment Agreements. </w:t>
      </w:r>
      <w:r>
        <w:rPr>
          <w:rFonts w:ascii="Arial" w:cs="Arial" w:eastAsia="Arial" w:hAnsi="Arial"/>
          <w:sz w:val="13"/>
          <w:szCs w:val="13"/>
          <w:color w:val="auto"/>
        </w:rPr>
        <w:t>Effective July 1, 2008, we entered into employment agreements with Brian E. Mueller, Daniel E. Bachus, and W. Stan Meyer that govern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their service as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agreement with each of Brent Richardson and Chris Richardson provides for a base salary of $297,500, entitles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53"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agreement with Mr. Mueller provides for a base salary of $500,000 per year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 to the completion of this offering, Mr. Mueller is also entitled to receive (i) a grant of an option to purchase approximately 1.0 million shares of our common stock, which will vest ratably, on an annual basis, over a five-year period, and (ii) a grant of 104,998 shares of our common stock which shares shall be fully vested on the grant date. The shares subject to the foregoing grants will have a grant or exercise price equal to the initial public offering price.</w:t>
      </w:r>
    </w:p>
    <w:p>
      <w:pPr>
        <w:spacing w:after="0" w:line="55"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agreement with Mr. Bachus provides for a base salary of $275,000 per year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Bachus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agreement with Mr. Meyer provides for a base salary of $300,000 per year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Meyer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number of shares actually issued or granted to Messrs. Mueller, Meyer, and Bachus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numbers above, we have assumed an initial public offering price of $19.00 per share, which is the midpoint of the range set forth on the cover page of this prospectus.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Each agreement entitles the executive to receive customary and usual fringe benefits generally available to our senior management, and to be reimbursed for reasonable out-of-pocket business expenses.</w:t>
      </w:r>
    </w:p>
    <w:p>
      <w:pPr>
        <w:spacing w:after="0" w:line="59"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agreements prohibit the executives from engaging in any work that creates an actual conflict of interest with us, and include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2" w:lineRule="auto"/>
        <w:rPr>
          <w:sz w:val="20"/>
          <w:szCs w:val="20"/>
          <w:color w:val="auto"/>
        </w:rPr>
      </w:pPr>
      <w:r>
        <w:rPr>
          <w:rFonts w:ascii="Arial" w:cs="Arial" w:eastAsia="Arial" w:hAnsi="Arial"/>
          <w:sz w:val="12"/>
          <w:szCs w:val="12"/>
          <w:color w:val="auto"/>
        </w:rPr>
        <w:t>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59"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Named Executive Officer Salary Adjustments. </w:t>
      </w:r>
      <w:r>
        <w:rPr>
          <w:rFonts w:ascii="Arial" w:cs="Arial" w:eastAsia="Arial" w:hAnsi="Arial"/>
          <w:sz w:val="13"/>
          <w:szCs w:val="13"/>
          <w:color w:val="auto"/>
        </w:rPr>
        <w:t>Effective January 1, 2008, the base salary of each of Brent Richardson, John Crowley, and Chris Richardson was increased by $5,000</w:t>
      </w:r>
      <w:r>
        <w:rPr>
          <w:rFonts w:ascii="Arial" w:cs="Arial" w:eastAsia="Arial" w:hAnsi="Arial"/>
          <w:sz w:val="13"/>
          <w:szCs w:val="13"/>
          <w:i w:val="1"/>
          <w:iCs w:val="1"/>
          <w:color w:val="auto"/>
        </w:rPr>
        <w:t xml:space="preserve"> </w:t>
      </w:r>
      <w:r>
        <w:rPr>
          <w:rFonts w:ascii="Arial" w:cs="Arial" w:eastAsia="Arial" w:hAnsi="Arial"/>
          <w:sz w:val="13"/>
          <w:szCs w:val="13"/>
          <w:color w:val="auto"/>
        </w:rPr>
        <w:t>per year to $297,500.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than as described above, there have been no other material changes to items of compensation applicable to our named executive officers or directors for fiscal 2008.</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r>
              <w:rPr>
                <w:rFonts w:ascii="Arial" w:cs="Arial" w:eastAsia="Arial" w:hAnsi="Arial"/>
                <w:sz w:val="11"/>
                <w:szCs w:val="11"/>
                <w:color w:val="auto"/>
              </w:rPr>
              <w:t>(4)</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Administrative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276" w:lineRule="auto"/>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Mr. Fischer was appointed our Chief Administrative Officer effective July 1, 2008. During 2007, he served as our Chief Financial Officer.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Agreement with John E. Crowley. </w:t>
      </w:r>
      <w:r>
        <w:rPr>
          <w:rFonts w:ascii="Arial" w:cs="Arial" w:eastAsia="Arial" w:hAnsi="Arial"/>
          <w:sz w:val="12"/>
          <w:szCs w:val="12"/>
          <w:color w:val="auto"/>
        </w:rPr>
        <w:t>Effective August 24, 2005, we and John Crowley entered into an employment agreement. The agreement remains in effect until Mr. Crowley’s</w:t>
      </w:r>
      <w:r>
        <w:rPr>
          <w:rFonts w:ascii="Arial" w:cs="Arial" w:eastAsia="Arial" w:hAnsi="Arial"/>
          <w:sz w:val="12"/>
          <w:szCs w:val="12"/>
          <w:i w:val="1"/>
          <w:iCs w:val="1"/>
          <w:color w:val="auto"/>
        </w:rPr>
        <w:t xml:space="preserve"> </w:t>
      </w:r>
      <w:r>
        <w:rPr>
          <w:rFonts w:ascii="Arial" w:cs="Arial" w:eastAsia="Arial" w:hAnsi="Arial"/>
          <w:sz w:val="12"/>
          <w:szCs w:val="12"/>
          <w:color w:val="auto"/>
        </w:rPr>
        <w:t>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i w:val="1"/>
          <w:iCs w:val="1"/>
          <w:color w:val="auto"/>
        </w:rPr>
        <w:t xml:space="preserve">Severance and Change of Control Payments. </w:t>
      </w:r>
      <w:r>
        <w:rPr>
          <w:rFonts w:ascii="Arial" w:cs="Arial" w:eastAsia="Arial" w:hAnsi="Arial"/>
          <w:sz w:val="12"/>
          <w:szCs w:val="12"/>
          <w:color w:val="auto"/>
        </w:rPr>
        <w:t>The employment agreements with Brent Richardson, John Crowley, and Chris Richardson entitle them to certain severance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323" w:lineRule="auto"/>
        <w:tabs>
          <w:tab w:leader="none" w:pos="10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ind w:left="1000" w:right="40" w:hanging="259"/>
        <w:spacing w:after="0" w:line="277" w:lineRule="auto"/>
        <w:tabs>
          <w:tab w:leader="none" w:pos="10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w:t>
      </w:r>
    </w:p>
    <w:p>
      <w:pPr>
        <w:spacing w:after="0" w:line="1" w:lineRule="exact"/>
        <w:rPr>
          <w:sz w:val="20"/>
          <w:szCs w:val="20"/>
          <w:color w:val="auto"/>
        </w:rPr>
      </w:pPr>
    </w:p>
    <w:p>
      <w:pPr>
        <w:ind w:left="1000" w:right="840"/>
        <w:spacing w:after="0" w:line="264" w:lineRule="auto"/>
        <w:rPr>
          <w:sz w:val="20"/>
          <w:szCs w:val="20"/>
          <w:color w:val="auto"/>
        </w:rPr>
      </w:pPr>
      <w:r>
        <w:rPr>
          <w:rFonts w:ascii="Arial" w:cs="Arial" w:eastAsia="Arial" w:hAnsi="Arial"/>
          <w:sz w:val="13"/>
          <w:szCs w:val="13"/>
          <w:color w:val="auto"/>
        </w:rPr>
        <w:t>(c) the executive’s engaging in conduct that constitutes cause for separation under applicable law, and (d) the executive’s breaching the confidentiality, non-competition, non-solicitation, and non-disparagement covenants applicable to him.</w:t>
      </w:r>
    </w:p>
    <w:p>
      <w:pPr>
        <w:spacing w:after="0" w:line="17" w:lineRule="exact"/>
        <w:rPr>
          <w:sz w:val="20"/>
          <w:szCs w:val="20"/>
          <w:color w:val="auto"/>
        </w:rPr>
      </w:pPr>
    </w:p>
    <w:p>
      <w:pPr>
        <w:ind w:left="1000" w:right="100" w:hanging="259"/>
        <w:spacing w:after="0" w:line="264"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upon the completion of this offering, we intend to pay our non-employee directors an annual cash retainer of $30,000 for their board service and a per meeting fee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for each meeting of the board attended. We also intend to pay the members of our audit, compensation, and nominating and corporate governance committees an additional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cash retainer of $5,000, with the chair of the audit committee receiving an additional annual cash retainer of $5,000, and the chairs of the other committees each receiving an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cash retainer of $2,500. In addition, non-employee directors will be eligible to receive awards under our Incentive Plan valued at $35,000 per year. We will reimburse all directors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reasonable expenses incurred to attend our board and board committee meetings.</w:t>
      </w:r>
    </w:p>
    <w:p>
      <w:pPr>
        <w:spacing w:after="0" w:line="8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Effective upon completion of this offering, we anticipate that we will appoint David J. Johnson, one of our director-nominees, as our lead independent director. For such services, Mr. Johnson would receive (i) a grant of an option to purchase approximately 0.1 million shares of our common stock equal, which will vest ratably, on an annual basis, over a three-year period, and (ii) in addition to the other items of compensation specified herein, an annual retainer of $33,333, payable in quarterly installments. The number of shares actually issued or granted to Mr. Johnson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 above, we have assumed an initial public offering price of $19.00 per share, which is the midpoint of the range set forth on the cover page of this prospectus.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connection with this offering, we intend to adopt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45.3% of our outstanding shares of capital stock. See “Beneficial Ownership of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Series A Convertible Preferred Stock Issuance. </w:t>
      </w:r>
      <w:r>
        <w:rPr>
          <w:rFonts w:ascii="Arial" w:cs="Arial" w:eastAsia="Arial" w:hAnsi="Arial"/>
          <w:sz w:val="11"/>
          <w:szCs w:val="11"/>
          <w:color w:val="auto"/>
        </w:rPr>
        <w:t>On March 31, 2005, we sold $14.0 million aggregate principal amount of notes to the Endeavour Entities. On August 24, 2005, we</w:t>
      </w:r>
      <w:r>
        <w:rPr>
          <w:rFonts w:ascii="Arial" w:cs="Arial" w:eastAsia="Arial" w:hAnsi="Arial"/>
          <w:sz w:val="11"/>
          <w:szCs w:val="11"/>
          <w:i w:val="1"/>
          <w:iCs w:val="1"/>
          <w:color w:val="auto"/>
        </w:rPr>
        <w:t xml:space="preserve"> </w:t>
      </w:r>
      <w:r>
        <w:rPr>
          <w:rFonts w:ascii="Arial" w:cs="Arial" w:eastAsia="Arial" w:hAnsi="Arial"/>
          <w:sz w:val="11"/>
          <w:szCs w:val="11"/>
          <w:color w:val="auto"/>
        </w:rPr>
        <w:t>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w:t>
      </w:r>
    </w:p>
    <w:p>
      <w:pPr>
        <w:spacing w:after="0" w:line="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Chad N. Heath, two of our directors, are managing directors. Mr. Charles M. Preston III, one of our former directors, is an affiliate of 220 Management, LLC, which is the general partner of 220 GCU GP, L.P., the general partner of 220 GCU, L.P.</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$19.00 per share, which is the midpoint of the price range set forth on the cover page of this prospectus, we estimate that the amount of the special distribution will be $149.6 million, or $4.75 per common share on an as-if converted basis (exclusive of any amounts that may be received from the underwriters’ exercise of the over-allotment option).</w:t>
      </w:r>
    </w:p>
    <w:p>
      <w:pPr>
        <w:spacing w:after="0" w:line="5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and the per share amount of the special distribution by $0.25, assuming the number of shares offered by us, as set forth on the cover page of this prospectus, remains the same. Similarly, any increase or decrease in the number of shares that we sell in the offering will increase or decrease the special distribution in proportion to such increase or decrease, as applicable, multiplied by the offering price per share.</w:t>
      </w:r>
    </w:p>
    <w:p>
      <w:pPr>
        <w:spacing w:after="0" w:line="7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Of the estimated aggregate amount of the special distribution,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7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3,250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9,563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32,776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Significant Ventures, LLC</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00" w:type="dxa"/>
            <w:vAlign w:val="bottom"/>
            <w:gridSpan w:val="2"/>
          </w:tcPr>
          <w:p>
            <w:pPr>
              <w:jc w:val="right"/>
              <w:ind w:right="1458"/>
              <w:spacing w:after="0"/>
              <w:rPr>
                <w:sz w:val="20"/>
                <w:szCs w:val="20"/>
                <w:color w:val="auto"/>
              </w:rPr>
            </w:pPr>
            <w:r>
              <w:rPr>
                <w:rFonts w:ascii="Arial" w:cs="Arial" w:eastAsia="Arial" w:hAnsi="Arial"/>
                <w:sz w:val="13"/>
                <w:szCs w:val="13"/>
                <w:color w:val="auto"/>
              </w:rPr>
              <w:t>116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right"/>
        <w:ind w:right="302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Original Acquisition</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Special Distribution</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2"/>
          </w:tcPr>
          <w:p>
            <w:pPr>
              <w:ind w:left="1180"/>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880" w:space="720"/>
            <w:col w:w="506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3740" w:type="dxa"/>
            <w:vAlign w:val="bottom"/>
            <w:gridSpan w:val="2"/>
          </w:tcPr>
          <w:p>
            <w:pPr>
              <w:jc w:val="center"/>
              <w:spacing w:after="0"/>
              <w:rPr>
                <w:sz w:val="20"/>
                <w:szCs w:val="20"/>
                <w:color w:val="auto"/>
              </w:rPr>
            </w:pPr>
            <w:r>
              <w:rPr>
                <w:rFonts w:ascii="Arial" w:cs="Arial" w:eastAsia="Arial" w:hAnsi="Arial"/>
                <w:sz w:val="13"/>
                <w:szCs w:val="13"/>
                <w:color w:val="auto"/>
                <w:w w:val="92"/>
              </w:rPr>
              <w:t>August 24, 2005</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16,000</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42,917</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shd w:val="clear" w:color="auto" w:fill="CCEEFF"/>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5,863</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45,849</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16,299</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16,776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(6)</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16,308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16,775</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374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26,898</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64" w:lineRule="auto"/>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Endeavor Capital IV, LLC., the general partner of each of the Endeavour Entities, are members of our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Executive Chairman,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Chris Richardson, our General Counsel and a director. Pursuant to this agreement, Mind Streams identifies qualified applicants for admission to Grand Canyon University in return for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 is a paid a stated percentage of the net revenue (calculated as tuition actually received, less scholarships, refunds, and allowances) derived by us from those identified applicants that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matriculate at Grand Canyon University. The term of the agreement runs through December 31, 2010, and can be terminated by either party upon 45 days’ prior written notice. We previously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a party to an agreement with 21st Century Learning, which was owned by Gail Richardson, Brent Richardson, and Chris Richardson, providing for a similar revenue sharing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arrangement. This agreement was terminated in 2005 when we entered into the agreement with Mind Streams. For the years ended December 31, 2005, 2006 and 2007, and for the six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months ended June 30, 2008, we expensed $2.8 million, $3.7 million, $4.3 million, and $2.9 million, respectively, to these parties pursuant to this arrangement for students enrolled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expenses reimbursed.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six months ended June 30, 2008, we paid approximately $0.6 million and $0.2 million, respectively, of expenses incurred by The Center for Educational Excellence, LLC, of which $0.3 million and $0, respectively, were reimbursed to us.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and the six months ended June 30, 2008, we paid to Youth in Motion, Inc. $0.2 million, $0.1 million, $0,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six months ended June 30, 2008, we paid $0.1 million, $0.4 million, $0, and $0, respectively, to Significant Ventures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six months ended June 30, 2008, we paid $0.3 million, $0.3 million, $0, and $0, respectively, to 220 Partners, LLC for services rendered and expenses reimbursed pursuant to this arrangement.</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June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of our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June 30, 2008:</w:t>
      </w:r>
    </w:p>
    <w:p>
      <w:pPr>
        <w:spacing w:after="0" w:line="96" w:lineRule="exact"/>
        <w:rPr>
          <w:sz w:val="20"/>
          <w:szCs w:val="20"/>
          <w:color w:val="auto"/>
        </w:rPr>
      </w:pPr>
    </w:p>
    <w:p>
      <w:pPr>
        <w:ind w:left="1680" w:hanging="187"/>
        <w:spacing w:after="0"/>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outstanding shares of our Series A convertible preferred stock are converted into 10,870,178 shares of common stock;</w:t>
      </w:r>
    </w:p>
    <w:p>
      <w:pPr>
        <w:spacing w:after="0" w:line="9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1,410,526 shares of common stock at an initial public offering price of $19.00 per share, which is the midpoint of the range set forth on the cover page of this prospectus;</w:t>
      </w:r>
    </w:p>
    <w:p>
      <w:pPr>
        <w:spacing w:after="0" w:line="66" w:lineRule="exact"/>
        <w:rPr>
          <w:rFonts w:ascii="Arial" w:cs="Arial" w:eastAsia="Arial" w:hAnsi="Arial"/>
          <w:sz w:val="13"/>
          <w:szCs w:val="13"/>
          <w:color w:val="auto"/>
        </w:rPr>
      </w:pPr>
    </w:p>
    <w:p>
      <w:pPr>
        <w:ind w:left="1680" w:hanging="187"/>
        <w:spacing w:after="0"/>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will issue 10,500,000 shares of common stock in the offering;</w:t>
      </w:r>
    </w:p>
    <w:p>
      <w:pPr>
        <w:spacing w:after="0" w:line="9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will grant 104,998 shares of fully vested restricted stock to Brian E. Mueller, and fully vested options to purchase 28,296 shares of our common stock to each of Timothy N. Fischer, Michael S. Lacrosse, and Kathy Player, immediately following the effectiveness of the offering; and</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Brent and Chris Richardson will be granted the right to vote an additional 12,160,950 shares of our common stock as a result of the voting agreement that will be effective upon the closing of this offering, as described in the notes below the table.</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4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2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5100" w:type="dxa"/>
            <w:vAlign w:val="bottom"/>
          </w:tcPr>
          <w:p>
            <w:pPr>
              <w:spacing w:after="0"/>
              <w:rPr>
                <w:sz w:val="9"/>
                <w:szCs w:val="9"/>
                <w:color w:val="auto"/>
              </w:rPr>
            </w:pPr>
          </w:p>
        </w:tc>
        <w:tc>
          <w:tcPr>
            <w:tcW w:w="174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98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w w:val="97"/>
              </w:rPr>
              <w:t>Owned After</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rPr>
              <w:t>Owned After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5100" w:type="dxa"/>
            <w:vAlign w:val="bottom"/>
          </w:tcPr>
          <w:p>
            <w:pPr>
              <w:spacing w:after="0"/>
              <w:rPr>
                <w:sz w:val="10"/>
                <w:szCs w:val="10"/>
                <w:color w:val="auto"/>
              </w:rPr>
            </w:pPr>
          </w:p>
        </w:tc>
        <w:tc>
          <w:tcPr>
            <w:tcW w:w="1040" w:type="dxa"/>
            <w:vAlign w:val="bottom"/>
            <w:gridSpan w:val="2"/>
          </w:tcPr>
          <w:p>
            <w:pPr>
              <w:jc w:val="center"/>
              <w:ind w:left="368"/>
              <w:spacing w:after="0"/>
              <w:rPr>
                <w:sz w:val="20"/>
                <w:szCs w:val="20"/>
                <w:color w:val="auto"/>
              </w:rPr>
            </w:pPr>
            <w:r>
              <w:rPr>
                <w:rFonts w:ascii="Arial" w:cs="Arial" w:eastAsia="Arial" w:hAnsi="Arial"/>
                <w:sz w:val="10"/>
                <w:szCs w:val="10"/>
                <w:b w:val="1"/>
                <w:bCs w:val="1"/>
                <w:color w:val="auto"/>
              </w:rPr>
              <w:t>Offering</w:t>
            </w:r>
            <w:r>
              <w:rPr>
                <w:rFonts w:ascii="Arial" w:cs="Arial" w:eastAsia="Arial" w:hAnsi="Arial"/>
                <w:sz w:val="8"/>
                <w:szCs w:val="8"/>
                <w:b w:val="1"/>
                <w:bCs w:val="1"/>
                <w:color w:val="auto"/>
              </w:rPr>
              <w:t>(1)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7"/>
              </w:rPr>
              <w:t>Offering</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r>
      <w:tr>
        <w:trPr>
          <w:trHeight w:val="98"/>
        </w:trPr>
        <w:tc>
          <w:tcPr>
            <w:tcW w:w="5100" w:type="dxa"/>
            <w:vAlign w:val="bottom"/>
          </w:tcPr>
          <w:p>
            <w:pPr>
              <w:spacing w:after="0"/>
              <w:rPr>
                <w:sz w:val="8"/>
                <w:szCs w:val="8"/>
                <w:color w:val="auto"/>
              </w:rPr>
            </w:pPr>
          </w:p>
        </w:tc>
        <w:tc>
          <w:tcPr>
            <w:tcW w:w="1040" w:type="dxa"/>
            <w:vAlign w:val="bottom"/>
            <w:tcBorders>
              <w:top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00" w:type="dxa"/>
            <w:vAlign w:val="bottom"/>
          </w:tcPr>
          <w:p>
            <w:pPr>
              <w:spacing w:after="0"/>
              <w:rPr>
                <w:sz w:val="8"/>
                <w:szCs w:val="8"/>
                <w:color w:val="auto"/>
              </w:rPr>
            </w:pPr>
          </w:p>
        </w:tc>
        <w:tc>
          <w:tcPr>
            <w:tcW w:w="98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Percent</w:t>
            </w:r>
          </w:p>
        </w:tc>
        <w:tc>
          <w:tcPr>
            <w:tcW w:w="280" w:type="dxa"/>
            <w:vAlign w:val="bottom"/>
          </w:tcPr>
          <w:p>
            <w:pPr>
              <w:spacing w:after="0"/>
              <w:rPr>
                <w:sz w:val="8"/>
                <w:szCs w:val="8"/>
                <w:color w:val="auto"/>
              </w:rPr>
            </w:pPr>
          </w:p>
        </w:tc>
        <w:tc>
          <w:tcPr>
            <w:tcW w:w="1000" w:type="dxa"/>
            <w:vAlign w:val="bottom"/>
            <w:tcBorders>
              <w:top w:val="single" w:sz="8" w:color="auto"/>
            </w:tcBorders>
            <w:gridSpan w:val="2"/>
          </w:tcPr>
          <w:p>
            <w:pPr>
              <w:ind w:left="20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r>
      <w:tr>
        <w:trPr>
          <w:trHeight w:val="29"/>
        </w:trPr>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b w:val="1"/>
                <w:bCs w:val="1"/>
                <w:color w:val="auto"/>
              </w:rPr>
              <w:t>Principal Stockholders:</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8"/>
                <w:szCs w:val="8"/>
                <w:color w:val="auto"/>
              </w:rPr>
              <w:t>(3)</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8"/>
                <w:szCs w:val="8"/>
                <w:color w:val="auto"/>
              </w:rPr>
              <w:t>(4)</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6,935,807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16.5%</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15.9%</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Staci L. Buse</w:t>
            </w:r>
            <w:r>
              <w:rPr>
                <w:rFonts w:ascii="Arial" w:cs="Arial" w:eastAsia="Arial" w:hAnsi="Arial"/>
                <w:sz w:val="8"/>
                <w:szCs w:val="8"/>
                <w:color w:val="auto"/>
              </w:rPr>
              <w:t>(5)</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8.2%</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7.9%</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Significant Ventures, LLC</w:t>
            </w:r>
            <w:r>
              <w:rPr>
                <w:rFonts w:ascii="Arial" w:cs="Arial" w:eastAsia="Arial" w:hAnsi="Arial"/>
                <w:sz w:val="8"/>
                <w:szCs w:val="8"/>
                <w:color w:val="auto"/>
              </w:rPr>
              <w:t>(6)</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2,896,051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Directors and Executive Officers:</w:t>
            </w: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Brent D. Richardson</w:t>
            </w:r>
            <w:r>
              <w:rPr>
                <w:rFonts w:ascii="Arial" w:cs="Arial" w:eastAsia="Arial" w:hAnsi="Arial"/>
                <w:sz w:val="8"/>
                <w:szCs w:val="8"/>
                <w:color w:val="auto"/>
              </w:rPr>
              <w:t>(7)(10)</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Brian E. Mueller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John E. Crowley</w:t>
            </w:r>
            <w:r>
              <w:rPr>
                <w:rFonts w:ascii="Arial" w:cs="Arial" w:eastAsia="Arial" w:hAnsi="Arial"/>
                <w:sz w:val="8"/>
                <w:szCs w:val="8"/>
                <w:color w:val="auto"/>
              </w:rPr>
              <w:t>(8)</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394,728</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8"/>
                <w:szCs w:val="8"/>
                <w:color w:val="auto"/>
              </w:rPr>
              <w:t>(9)(10)</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3,446,666</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Daniel E. Bachus</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 Stan Meyer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Timothy N. Fischer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Michael S. Lacrosse</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Kathy Player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Chad N. Heath</w:t>
            </w:r>
            <w:r>
              <w:rPr>
                <w:rFonts w:ascii="Arial" w:cs="Arial" w:eastAsia="Arial" w:hAnsi="Arial"/>
                <w:sz w:val="8"/>
                <w:szCs w:val="8"/>
                <w:color w:val="auto"/>
              </w:rPr>
              <w:t>(11)</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 Mark Dorman</w:t>
            </w:r>
            <w:r>
              <w:rPr>
                <w:rFonts w:ascii="Arial" w:cs="Arial" w:eastAsia="Arial" w:hAnsi="Arial"/>
                <w:sz w:val="8"/>
                <w:szCs w:val="8"/>
                <w:color w:val="auto"/>
              </w:rPr>
              <w:t>(11)</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David J. Johnson</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Jack A. Henry</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All directors, director-nominees, and executive officers as a group (12 persons)</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16,939,352</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53.8%</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0" w:lineRule="auto"/>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000" w:hanging="259"/>
        <w:spacing w:after="0"/>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60" w:hanging="191"/>
        <w:spacing w:after="0" w:line="276" w:lineRule="auto"/>
        <w:tabs>
          <w:tab w:leader="none" w:pos="18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7,692,938 shares of common stock issuable upon the conversion of shares of Series A convertible preferred stock and approximately 525,402 shares of common stock issuable upon the conversion of shares of Series C preferred stock, in each case held of record by Endeavour Capital Fund IV, L.P.;</w:t>
      </w:r>
    </w:p>
    <w:p>
      <w:pPr>
        <w:spacing w:after="0" w:line="19" w:lineRule="exact"/>
        <w:rPr>
          <w:rFonts w:ascii="Arial" w:cs="Arial" w:eastAsia="Arial" w:hAnsi="Arial"/>
          <w:sz w:val="13"/>
          <w:szCs w:val="13"/>
          <w:color w:val="auto"/>
        </w:rPr>
      </w:pPr>
    </w:p>
    <w:p>
      <w:pPr>
        <w:ind w:left="1880" w:right="220" w:hanging="191"/>
        <w:spacing w:after="0" w:line="316" w:lineRule="auto"/>
        <w:tabs>
          <w:tab w:leader="none" w:pos="18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471,108 shares of common stock issuable upon the conversion of shares of Series A convertible preferred stock and approximately 32,215 shares of common stock issuable upon the conversion of shares of Series C preferred stock, in each case held of record by Endeavour Associates Fund IV, L.P.; and</w:t>
      </w:r>
    </w:p>
    <w:p>
      <w:pPr>
        <w:ind w:left="1880" w:right="220" w:hanging="191"/>
        <w:spacing w:after="0" w:line="316" w:lineRule="auto"/>
        <w:tabs>
          <w:tab w:leader="none" w:pos="18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871,002 shares of common stock issuable upon the conversion of shares of Series A convertible preferred stock and approximately 59,493 shares of common stock issuable upon the conversion of shares of Series C preferred stock, in each case held of record by Endeavour Capital Parallel Fund IV, L.P.</w:t>
      </w:r>
    </w:p>
    <w:p>
      <w:pPr>
        <w:ind w:left="1600" w:right="8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Consists of</w:t>
      </w:r>
    </w:p>
    <w:p>
      <w:pPr>
        <w:spacing w:after="0" w:line="57" w:lineRule="exact"/>
        <w:rPr>
          <w:sz w:val="20"/>
          <w:szCs w:val="20"/>
          <w:color w:val="auto"/>
        </w:rPr>
      </w:pPr>
    </w:p>
    <w:p>
      <w:pPr>
        <w:ind w:left="1880" w:right="60" w:hanging="191"/>
        <w:spacing w:after="0" w:line="276" w:lineRule="auto"/>
        <w:tabs>
          <w:tab w:leader="none" w:pos="18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1,835,130 shares of common stock issuable upon the conversion of shares of Series A convertible preferred stock and approximately 125,341 shares of common stock issuable upon the conversion of shares of Series C preferred stock, in each case held of record by 220 GCU,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1,297,172 shares of common stock and approximately 59,728 shares of common stock issuable upon the conversion of shares of Series C preferred stock, in each case held of record by 220 Education,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1,037,752 shares of common stock and approximately 47,784 shares of common stock issuable upon the conversion of shares of Series C preferred stock, in each case held of record by 220-SigEd, L.P.; and</w:t>
      </w:r>
    </w:p>
    <w:p>
      <w:pPr>
        <w:spacing w:after="0" w:line="19" w:lineRule="exact"/>
        <w:rPr>
          <w:rFonts w:ascii="Arial" w:cs="Arial" w:eastAsia="Arial" w:hAnsi="Arial"/>
          <w:sz w:val="13"/>
          <w:szCs w:val="13"/>
          <w:color w:val="auto"/>
        </w:rPr>
      </w:pPr>
    </w:p>
    <w:p>
      <w:pPr>
        <w:ind w:left="1880" w:hanging="191"/>
        <w:spacing w:after="0" w:line="276" w:lineRule="auto"/>
        <w:tabs>
          <w:tab w:leader="none" w:pos="18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2,421,404 shares of common stock and approximately 111,495 shares of common stock issuable upon the conversion of shares of Series C preferred stock, in each case held of record by SV One, L.P.</w:t>
      </w:r>
    </w:p>
    <w:p>
      <w:pPr>
        <w:spacing w:after="0" w:line="20" w:lineRule="exact"/>
        <w:rPr>
          <w:sz w:val="20"/>
          <w:szCs w:val="20"/>
          <w:color w:val="auto"/>
        </w:rPr>
      </w:pPr>
    </w:p>
    <w:p>
      <w:pPr>
        <w:ind w:left="1600" w:right="60"/>
        <w:spacing w:after="0" w:line="280" w:lineRule="auto"/>
        <w:rPr>
          <w:sz w:val="20"/>
          <w:szCs w:val="20"/>
          <w:color w:val="auto"/>
        </w:rPr>
      </w:pPr>
      <w:r>
        <w:rPr>
          <w:rFonts w:ascii="Arial" w:cs="Arial" w:eastAsia="Arial" w:hAnsi="Arial"/>
          <w:sz w:val="12"/>
          <w:szCs w:val="12"/>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19" w:lineRule="exact"/>
        <w:rPr>
          <w:sz w:val="20"/>
          <w:szCs w:val="20"/>
          <w:color w:val="auto"/>
        </w:rPr>
      </w:pPr>
    </w:p>
    <w:p>
      <w:pPr>
        <w:ind w:left="1000" w:right="40" w:hanging="259"/>
        <w:spacing w:after="0" w:line="258"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31"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 2,767,321 shares of common stock and approximately 128,730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31" w:lineRule="exact"/>
        <w:rPr>
          <w:rFonts w:ascii="Arial" w:cs="Arial" w:eastAsia="Arial" w:hAnsi="Arial"/>
          <w:sz w:val="13"/>
          <w:szCs w:val="13"/>
          <w:color w:val="auto"/>
        </w:rPr>
      </w:pPr>
    </w:p>
    <w:p>
      <w:pPr>
        <w:jc w:val="both"/>
        <w:ind w:left="1000" w:right="280" w:hanging="259"/>
        <w:spacing w:after="0" w:line="264"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Prior to this offering, the total for Brent D. Richardson 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 382,435 shares of common stock and approximately 12,294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spacing w:after="0" w:line="276" w:lineRule="auto"/>
        <w:rPr>
          <w:sz w:val="20"/>
          <w:szCs w:val="20"/>
          <w:color w:val="auto"/>
        </w:rPr>
      </w:pPr>
      <w:r>
        <w:rPr>
          <w:rFonts w:ascii="Arial" w:cs="Arial" w:eastAsia="Arial" w:hAnsi="Arial"/>
          <w:sz w:val="13"/>
          <w:szCs w:val="13"/>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20" w:lineRule="exact"/>
        <w:rPr>
          <w:sz w:val="20"/>
          <w:szCs w:val="20"/>
          <w:color w:val="auto"/>
        </w:rPr>
      </w:pPr>
    </w:p>
    <w:p>
      <w:pPr>
        <w:ind w:left="1000" w:right="180" w:hanging="259"/>
        <w:spacing w:after="0" w:line="264" w:lineRule="auto"/>
        <w:tabs>
          <w:tab w:leader="none" w:pos="10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Prior to this offering, the total for Christopher C. Richardson consists of 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80" w:hanging="307"/>
        <w:spacing w:after="0"/>
        <w:tabs>
          <w:tab w:leader="none" w:pos="1080" w:val="left"/>
        </w:tabs>
        <w:numPr>
          <w:ilvl w:val="1"/>
          <w:numId w:val="69"/>
        </w:numPr>
        <w:rPr>
          <w:rFonts w:ascii="Arial" w:cs="Arial" w:eastAsia="Arial" w:hAnsi="Arial"/>
          <w:sz w:val="13"/>
          <w:szCs w:val="13"/>
          <w:color w:val="auto"/>
        </w:rPr>
      </w:pPr>
      <w:r>
        <w:rPr>
          <w:rFonts w:ascii="Arial" w:cs="Arial" w:eastAsia="Arial" w:hAnsi="Arial"/>
          <w:sz w:val="13"/>
          <w:szCs w:val="13"/>
          <w:color w:val="auto"/>
        </w:rPr>
        <w:t>Following this offering, the total for Brent D. Richardson and Christopher C. Richardson consists of:</w:t>
      </w:r>
    </w:p>
    <w:p>
      <w:pPr>
        <w:spacing w:after="0" w:line="56" w:lineRule="exact"/>
        <w:rPr>
          <w:rFonts w:ascii="Arial" w:cs="Arial" w:eastAsia="Arial" w:hAnsi="Arial"/>
          <w:sz w:val="13"/>
          <w:szCs w:val="13"/>
          <w:color w:val="auto"/>
        </w:rPr>
      </w:pPr>
    </w:p>
    <w:p>
      <w:pPr>
        <w:ind w:left="1880" w:right="80" w:hanging="191"/>
        <w:spacing w:after="0" w:line="264" w:lineRule="auto"/>
        <w:tabs>
          <w:tab w:leader="none" w:pos="1880" w:val="left"/>
        </w:tabs>
        <w:numPr>
          <w:ilvl w:val="2"/>
          <w:numId w:val="69"/>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Brent D. Richardson.</w:t>
      </w:r>
    </w:p>
    <w:p>
      <w:pPr>
        <w:spacing w:after="0" w:line="27" w:lineRule="exact"/>
        <w:rPr>
          <w:rFonts w:ascii="Arial" w:cs="Arial" w:eastAsia="Arial" w:hAnsi="Arial"/>
          <w:sz w:val="13"/>
          <w:szCs w:val="13"/>
          <w:color w:val="auto"/>
        </w:rPr>
      </w:pPr>
    </w:p>
    <w:p>
      <w:pPr>
        <w:ind w:left="1880" w:right="420" w:hanging="191"/>
        <w:spacing w:after="0" w:line="280" w:lineRule="auto"/>
        <w:tabs>
          <w:tab w:leader="none" w:pos="1880" w:val="left"/>
        </w:tabs>
        <w:numPr>
          <w:ilvl w:val="2"/>
          <w:numId w:val="69"/>
        </w:numPr>
        <w:rPr>
          <w:rFonts w:ascii="Arial" w:cs="Arial" w:eastAsia="Arial" w:hAnsi="Arial"/>
          <w:sz w:val="12"/>
          <w:szCs w:val="12"/>
          <w:color w:val="auto"/>
        </w:rPr>
      </w:pPr>
      <w:r>
        <w:rPr>
          <w:rFonts w:ascii="Arial" w:cs="Arial" w:eastAsia="Arial" w:hAnsi="Arial"/>
          <w:sz w:val="12"/>
          <w:szCs w:val="12"/>
          <w:color w:val="auto"/>
        </w:rPr>
        <w:t>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w:t>
      </w:r>
    </w:p>
    <w:p>
      <w:pPr>
        <w:ind w:left="1880"/>
        <w:spacing w:after="0"/>
        <w:rPr>
          <w:rFonts w:ascii="Arial" w:cs="Arial" w:eastAsia="Arial" w:hAnsi="Arial"/>
          <w:sz w:val="12"/>
          <w:szCs w:val="12"/>
          <w:color w:val="auto"/>
        </w:rPr>
      </w:pPr>
      <w:r>
        <w:rPr>
          <w:rFonts w:ascii="Arial" w:cs="Arial" w:eastAsia="Arial" w:hAnsi="Arial"/>
          <w:sz w:val="13"/>
          <w:szCs w:val="13"/>
          <w:color w:val="auto"/>
        </w:rPr>
        <w:t>Mr. Christopher C. Richardson.</w:t>
      </w:r>
    </w:p>
    <w:p>
      <w:pPr>
        <w:spacing w:after="0" w:line="49" w:lineRule="exact"/>
        <w:rPr>
          <w:rFonts w:ascii="Arial" w:cs="Arial" w:eastAsia="Arial" w:hAnsi="Arial"/>
          <w:sz w:val="12"/>
          <w:szCs w:val="12"/>
          <w:color w:val="auto"/>
        </w:rPr>
      </w:pPr>
    </w:p>
    <w:p>
      <w:pPr>
        <w:ind w:left="1880" w:right="140" w:hanging="191"/>
        <w:spacing w:after="0" w:line="264" w:lineRule="auto"/>
        <w:tabs>
          <w:tab w:leader="none" w:pos="1880" w:val="left"/>
        </w:tabs>
        <w:numPr>
          <w:ilvl w:val="2"/>
          <w:numId w:val="69"/>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27" w:lineRule="exact"/>
        <w:rPr>
          <w:rFonts w:ascii="Arial" w:cs="Arial" w:eastAsia="Arial" w:hAnsi="Arial"/>
          <w:sz w:val="13"/>
          <w:szCs w:val="13"/>
          <w:color w:val="auto"/>
        </w:rPr>
      </w:pPr>
    </w:p>
    <w:p>
      <w:pPr>
        <w:ind w:left="1880" w:right="160" w:hanging="191"/>
        <w:spacing w:after="0" w:line="316" w:lineRule="auto"/>
        <w:tabs>
          <w:tab w:leader="none" w:pos="1880" w:val="left"/>
        </w:tabs>
        <w:numPr>
          <w:ilvl w:val="2"/>
          <w:numId w:val="69"/>
        </w:numPr>
        <w:rPr>
          <w:rFonts w:ascii="Arial" w:cs="Arial" w:eastAsia="Arial" w:hAnsi="Arial"/>
          <w:sz w:val="12"/>
          <w:szCs w:val="12"/>
          <w:color w:val="auto"/>
        </w:rPr>
      </w:pPr>
      <w:r>
        <w:rPr>
          <w:rFonts w:ascii="Arial" w:cs="Arial" w:eastAsia="Arial" w:hAnsi="Arial"/>
          <w:sz w:val="12"/>
          <w:szCs w:val="12"/>
          <w:color w:val="auto"/>
        </w:rPr>
        <w:t>382,435 shares of common stock held of record by Rich Crow Enterprises, LLC and approximately 12,294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2"/>
          <w:numId w:val="69"/>
        </w:numPr>
        <w:rPr>
          <w:rFonts w:ascii="Arial" w:cs="Arial" w:eastAsia="Arial" w:hAnsi="Arial"/>
          <w:sz w:val="13"/>
          <w:szCs w:val="13"/>
          <w:color w:val="auto"/>
        </w:rPr>
      </w:pPr>
      <w:r>
        <w:rPr>
          <w:rFonts w:ascii="Arial" w:cs="Arial" w:eastAsia="Arial" w:hAnsi="Arial"/>
          <w:sz w:val="13"/>
          <w:szCs w:val="13"/>
          <w:color w:val="auto"/>
        </w:rPr>
        <w:t>The shares held by the 220 Entities and the shares held by Significant Ventures, as described in Notes (4) and (5) above.</w:t>
      </w:r>
    </w:p>
    <w:p>
      <w:pPr>
        <w:spacing w:after="0" w:line="56" w:lineRule="exact"/>
        <w:rPr>
          <w:rFonts w:ascii="Arial" w:cs="Arial" w:eastAsia="Arial" w:hAnsi="Arial"/>
          <w:sz w:val="13"/>
          <w:szCs w:val="13"/>
          <w:color w:val="auto"/>
        </w:rPr>
      </w:pPr>
    </w:p>
    <w:p>
      <w:pPr>
        <w:ind w:left="1880" w:hanging="191"/>
        <w:spacing w:after="0"/>
        <w:tabs>
          <w:tab w:leader="none" w:pos="1880" w:val="left"/>
        </w:tabs>
        <w:numPr>
          <w:ilvl w:val="2"/>
          <w:numId w:val="69"/>
        </w:numPr>
        <w:rPr>
          <w:rFonts w:ascii="Arial" w:cs="Arial" w:eastAsia="Arial" w:hAnsi="Arial"/>
          <w:sz w:val="12"/>
          <w:szCs w:val="12"/>
          <w:color w:val="auto"/>
        </w:rPr>
      </w:pPr>
      <w:r>
        <w:rPr>
          <w:rFonts w:ascii="Arial" w:cs="Arial" w:eastAsia="Arial" w:hAnsi="Arial"/>
          <w:sz w:val="12"/>
          <w:szCs w:val="12"/>
          <w:color w:val="auto"/>
        </w:rPr>
        <w:t>310,694 shares of common stock and 12,998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329" w:lineRule="auto"/>
        <w:rPr>
          <w:sz w:val="20"/>
          <w:szCs w:val="20"/>
          <w:color w:val="auto"/>
        </w:rPr>
      </w:pPr>
      <w:r>
        <w:rPr>
          <w:rFonts w:ascii="Arial" w:cs="Arial" w:eastAsia="Arial" w:hAnsi="Arial"/>
          <w:sz w:val="11"/>
          <w:szCs w:val="11"/>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1" w:lineRule="exact"/>
        <w:rPr>
          <w:sz w:val="20"/>
          <w:szCs w:val="20"/>
          <w:color w:val="auto"/>
        </w:rPr>
      </w:pPr>
    </w:p>
    <w:p>
      <w:pPr>
        <w:ind w:left="1080" w:hanging="302"/>
        <w:spacing w:after="0" w:line="260" w:lineRule="auto"/>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9,035,048 shares of common stock issuable upon conversion of Series A convertible preferred stock and 617,109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As of June 30, 2008, there were 31,499,354 shares of our common stock outstanding and held of record by fourteen stockholders, assuming conversion of all outstanding shares of Series A preferred stock into 10,870,178 shares of common stock and all outstanding shares of Series C preferred stock into 1,410,526 shares of common stock based on a conversion price equal to the initial public offering price per share, which is estimated to be $19.00 per share, which is the midpoint of the range set forth on the cover page of this prospectus.</w:t>
      </w:r>
    </w:p>
    <w:p>
      <w:pPr>
        <w:spacing w:after="0" w:line="3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delaying, deferring or preventing a change in control of our company and may adversely affect the market price of our common stock and the voting and other rights of the holders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As of June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owned by our original investors. In connection with this offering, if the members of the holding company do not exercise such right, then we will exercise the right to repurchase the warrant or the underlying shares. Based on indications of interest received from such members to date, we expect to use at least $9.4 million and up to $16.0 million of the net proceeds of this offering to repurchase any portion of the warrant or the underlying shares not purchased by such members. Following such repurchase and depending upon whether any members purchase a portion of the warrant, following the closing of the offering we would have between zero and 374,678 shares of common stock issuable upon exercise of outstanding warrants. See “Use of Proceeds” for further information.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20" w:lineRule="auto"/>
        <w:rPr>
          <w:sz w:val="20"/>
          <w:szCs w:val="20"/>
          <w:color w:val="auto"/>
        </w:rPr>
      </w:pPr>
      <w:r>
        <w:rPr>
          <w:rFonts w:ascii="Arial" w:cs="Arial" w:eastAsia="Arial" w:hAnsi="Arial"/>
          <w:sz w:val="12"/>
          <w:szCs w:val="12"/>
          <w:color w:val="auto"/>
        </w:rPr>
        <w:t>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Advance Notice Requirements. </w:t>
      </w:r>
      <w:r>
        <w:rPr>
          <w:rFonts w:ascii="Arial" w:cs="Arial" w:eastAsia="Arial" w:hAnsi="Arial"/>
          <w:sz w:val="12"/>
          <w:szCs w:val="12"/>
          <w:color w:val="auto"/>
        </w:rPr>
        <w:t>Our bylaws will establish advance notice procedures with regard to stockholder proposals relating to the nomination of candidates for election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120 days prior to the first anniversary date of the annual meeting for the preceding year. The notice must contain certain information specified in the bylaws.</w:t>
      </w:r>
    </w:p>
    <w:p>
      <w:pPr>
        <w:spacing w:after="0" w:line="53"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10,000,000 authorized shares of preferred stock. The existence of authorized but unissued shares of preferred stock may</w:t>
      </w:r>
      <w:r>
        <w:rPr>
          <w:rFonts w:ascii="Arial" w:cs="Arial" w:eastAsia="Arial" w:hAnsi="Arial"/>
          <w:sz w:val="13"/>
          <w:szCs w:val="13"/>
          <w:i w:val="1"/>
          <w:iCs w:val="1"/>
          <w:color w:val="auto"/>
        </w:rPr>
        <w:t xml:space="preserve"> </w:t>
      </w:r>
      <w:r>
        <w:rPr>
          <w:rFonts w:ascii="Arial" w:cs="Arial" w:eastAsia="Arial" w:hAnsi="Arial"/>
          <w:sz w:val="13"/>
          <w:szCs w:val="13"/>
          <w:color w:val="auto"/>
        </w:rPr>
        <w:t>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680" w:hanging="187"/>
        <w:spacing w:after="0" w:line="276" w:lineRule="auto"/>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liabilities under the Securities Act. Insofar as indemnification for liabilities arising under the Securities Act may be permitted to directors, officers, or persons who control Grand Canyon University, we have been informed that in the opinion of the SEC such indemnification is against public policy as expressed in the Securities Act and is therefore unenforceable.</w:t>
      </w:r>
    </w:p>
    <w:p>
      <w:pPr>
        <w:spacing w:after="0" w:line="35"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have applied to have our common stock approved for listing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Upon the closing of this offering, we will have outstanding an aggregate of 42,104,352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3,212,575 shares of common stock.</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shares will be available for sale on the date of this prospectus;</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shares will be available for sale under Rule 144 or Rule 701 beginning 90 days after the date of this prospectus; and</w:t>
      </w:r>
    </w:p>
    <w:p>
      <w:pPr>
        <w:spacing w:after="0" w:line="9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680" w:hanging="187"/>
        <w:spacing w:after="0"/>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421,044 shares immediately after this offering; and</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31,604,352 shares of our outstanding restricted securities will be eligible for sale under Rule 144.</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subject to the lock-up agreements and manner of sale and notice requirements that apply to affiliates under Rule 144 described above.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4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4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 w:type="dxa"/>
            <w:vAlign w:val="bottom"/>
          </w:tcPr>
          <w:p>
            <w:pPr>
              <w:spacing w:after="0"/>
              <w:rPr>
                <w:sz w:val="14"/>
                <w:szCs w:val="14"/>
                <w:color w:val="auto"/>
              </w:rPr>
            </w:pPr>
          </w:p>
        </w:tc>
        <w:tc>
          <w:tcPr>
            <w:tcW w:w="832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8320" w:type="dxa"/>
            <w:vAlign w:val="bottom"/>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10,500,000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32"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have applied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1"/>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2"/>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2"/>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3"/>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3"/>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146">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2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47">
              <w:r>
                <w:rPr>
                  <w:rFonts w:ascii="Arial" w:cs="Arial" w:eastAsia="Arial" w:hAnsi="Arial"/>
                  <w:sz w:val="13"/>
                  <w:szCs w:val="13"/>
                  <w:color w:val="0000EE"/>
                  <w:w w:val="89"/>
                </w:rPr>
                <w:t>Balance Sheets as of December 31, 2006 and 2007 (restated) and June 30, 2008 (unaudited)</w:t>
              </w:r>
            </w:hyperlink>
          </w:p>
        </w:tc>
        <w:tc>
          <w:tcPr>
            <w:tcW w:w="484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48">
              <w:r>
                <w:rPr>
                  <w:rFonts w:ascii="Arial" w:cs="Arial" w:eastAsia="Arial" w:hAnsi="Arial"/>
                  <w:sz w:val="13"/>
                  <w:szCs w:val="13"/>
                  <w:color w:val="0000EE"/>
                </w:rPr>
                <w:t>Statements of Operations for the years ended December 31, 2005, 2006, and 2007 (restated) and for the six month periods ended June 30, 2007 and 2008 (unaudited)</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5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w w:val="96"/>
              </w:rPr>
            </w:pPr>
            <w:hyperlink w:anchor="page149">
              <w:r>
                <w:rPr>
                  <w:rFonts w:ascii="Arial" w:cs="Arial" w:eastAsia="Arial" w:hAnsi="Arial"/>
                  <w:sz w:val="13"/>
                  <w:szCs w:val="13"/>
                  <w:color w:val="0000EE"/>
                  <w:w w:val="96"/>
                </w:rPr>
                <w:t>Statements of Preferred Stock and Stockholders’ Deficit for the years ended December 31, 2005, 2006, and 2007 (restated) and for the six month period ended June 30, 2008</w:t>
              </w:r>
            </w:hyperlink>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94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149">
              <w:r>
                <w:rPr>
                  <w:rFonts w:ascii="Arial" w:cs="Arial" w:eastAsia="Arial" w:hAnsi="Arial"/>
                  <w:sz w:val="13"/>
                  <w:szCs w:val="13"/>
                  <w:color w:val="0000EE"/>
                </w:rPr>
                <w:t>(unaudited)</w:t>
              </w:r>
            </w:hyperlink>
          </w:p>
        </w:tc>
        <w:tc>
          <w:tcPr>
            <w:tcW w:w="5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1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150">
              <w:r>
                <w:rPr>
                  <w:rFonts w:ascii="Arial" w:cs="Arial" w:eastAsia="Arial" w:hAnsi="Arial"/>
                  <w:sz w:val="13"/>
                  <w:szCs w:val="13"/>
                  <w:color w:val="0000EE"/>
                  <w:w w:val="90"/>
                </w:rPr>
                <w:t>Statements of Cash Flows for the years ended December 31, 2005, 2006, and 2007 (restated) and for the six month period ended June 30, 2008 (unaudited)</w:t>
              </w:r>
            </w:hyperlink>
          </w:p>
        </w:tc>
        <w:tc>
          <w:tcPr>
            <w:tcW w:w="1520" w:type="dxa"/>
            <w:vAlign w:val="bottom"/>
            <w:gridSpan w:val="3"/>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1">
              <w:r>
                <w:rPr>
                  <w:rFonts w:ascii="Arial" w:cs="Arial" w:eastAsia="Arial" w:hAnsi="Arial"/>
                  <w:sz w:val="13"/>
                  <w:szCs w:val="13"/>
                  <w:color w:val="0000EE"/>
                </w:rPr>
                <w:t>Notes to Financial Statements</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gridSpan w:val="4"/>
          </w:tcPr>
          <w:p>
            <w:pPr>
              <w:ind w:left="8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3, as to which the date is August 11, 2008, and Note 17, as to which the date is September 29,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5"/>
          </w:tcPr>
          <w:p>
            <w:pPr>
              <w:jc w:val="right"/>
              <w:ind w:right="540"/>
              <w:spacing w:after="0"/>
              <w:rPr>
                <w:sz w:val="20"/>
                <w:szCs w:val="20"/>
                <w:color w:val="auto"/>
              </w:rPr>
            </w:pPr>
            <w:r>
              <w:rPr>
                <w:rFonts w:ascii="Arial" w:cs="Arial" w:eastAsia="Arial" w:hAnsi="Arial"/>
                <w:sz w:val="8"/>
                <w:szCs w:val="8"/>
                <w:b w:val="1"/>
                <w:bCs w:val="1"/>
                <w:color w:val="auto"/>
              </w:rPr>
              <w:t>As of December 31,</w:t>
            </w:r>
          </w:p>
        </w:tc>
        <w:tc>
          <w:tcPr>
            <w:tcW w:w="60" w:type="dxa"/>
            <w:vAlign w:val="bottom"/>
          </w:tcPr>
          <w:p>
            <w:pPr>
              <w:spacing w:after="0"/>
              <w:rPr>
                <w:sz w:val="8"/>
                <w:szCs w:val="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w w:val="87"/>
              </w:rPr>
              <w:t>June 30,</w:t>
            </w:r>
          </w:p>
        </w:tc>
        <w:tc>
          <w:tcPr>
            <w:tcW w:w="80" w:type="dxa"/>
            <w:vAlign w:val="bottom"/>
          </w:tcPr>
          <w:p>
            <w:pPr>
              <w:spacing w:after="0"/>
              <w:rPr>
                <w:sz w:val="8"/>
                <w:szCs w:val="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5"/>
              </w:rPr>
              <w:t>Pro forma</w:t>
            </w:r>
          </w:p>
        </w:tc>
      </w:tr>
      <w:tr>
        <w:trPr>
          <w:trHeight w:val="78"/>
        </w:trPr>
        <w:tc>
          <w:tcPr>
            <w:tcW w:w="6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2006</w:t>
            </w: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2007</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jc w:val="center"/>
              <w:ind w:right="15"/>
              <w:spacing w:after="0" w:line="79" w:lineRule="exact"/>
              <w:rPr>
                <w:sz w:val="20"/>
                <w:szCs w:val="20"/>
                <w:color w:val="auto"/>
              </w:rPr>
            </w:pPr>
            <w:r>
              <w:rPr>
                <w:rFonts w:ascii="Arial" w:cs="Arial" w:eastAsia="Arial" w:hAnsi="Arial"/>
                <w:sz w:val="8"/>
                <w:szCs w:val="8"/>
                <w:b w:val="1"/>
                <w:bCs w:val="1"/>
                <w:color w:val="auto"/>
                <w:w w:val="78"/>
              </w:rPr>
              <w:t>2008</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88"/>
              </w:rPr>
              <w:t>June 30, 2008</w:t>
            </w:r>
          </w:p>
        </w:tc>
      </w:tr>
      <w:tr>
        <w:trPr>
          <w:trHeight w:val="90"/>
        </w:trPr>
        <w:tc>
          <w:tcPr>
            <w:tcW w:w="6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jc w:val="right"/>
              <w:spacing w:after="0" w:line="81" w:lineRule="exact"/>
              <w:rPr>
                <w:sz w:val="20"/>
                <w:szCs w:val="20"/>
                <w:color w:val="auto"/>
              </w:rPr>
            </w:pPr>
            <w:r>
              <w:rPr>
                <w:rFonts w:ascii="Arial" w:cs="Arial" w:eastAsia="Arial" w:hAnsi="Arial"/>
                <w:sz w:val="8"/>
                <w:szCs w:val="8"/>
                <w:b w:val="1"/>
                <w:bCs w:val="1"/>
                <w:color w:val="auto"/>
                <w:w w:val="71"/>
              </w:rPr>
              <w:t>(Restated)</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15"/>
              <w:spacing w:after="0" w:line="90" w:lineRule="exact"/>
              <w:rPr>
                <w:sz w:val="20"/>
                <w:szCs w:val="20"/>
                <w:color w:val="auto"/>
              </w:rPr>
            </w:pPr>
            <w:r>
              <w:rPr>
                <w:rFonts w:ascii="Arial" w:cs="Arial" w:eastAsia="Arial" w:hAnsi="Arial"/>
                <w:sz w:val="8"/>
                <w:szCs w:val="8"/>
                <w:b w:val="1"/>
                <w:bCs w:val="1"/>
                <w:color w:val="auto"/>
                <w:w w:val="94"/>
              </w:rPr>
              <w:t>(Unaudited)</w:t>
            </w: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5"/>
              <w:spacing w:after="0" w:line="90"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7"/>
                <w:szCs w:val="7"/>
                <w:color w:val="auto"/>
              </w:rPr>
            </w:pPr>
          </w:p>
        </w:tc>
      </w:tr>
      <w:tr>
        <w:trPr>
          <w:trHeight w:val="28"/>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ASSETS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14,361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23,210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7,206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7,206</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Accounts receivable, net of allowance for doubtful accounts of $7,380 and $12,158 at December 31, 2006 and 2007, and $15,442 at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4,798</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7,114</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6,930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6,930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from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6,001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455</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455</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2,984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4,640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Prepaid expenses and other current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893</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2,317</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2,317</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current assets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23,036</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42,314</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21,548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21,548</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Property and equipment,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29,017</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33,849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36,460</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36,460</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Restricted cash and investments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3,074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3,298</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3,370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3,370</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Prepaid royalties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250</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8,409</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8,409</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2,941</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2,835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5,308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5,308</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Deposit with former owner</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3,000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2,512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2,512</w:t>
            </w:r>
          </w:p>
        </w:tc>
      </w:tr>
      <w:tr>
        <w:trPr>
          <w:trHeight w:val="107"/>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61,232</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88,568</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80,548</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80,548</w:t>
            </w:r>
          </w:p>
        </w:tc>
        <w:tc>
          <w:tcPr>
            <w:tcW w:w="100" w:type="dxa"/>
            <w:vAlign w:val="bottom"/>
          </w:tcPr>
          <w:p>
            <w:pPr>
              <w:spacing w:after="0"/>
              <w:rPr>
                <w:sz w:val="9"/>
                <w:szCs w:val="9"/>
                <w:color w:val="auto"/>
              </w:rPr>
            </w:pPr>
          </w:p>
        </w:tc>
      </w:tr>
      <w:tr>
        <w:trPr>
          <w:trHeight w:val="59"/>
        </w:trPr>
        <w:tc>
          <w:tcPr>
            <w:tcW w:w="6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LIABILITIES, PREFERRED STOCK AND 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3,181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3,434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4,532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4,532</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Accrued liabilities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3,044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6,893</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6,582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156,207</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Income taxes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2,535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241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1,646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1,646</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Deferred revenue and student deposits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6,133</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10,369</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10,973</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10,973</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Royalty payable to former owner</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3,646</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7,428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to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836</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1,472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1,472</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Line of credit</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6,000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Current portion of capital lease obligations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949</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1,150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1,132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1,132</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Current portion of notes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374</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412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412</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current liabilities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20,698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37,166</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26,749</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176,374</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lease obligations, less current portion</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28,779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28,078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28,288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28,288</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Notes payable, less current portion</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2,088</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1,762</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1,482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1,482</w:t>
            </w: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51,565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67,006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56,519</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206,144</w:t>
            </w:r>
          </w:p>
        </w:tc>
      </w:tr>
      <w:tr>
        <w:trPr>
          <w:trHeight w:val="104"/>
        </w:trPr>
        <w:tc>
          <w:tcPr>
            <w:tcW w:w="6900" w:type="dxa"/>
            <w:vAlign w:val="bottom"/>
          </w:tcPr>
          <w:p>
            <w:pPr>
              <w:spacing w:after="0"/>
              <w:rPr>
                <w:sz w:val="20"/>
                <w:szCs w:val="20"/>
                <w:color w:val="auto"/>
              </w:rPr>
            </w:pPr>
            <w:r>
              <w:rPr>
                <w:rFonts w:ascii="Arial" w:cs="Arial" w:eastAsia="Arial" w:hAnsi="Arial"/>
                <w:sz w:val="9"/>
                <w:szCs w:val="9"/>
                <w:color w:val="auto"/>
              </w:rPr>
              <w:t>Commitments and contingencies</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43"/>
        </w:trPr>
        <w:tc>
          <w:tcPr>
            <w:tcW w:w="6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A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7,500 shares at December 31, 2006, and 9,700 shares at December 31,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5,953 shares at December 31, 2006, 2007 and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$57,750 at December 31, 2007 and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18,610</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B 12%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2,200 shares at December 31, 2006,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865 shares at December 31, 2006, and 0 shares at December 31, 2007 and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$0 at December 31, 2007 and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C 8%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0 shares at December 31, 2006, and 3,900 shares at December 31,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0 shares at December 31, 2006, and 3,829 shares at December 31, 2007 and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6"/>
        </w:trPr>
        <w:tc>
          <w:tcPr>
            <w:tcW w:w="6900" w:type="dxa"/>
            <w:vAlign w:val="bottom"/>
          </w:tcPr>
          <w:p>
            <w:pPr>
              <w:ind w:left="100"/>
              <w:spacing w:after="0"/>
              <w:rPr>
                <w:sz w:val="20"/>
                <w:szCs w:val="20"/>
                <w:color w:val="auto"/>
              </w:rPr>
            </w:pPr>
            <w:r>
              <w:rPr>
                <w:rFonts w:ascii="Arial" w:cs="Arial" w:eastAsia="Arial" w:hAnsi="Arial"/>
                <w:sz w:val="9"/>
                <w:szCs w:val="9"/>
                <w:color w:val="auto"/>
              </w:rPr>
              <w:t>Liquidation value — $26,829 at December 31, 2007 and June 30, 2008</w:t>
            </w:r>
          </w:p>
        </w:tc>
        <w:tc>
          <w:tcPr>
            <w:tcW w:w="100" w:type="dxa"/>
            <w:vAlign w:val="bottom"/>
          </w:tcPr>
          <w:p>
            <w:pPr>
              <w:spacing w:after="0"/>
              <w:rPr>
                <w:sz w:val="10"/>
                <w:szCs w:val="10"/>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color w:val="auto"/>
              </w:rPr>
              <w:t>13,338</w:t>
            </w:r>
          </w:p>
        </w:tc>
        <w:tc>
          <w:tcPr>
            <w:tcW w:w="60" w:type="dxa"/>
            <w:vAlign w:val="bottom"/>
          </w:tcPr>
          <w:p>
            <w:pPr>
              <w:spacing w:after="0"/>
              <w:rPr>
                <w:sz w:val="10"/>
                <w:szCs w:val="1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9"/>
                <w:szCs w:val="9"/>
                <w:color w:val="auto"/>
              </w:rPr>
              <w:t>13,859</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9"/>
                <w:szCs w:val="9"/>
                <w:color w:val="auto"/>
              </w:rPr>
              <w:t>13,859</w:t>
            </w:r>
          </w:p>
        </w:tc>
      </w:tr>
      <w:tr>
        <w:trPr>
          <w:trHeight w:val="32"/>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Common stock, $0.01 par value: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Authorized — 100,000,000 shares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280"/>
              <w:spacing w:after="0" w:line="98" w:lineRule="exact"/>
              <w:rPr>
                <w:sz w:val="20"/>
                <w:szCs w:val="20"/>
                <w:color w:val="auto"/>
              </w:rPr>
            </w:pPr>
            <w:r>
              <w:rPr>
                <w:rFonts w:ascii="Arial" w:cs="Arial" w:eastAsia="Arial" w:hAnsi="Arial"/>
                <w:sz w:val="9"/>
                <w:szCs w:val="9"/>
                <w:color w:val="auto"/>
              </w:rPr>
              <w:t>Issued and outstanding — 18,853,450 shares at December 31, 2006, 19,036,050 shares at December 31, 2007, and 19,218,650 shares at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189</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190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192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192</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Additional paid-in capital</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7,953</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7,719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6,508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(143,117)</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Accumulated other comprehensive income</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79</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Accumulated deficit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1"/>
              <w:spacing w:after="0" w:line="98" w:lineRule="exact"/>
              <w:rPr>
                <w:sz w:val="20"/>
                <w:szCs w:val="20"/>
                <w:color w:val="auto"/>
              </w:rPr>
            </w:pPr>
            <w:r>
              <w:rPr>
                <w:rFonts w:ascii="Arial" w:cs="Arial" w:eastAsia="Arial" w:hAnsi="Arial"/>
                <w:sz w:val="9"/>
                <w:szCs w:val="9"/>
                <w:color w:val="auto"/>
              </w:rPr>
              <w:t>(19,900)</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w w:val="95"/>
              </w:rPr>
              <w:t>(18,374)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(15,150)</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(15,150)</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stockholders’ deficit</w:t>
            </w: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(11,723)</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(10,386)</w:t>
            </w:r>
          </w:p>
        </w:tc>
        <w:tc>
          <w:tcPr>
            <w:tcW w:w="3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(8,440)</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(158,065)</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 preferred stock and stockholders’ deficit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61,232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88,568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80,548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80,548</w:t>
            </w:r>
          </w:p>
        </w:tc>
      </w:tr>
      <w:tr>
        <w:trPr>
          <w:trHeight w:val="29"/>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w w:val="97"/>
              </w:rPr>
              <w:t>Six Months Ended June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35"/>
              <w:spacing w:after="0" w:line="98" w:lineRule="exact"/>
              <w:rPr>
                <w:sz w:val="20"/>
                <w:szCs w:val="20"/>
                <w:color w:val="auto"/>
              </w:rPr>
            </w:pPr>
            <w:r>
              <w:rPr>
                <w:rFonts w:ascii="Arial" w:cs="Arial" w:eastAsia="Arial" w:hAnsi="Arial"/>
                <w:sz w:val="10"/>
                <w:szCs w:val="10"/>
                <w:b w:val="1"/>
                <w:bCs w:val="1"/>
                <w:color w:val="auto"/>
              </w:rPr>
              <w:t>(Restated)</w:t>
            </w: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51,793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72,111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99,326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44,071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70,275</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31,287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39,050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17,555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24,028</w:t>
            </w:r>
          </w:p>
        </w:tc>
        <w:tc>
          <w:tcPr>
            <w:tcW w:w="0" w:type="dxa"/>
            <w:vAlign w:val="bottom"/>
          </w:tcPr>
          <w:p>
            <w:pPr>
              <w:spacing w:after="0"/>
              <w:rPr>
                <w:sz w:val="1"/>
                <w:szCs w:val="1"/>
                <w:color w:val="auto"/>
              </w:rPr>
            </w:pPr>
          </w:p>
        </w:tc>
      </w:tr>
      <w:tr>
        <w:trPr>
          <w:trHeight w:val="148"/>
        </w:trPr>
        <w:tc>
          <w:tcPr>
            <w:tcW w:w="53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Selling and promotional, including $2,839 in 2005; $3,742 in 2006, and $4,293 in 2007,</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00" w:type="dxa"/>
            <w:vAlign w:val="bottom"/>
            <w:gridSpan w:val="2"/>
          </w:tcPr>
          <w:p>
            <w:pPr>
              <w:ind w:left="280"/>
              <w:spacing w:after="0"/>
              <w:rPr>
                <w:sz w:val="20"/>
                <w:szCs w:val="20"/>
                <w:color w:val="auto"/>
              </w:rPr>
            </w:pPr>
            <w:r>
              <w:rPr>
                <w:rFonts w:ascii="Arial" w:cs="Arial" w:eastAsia="Arial" w:hAnsi="Arial"/>
                <w:sz w:val="13"/>
                <w:szCs w:val="13"/>
                <w:color w:val="auto"/>
                <w:w w:val="99"/>
              </w:rPr>
              <w:t>$2,064 and $2,925 for the six months ended June 30, 2007 and 2008, to related parties</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14,047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20,093</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35,148</w:t>
            </w:r>
          </w:p>
        </w:tc>
        <w:tc>
          <w:tcPr>
            <w:tcW w:w="120" w:type="dxa"/>
            <w:vAlign w:val="bottom"/>
          </w:tcPr>
          <w:p>
            <w:pPr>
              <w:spacing w:after="0"/>
              <w:rPr>
                <w:sz w:val="14"/>
                <w:szCs w:val="14"/>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14,186</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27,473</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15,011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8,377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10,960</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2,678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1,629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94,981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41,747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63,949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3,042</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2,324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692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1,501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5,251</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(527)</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734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2,703</w:t>
            </w:r>
          </w:p>
        </w:tc>
        <w:tc>
          <w:tcPr>
            <w:tcW w:w="0" w:type="dxa"/>
            <w:vAlign w:val="bottom"/>
          </w:tcPr>
          <w:p>
            <w:pPr>
              <w:spacing w:after="0"/>
              <w:rPr>
                <w:sz w:val="1"/>
                <w:szCs w:val="1"/>
                <w:color w:val="auto"/>
              </w:rPr>
            </w:pPr>
          </w:p>
        </w:tc>
      </w:tr>
      <w:tr>
        <w:trPr>
          <w:trHeight w:val="166"/>
        </w:trPr>
        <w:tc>
          <w:tcPr>
            <w:tcW w:w="5300" w:type="dxa"/>
            <w:vAlign w:val="bottom"/>
            <w:gridSpan w:val="2"/>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0.02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18,853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18,853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19,089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35,052</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32,623</w:t>
            </w:r>
          </w:p>
        </w:tc>
        <w:tc>
          <w:tcPr>
            <w:tcW w:w="0" w:type="dxa"/>
            <w:vAlign w:val="bottom"/>
          </w:tcPr>
          <w:p>
            <w:pPr>
              <w:spacing w:after="0"/>
              <w:rPr>
                <w:sz w:val="1"/>
                <w:szCs w:val="1"/>
                <w:color w:val="auto"/>
              </w:rPr>
            </w:pPr>
          </w:p>
        </w:tc>
      </w:tr>
      <w:tr>
        <w:trPr>
          <w:trHeight w:val="166"/>
        </w:trPr>
        <w:tc>
          <w:tcPr>
            <w:tcW w:w="5300" w:type="dxa"/>
            <w:vAlign w:val="bottom"/>
            <w:gridSpan w:val="2"/>
          </w:tcPr>
          <w:p>
            <w:pPr>
              <w:spacing w:after="0"/>
              <w:rPr>
                <w:sz w:val="20"/>
                <w:szCs w:val="20"/>
                <w:color w:val="auto"/>
              </w:rPr>
            </w:pPr>
            <w:r>
              <w:rPr>
                <w:rFonts w:ascii="Arial" w:cs="Arial" w:eastAsia="Arial" w:hAnsi="Arial"/>
                <w:sz w:val="13"/>
                <w:szCs w:val="13"/>
                <w:color w:val="auto"/>
              </w:rPr>
              <w:t>Pro forma earnings per common share (Unaudited)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 (Unaudited)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26,632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26,798</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42,853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40,333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6"/>
            <w:vMerge w:val="restart"/>
          </w:tcPr>
          <w:p>
            <w:pPr>
              <w:jc w:val="center"/>
              <w:ind w:right="160"/>
              <w:spacing w:after="0"/>
              <w:rPr>
                <w:sz w:val="20"/>
                <w:szCs w:val="20"/>
                <w:color w:val="auto"/>
              </w:rPr>
            </w:pPr>
            <w:r>
              <w:rPr>
                <w:rFonts w:ascii="Arial" w:cs="Arial" w:eastAsia="Arial" w:hAnsi="Arial"/>
                <w:sz w:val="9"/>
                <w:szCs w:val="9"/>
                <w:b w:val="1"/>
                <w:bCs w:val="1"/>
                <w:color w:val="auto"/>
                <w:w w:val="92"/>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9"/>
                <w:szCs w:val="9"/>
                <w:b w:val="1"/>
                <w:bCs w:val="1"/>
                <w:color w:val="auto"/>
              </w:rPr>
              <w:t>Members’/Stockholders’ Deficit</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6"/>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7"/>
          </w:tcPr>
          <w:p>
            <w:pPr>
              <w:jc w:val="right"/>
              <w:ind w:right="320"/>
              <w:spacing w:after="0" w:line="75" w:lineRule="exact"/>
              <w:rPr>
                <w:sz w:val="20"/>
                <w:szCs w:val="20"/>
                <w:color w:val="auto"/>
              </w:rPr>
            </w:pPr>
            <w:r>
              <w:rPr>
                <w:rFonts w:ascii="Arial" w:cs="Arial" w:eastAsia="Arial" w:hAnsi="Arial"/>
                <w:sz w:val="8"/>
                <w:szCs w:val="8"/>
                <w:b w:val="1"/>
                <w:bCs w:val="1"/>
                <w:color w:val="auto"/>
              </w:rPr>
              <w:t>Series A Convertible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4"/>
          </w:tcPr>
          <w:p>
            <w:pPr>
              <w:jc w:val="center"/>
              <w:ind w:left="314"/>
              <w:spacing w:after="0" w:line="75" w:lineRule="exact"/>
              <w:rPr>
                <w:sz w:val="20"/>
                <w:szCs w:val="20"/>
                <w:color w:val="auto"/>
              </w:rPr>
            </w:pPr>
            <w:r>
              <w:rPr>
                <w:rFonts w:ascii="Arial" w:cs="Arial" w:eastAsia="Arial" w:hAnsi="Arial"/>
                <w:sz w:val="8"/>
                <w:szCs w:val="8"/>
                <w:b w:val="1"/>
                <w:bCs w:val="1"/>
                <w:color w:val="auto"/>
                <w:w w:val="99"/>
              </w:rPr>
              <w:t>Series B</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4"/>
          </w:tcPr>
          <w:p>
            <w:pPr>
              <w:jc w:val="center"/>
              <w:ind w:left="314"/>
              <w:spacing w:after="0" w:line="75" w:lineRule="exact"/>
              <w:rPr>
                <w:sz w:val="20"/>
                <w:szCs w:val="20"/>
                <w:color w:val="auto"/>
              </w:rPr>
            </w:pPr>
            <w:r>
              <w:rPr>
                <w:rFonts w:ascii="Arial" w:cs="Arial" w:eastAsia="Arial" w:hAnsi="Arial"/>
                <w:sz w:val="8"/>
                <w:szCs w:val="8"/>
                <w:b w:val="1"/>
                <w:bCs w:val="1"/>
                <w:color w:val="auto"/>
              </w:rPr>
              <w:t>Series C</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ind w:left="20"/>
              <w:spacing w:after="0" w:line="75"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48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7"/>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6"/>
          </w:tcPr>
          <w:p>
            <w:pPr>
              <w:jc w:val="center"/>
              <w:ind w:right="120"/>
              <w:spacing w:after="0"/>
              <w:rPr>
                <w:sz w:val="20"/>
                <w:szCs w:val="20"/>
                <w:color w:val="auto"/>
              </w:rPr>
            </w:pPr>
            <w:r>
              <w:rPr>
                <w:rFonts w:ascii="Arial" w:cs="Arial" w:eastAsia="Arial" w:hAnsi="Arial"/>
                <w:sz w:val="9"/>
                <w:szCs w:val="9"/>
                <w:b w:val="1"/>
                <w:bCs w:val="1"/>
                <w:color w:val="auto"/>
                <w:w w:val="92"/>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Borders>
              <w:right w:val="single" w:sz="8" w:color="auto"/>
            </w:tcBorders>
            <w:gridSpan w:val="7"/>
          </w:tcPr>
          <w:p>
            <w:pPr>
              <w:jc w:val="center"/>
              <w:ind w:right="260"/>
              <w:spacing w:after="0"/>
              <w:rPr>
                <w:sz w:val="20"/>
                <w:szCs w:val="20"/>
                <w:color w:val="auto"/>
              </w:rPr>
            </w:pPr>
            <w:r>
              <w:rPr>
                <w:rFonts w:ascii="Arial" w:cs="Arial" w:eastAsia="Arial" w:hAnsi="Arial"/>
                <w:sz w:val="9"/>
                <w:szCs w:val="9"/>
                <w:b w:val="1"/>
                <w:bCs w:val="1"/>
                <w:color w:val="auto"/>
                <w:w w:val="92"/>
              </w:rPr>
              <w:t>Preferred Stock</w:t>
            </w:r>
          </w:p>
        </w:tc>
        <w:tc>
          <w:tcPr>
            <w:tcW w:w="60" w:type="dxa"/>
            <w:vAlign w:val="bottom"/>
          </w:tcPr>
          <w:p>
            <w:pPr>
              <w:spacing w:after="0"/>
              <w:rPr>
                <w:sz w:val="9"/>
                <w:szCs w:val="9"/>
                <w:color w:val="auto"/>
              </w:rPr>
            </w:pPr>
          </w:p>
        </w:tc>
        <w:tc>
          <w:tcPr>
            <w:tcW w:w="108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rPr>
              <w:t>Membership Interests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gridSpan w:val="4"/>
          </w:tcPr>
          <w:p>
            <w:pPr>
              <w:ind w:left="60"/>
              <w:spacing w:after="0"/>
              <w:rPr>
                <w:sz w:val="20"/>
                <w:szCs w:val="20"/>
                <w:color w:val="auto"/>
              </w:rPr>
            </w:pPr>
            <w:r>
              <w:rPr>
                <w:rFonts w:ascii="Arial" w:cs="Arial" w:eastAsia="Arial" w:hAnsi="Arial"/>
                <w:sz w:val="9"/>
                <w:szCs w:val="9"/>
                <w:b w:val="1"/>
                <w:bCs w:val="1"/>
                <w:color w:val="auto"/>
              </w:rPr>
              <w:t>Paid-in</w:t>
            </w:r>
          </w:p>
        </w:tc>
        <w:tc>
          <w:tcPr>
            <w:tcW w:w="1180" w:type="dxa"/>
            <w:vAlign w:val="bottom"/>
            <w:gridSpan w:val="8"/>
          </w:tcPr>
          <w:p>
            <w:pPr>
              <w:spacing w:after="0"/>
              <w:rPr>
                <w:sz w:val="20"/>
                <w:szCs w:val="20"/>
                <w:color w:val="auto"/>
              </w:rPr>
            </w:pPr>
            <w:r>
              <w:rPr>
                <w:rFonts w:ascii="Arial" w:cs="Arial" w:eastAsia="Arial" w:hAnsi="Arial"/>
                <w:sz w:val="9"/>
                <w:szCs w:val="9"/>
                <w:b w:val="1"/>
                <w:bCs w:val="1"/>
                <w:color w:val="auto"/>
                <w:w w:val="91"/>
              </w:rPr>
              <w:t>Comprehensive Accumulated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7"/>
              </w:rPr>
              <w:t>Units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92"/>
              </w:rPr>
              <w:t>Par Value</w:t>
            </w:r>
          </w:p>
        </w:tc>
        <w:tc>
          <w:tcPr>
            <w:tcW w:w="20" w:type="dxa"/>
            <w:vAlign w:val="bottom"/>
          </w:tcPr>
          <w:p>
            <w:pPr>
              <w:spacing w:after="0"/>
              <w:rPr>
                <w:sz w:val="7"/>
                <w:szCs w:val="7"/>
                <w:color w:val="auto"/>
              </w:rPr>
            </w:pPr>
          </w:p>
        </w:tc>
        <w:tc>
          <w:tcPr>
            <w:tcW w:w="400" w:type="dxa"/>
            <w:vAlign w:val="bottom"/>
            <w:tcBorders>
              <w:bottom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5"/>
              </w:rPr>
              <w:t>Income</w:t>
            </w: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14"/>
              <w:spacing w:after="0" w:line="88" w:lineRule="exact"/>
              <w:rPr>
                <w:sz w:val="20"/>
                <w:szCs w:val="20"/>
                <w:color w:val="auto"/>
              </w:rPr>
            </w:pPr>
            <w:r>
              <w:rPr>
                <w:rFonts w:ascii="Arial" w:cs="Arial" w:eastAsia="Arial" w:hAnsi="Arial"/>
                <w:sz w:val="9"/>
                <w:szCs w:val="9"/>
                <w:b w:val="1"/>
                <w:bCs w:val="1"/>
                <w:color w:val="auto"/>
                <w:w w:val="87"/>
              </w:rPr>
              <w:t>Deficit</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28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2004</w:t>
            </w:r>
          </w:p>
        </w:tc>
        <w:tc>
          <w:tcPr>
            <w:tcW w:w="160" w:type="dxa"/>
            <w:vAlign w:val="bottom"/>
            <w:shd w:val="clear" w:color="auto" w:fill="CCEEFF"/>
          </w:tcPr>
          <w:p>
            <w:pPr>
              <w:spacing w:after="0"/>
              <w:rPr>
                <w:sz w:val="7"/>
                <w:szCs w:val="7"/>
                <w:color w:val="auto"/>
              </w:rPr>
            </w:pPr>
          </w:p>
        </w:tc>
        <w:tc>
          <w:tcPr>
            <w:tcW w:w="5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20" w:type="dxa"/>
            <w:vAlign w:val="bottom"/>
            <w:tcBorders>
              <w:right w:val="single" w:sz="8" w:color="auto"/>
            </w:tcBorders>
            <w:gridSpan w:val="3"/>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620" w:type="dxa"/>
            <w:vAlign w:val="bottom"/>
            <w:gridSpan w:val="3"/>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1,000,000</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w w:val="97"/>
              </w:rPr>
              <w:t>8,567</w:t>
            </w: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CCEEFF"/>
            </w:tcBorders>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88" w:lineRule="exact"/>
              <w:rPr>
                <w:sz w:val="20"/>
                <w:szCs w:val="20"/>
                <w:color w:val="auto"/>
              </w:rPr>
            </w:pPr>
            <w:r>
              <w:rPr>
                <w:rFonts w:ascii="Arial" w:cs="Arial" w:eastAsia="Arial" w:hAnsi="Arial"/>
                <w:sz w:val="9"/>
                <w:szCs w:val="9"/>
                <w:color w:val="auto"/>
              </w:rPr>
              <w:t>$(16,212)</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(7,645)</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Distribution to members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(240)</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(240)</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Exchange of membership interests for common shares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(1,000,000)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(8,327)</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18,260,000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8,144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w w:val="96"/>
              </w:rPr>
              <w:t>Conversion of Promissory Notes into Series A Convertible Preferred Stock</w:t>
            </w:r>
          </w:p>
        </w:tc>
        <w:tc>
          <w:tcPr>
            <w:tcW w:w="6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4,329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14,000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services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593,450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400" w:type="dxa"/>
            <w:vAlign w:val="bottom"/>
            <w:tcBorders>
              <w:right w:val="single" w:sz="8" w:color="auto"/>
            </w:tcBorders>
            <w:gridSpan w:val="26"/>
          </w:tcPr>
          <w:p>
            <w:pPr>
              <w:spacing w:after="0" w:line="88" w:lineRule="exact"/>
              <w:rPr>
                <w:sz w:val="20"/>
                <w:szCs w:val="20"/>
                <w:color w:val="auto"/>
              </w:rPr>
            </w:pPr>
            <w:r>
              <w:rPr>
                <w:rFonts w:ascii="Arial" w:cs="Arial" w:eastAsia="Arial" w:hAnsi="Arial"/>
                <w:sz w:val="9"/>
                <w:szCs w:val="9"/>
                <w:color w:val="auto"/>
                <w:w w:val="96"/>
              </w:rPr>
              <w:t>Issuance of Series A Convertible Preferred Stock for cash, net of issuance</w:t>
            </w:r>
          </w:p>
        </w:tc>
        <w:tc>
          <w:tcPr>
            <w:tcW w:w="4060" w:type="dxa"/>
            <w:vAlign w:val="bottom"/>
            <w:gridSpan w:val="3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80" w:type="dxa"/>
            <w:vAlign w:val="bottom"/>
          </w:tcPr>
          <w:p>
            <w:pPr>
              <w:ind w:left="100"/>
              <w:spacing w:after="0"/>
              <w:rPr>
                <w:sz w:val="20"/>
                <w:szCs w:val="20"/>
                <w:color w:val="auto"/>
              </w:rPr>
            </w:pPr>
            <w:r>
              <w:rPr>
                <w:rFonts w:ascii="Arial" w:cs="Arial" w:eastAsia="Arial" w:hAnsi="Arial"/>
                <w:sz w:val="9"/>
                <w:szCs w:val="9"/>
                <w:color w:val="auto"/>
              </w:rPr>
              <w:t>costs of $639</w:t>
            </w:r>
          </w:p>
        </w:tc>
        <w:tc>
          <w:tcPr>
            <w:tcW w:w="620" w:type="dxa"/>
            <w:vAlign w:val="bottom"/>
            <w:gridSpan w:val="3"/>
          </w:tcPr>
          <w:p>
            <w:pPr>
              <w:jc w:val="right"/>
              <w:ind w:right="20"/>
              <w:spacing w:after="0"/>
              <w:rPr>
                <w:sz w:val="20"/>
                <w:szCs w:val="20"/>
                <w:color w:val="auto"/>
              </w:rPr>
            </w:pPr>
            <w:r>
              <w:rPr>
                <w:rFonts w:ascii="Arial" w:cs="Arial" w:eastAsia="Arial" w:hAnsi="Arial"/>
                <w:sz w:val="9"/>
                <w:szCs w:val="9"/>
                <w:color w:val="auto"/>
              </w:rPr>
              <w:t>1,624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4,610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5"/>
              </w:rPr>
              <w:t>Issuance of Series B Preferred Stock for cash, net of issuance costs of $20</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Net loss (Restated)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74"/>
              <w:spacing w:after="0" w:line="98" w:lineRule="exact"/>
              <w:rPr>
                <w:sz w:val="20"/>
                <w:szCs w:val="20"/>
                <w:color w:val="auto"/>
              </w:rPr>
            </w:pPr>
            <w:r>
              <w:rPr>
                <w:rFonts w:ascii="Arial" w:cs="Arial" w:eastAsia="Arial" w:hAnsi="Arial"/>
                <w:sz w:val="9"/>
                <w:szCs w:val="9"/>
                <w:color w:val="auto"/>
              </w:rPr>
              <w:t>(4,286)</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(4,286)</w:t>
            </w:r>
          </w:p>
        </w:tc>
        <w:tc>
          <w:tcPr>
            <w:tcW w:w="0" w:type="dxa"/>
            <w:vAlign w:val="bottom"/>
          </w:tcPr>
          <w:p>
            <w:pPr>
              <w:spacing w:after="0"/>
              <w:rPr>
                <w:sz w:val="1"/>
                <w:szCs w:val="1"/>
                <w:color w:val="auto"/>
              </w:rPr>
            </w:pPr>
          </w:p>
        </w:tc>
      </w:tr>
      <w:tr>
        <w:trPr>
          <w:trHeight w:val="20"/>
        </w:trPr>
        <w:tc>
          <w:tcPr>
            <w:tcW w:w="3820" w:type="dxa"/>
            <w:vAlign w:val="bottom"/>
            <w:tcBorders>
              <w:right w:val="single" w:sz="8" w:color="auto"/>
            </w:tcBorders>
            <w:gridSpan w:val="7"/>
          </w:tcPr>
          <w:p>
            <w:pPr>
              <w:spacing w:after="0" w:line="20" w:lineRule="exact"/>
              <w:rPr>
                <w:sz w:val="1"/>
                <w:szCs w:val="1"/>
                <w:color w:val="auto"/>
              </w:rPr>
            </w:pPr>
          </w:p>
        </w:tc>
        <w:tc>
          <w:tcPr>
            <w:tcW w:w="3580" w:type="dxa"/>
            <w:vAlign w:val="bottom"/>
            <w:tcBorders>
              <w:right w:val="single" w:sz="8" w:color="auto"/>
            </w:tcBorders>
            <w:gridSpan w:val="19"/>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2005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74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18,853,450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8,198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(20,498)</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(12,111)</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94"/>
              <w:spacing w:after="0" w:line="98" w:lineRule="exact"/>
              <w:rPr>
                <w:sz w:val="20"/>
                <w:szCs w:val="20"/>
                <w:color w:val="auto"/>
              </w:rPr>
            </w:pPr>
            <w:r>
              <w:rPr>
                <w:rFonts w:ascii="Arial" w:cs="Arial" w:eastAsia="Arial" w:hAnsi="Arial"/>
                <w:sz w:val="9"/>
                <w:szCs w:val="9"/>
                <w:color w:val="auto"/>
              </w:rPr>
              <w:t>598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598</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$23</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w:t>
            </w:r>
          </w:p>
        </w:tc>
        <w:tc>
          <w:tcPr>
            <w:tcW w:w="4060" w:type="dxa"/>
            <w:vAlign w:val="bottom"/>
            <w:gridSpan w:val="32"/>
          </w:tcPr>
          <w:p>
            <w:pPr>
              <w:jc w:val="right"/>
              <w:ind w:right="4060"/>
              <w:spacing w:after="0"/>
              <w:rPr>
                <w:sz w:val="20"/>
                <w:szCs w:val="20"/>
                <w:color w:val="auto"/>
              </w:rPr>
            </w:pPr>
            <w:r>
              <w:rPr>
                <w:rFonts w:ascii="Arial" w:cs="Arial" w:eastAsia="Arial" w:hAnsi="Arial"/>
                <w:sz w:val="9"/>
                <w:szCs w:val="9"/>
                <w:color w:val="auto"/>
              </w:rPr>
              <w:t>633</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Redemption of Series B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(1,298)</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Value assigned to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282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282</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(527)</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Balance at December 31, 2006 (Restated)</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865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18,853,450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7,953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7"/>
              </w:rPr>
              <w:t>(19,900)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$30</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20" w:type="dxa"/>
            <w:vAlign w:val="bottom"/>
            <w:tcBorders>
              <w:right w:val="single" w:sz="8" w:color="CCEEFF"/>
            </w:tcBorders>
            <w:gridSpan w:val="7"/>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3580" w:type="dxa"/>
            <w:vAlign w:val="bottom"/>
            <w:tcBorders>
              <w:right w:val="single" w:sz="8" w:color="auto"/>
            </w:tcBorders>
            <w:gridSpan w:val="19"/>
            <w:shd w:val="clear" w:color="auto" w:fill="CCEEFF"/>
          </w:tcPr>
          <w:p>
            <w:pPr>
              <w:spacing w:after="0"/>
              <w:rPr>
                <w:sz w:val="8"/>
                <w:szCs w:val="8"/>
                <w:color w:val="auto"/>
              </w:rPr>
            </w:pPr>
          </w:p>
        </w:tc>
        <w:tc>
          <w:tcPr>
            <w:tcW w:w="1820" w:type="dxa"/>
            <w:vAlign w:val="bottom"/>
            <w:tcBorders>
              <w:right w:val="single" w:sz="8" w:color="CCEEFF"/>
            </w:tcBorders>
            <w:gridSpan w:val="14"/>
            <w:shd w:val="clear" w:color="auto" w:fill="CCEEFF"/>
          </w:tcPr>
          <w:p>
            <w:pPr>
              <w:spacing w:after="0"/>
              <w:rPr>
                <w:sz w:val="8"/>
                <w:szCs w:val="8"/>
                <w:color w:val="auto"/>
              </w:rPr>
            </w:pPr>
          </w:p>
        </w:tc>
        <w:tc>
          <w:tcPr>
            <w:tcW w:w="380" w:type="dxa"/>
            <w:vAlign w:val="bottom"/>
            <w:tcBorders>
              <w:right w:val="single" w:sz="8" w:color="CCEEFF"/>
            </w:tcBorders>
            <w:gridSpan w:val="4"/>
            <w:shd w:val="clear" w:color="auto" w:fill="CCEEFF"/>
          </w:tcPr>
          <w:p>
            <w:pPr>
              <w:spacing w:after="0"/>
              <w:rPr>
                <w:sz w:val="8"/>
                <w:szCs w:val="8"/>
                <w:color w:val="auto"/>
              </w:rPr>
            </w:pPr>
          </w:p>
        </w:tc>
        <w:tc>
          <w:tcPr>
            <w:tcW w:w="1860" w:type="dxa"/>
            <w:vAlign w:val="bottom"/>
            <w:gridSpan w:val="14"/>
            <w:shd w:val="clear" w:color="auto" w:fill="CCEEFF"/>
          </w:tcPr>
          <w:p>
            <w:pPr>
              <w:jc w:val="right"/>
              <w:ind w:right="1860"/>
              <w:spacing w:after="0"/>
              <w:rPr>
                <w:sz w:val="20"/>
                <w:szCs w:val="20"/>
                <w:color w:val="auto"/>
              </w:rPr>
            </w:pPr>
            <w:r>
              <w:rPr>
                <w:rFonts w:ascii="Arial" w:cs="Arial" w:eastAsia="Arial" w:hAnsi="Arial"/>
                <w:sz w:val="9"/>
                <w:szCs w:val="9"/>
                <w:color w:val="auto"/>
              </w:rPr>
              <w:t>1,570</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Conversion of Series B Preferred Stock to</w:t>
            </w:r>
          </w:p>
        </w:tc>
        <w:tc>
          <w:tcPr>
            <w:tcW w:w="406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Series C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(865)</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(2,780)</w:t>
            </w:r>
          </w:p>
        </w:tc>
        <w:tc>
          <w:tcPr>
            <w:tcW w:w="74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2,780</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Payment of amounts due to related party with Series C Preferred Stock</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5"/>
              </w:rPr>
              <w:t>Issuance of Series C Preferred Stock for cash, net of issuance costs of $36</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2,995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10,409</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Issuance of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w:t>
            </w: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Accretion of Series C Preferred Stock Dividend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820" w:type="dxa"/>
            <w:vAlign w:val="bottom"/>
            <w:tcBorders>
              <w:right w:val="single" w:sz="8" w:color="auto"/>
            </w:tcBorders>
            <w:gridSpan w:val="7"/>
          </w:tcPr>
          <w:p>
            <w:pPr>
              <w:spacing w:after="0" w:line="20" w:lineRule="exact"/>
              <w:rPr>
                <w:sz w:val="1"/>
                <w:szCs w:val="1"/>
                <w:color w:val="auto"/>
              </w:rPr>
            </w:pPr>
          </w:p>
        </w:tc>
        <w:tc>
          <w:tcPr>
            <w:tcW w:w="3580" w:type="dxa"/>
            <w:vAlign w:val="bottom"/>
            <w:tcBorders>
              <w:right w:val="single" w:sz="8" w:color="auto"/>
            </w:tcBorders>
            <w:gridSpan w:val="19"/>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2007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13,338</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19,036,050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190</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7,719</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79</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(18,374)</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(10,386)</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Net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color w:val="auto"/>
              </w:rPr>
              <w:t>3,224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3,224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2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rPr>
              <w:t>Unrealized losses on available for-sale securities, net of taxes of $49</w:t>
            </w:r>
          </w:p>
        </w:tc>
        <w:tc>
          <w:tcPr>
            <w:tcW w:w="3580" w:type="dxa"/>
            <w:vAlign w:val="bottom"/>
            <w:tcBorders>
              <w:right w:val="single" w:sz="8" w:color="auto"/>
            </w:tcBorders>
            <w:gridSpan w:val="19"/>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820" w:type="dxa"/>
            <w:vAlign w:val="bottom"/>
            <w:tcBorders>
              <w:right w:val="single" w:sz="8" w:color="CCEEFF"/>
            </w:tcBorders>
            <w:gridSpan w:val="7"/>
            <w:shd w:val="clear" w:color="auto" w:fill="CCEEFF"/>
          </w:tcPr>
          <w:p>
            <w:pPr>
              <w:ind w:left="100"/>
              <w:spacing w:after="0"/>
              <w:rPr>
                <w:sz w:val="20"/>
                <w:szCs w:val="20"/>
                <w:color w:val="auto"/>
              </w:rPr>
            </w:pPr>
            <w:r>
              <w:rPr>
                <w:rFonts w:ascii="Arial" w:cs="Arial" w:eastAsia="Arial" w:hAnsi="Arial"/>
                <w:sz w:val="9"/>
                <w:szCs w:val="9"/>
                <w:color w:val="auto"/>
              </w:rPr>
              <w:t>(unaudited)</w:t>
            </w:r>
          </w:p>
        </w:tc>
        <w:tc>
          <w:tcPr>
            <w:tcW w:w="3580" w:type="dxa"/>
            <w:vAlign w:val="bottom"/>
            <w:tcBorders>
              <w:right w:val="single" w:sz="8" w:color="auto"/>
            </w:tcBorders>
            <w:gridSpan w:val="19"/>
            <w:shd w:val="clear" w:color="auto" w:fill="CCEEFF"/>
          </w:tcPr>
          <w:p>
            <w:pPr>
              <w:spacing w:after="0"/>
              <w:rPr>
                <w:sz w:val="9"/>
                <w:szCs w:val="9"/>
                <w:color w:val="auto"/>
              </w:rPr>
            </w:pPr>
          </w:p>
        </w:tc>
        <w:tc>
          <w:tcPr>
            <w:tcW w:w="1820" w:type="dxa"/>
            <w:vAlign w:val="bottom"/>
            <w:tcBorders>
              <w:right w:val="single" w:sz="8" w:color="CCEEFF"/>
            </w:tcBorders>
            <w:gridSpan w:val="14"/>
            <w:shd w:val="clear" w:color="auto" w:fill="CCEEFF"/>
          </w:tcPr>
          <w:p>
            <w:pPr>
              <w:spacing w:after="0"/>
              <w:rPr>
                <w:sz w:val="9"/>
                <w:szCs w:val="9"/>
                <w:color w:val="auto"/>
              </w:rPr>
            </w:pPr>
          </w:p>
        </w:tc>
        <w:tc>
          <w:tcPr>
            <w:tcW w:w="380" w:type="dxa"/>
            <w:vAlign w:val="bottom"/>
            <w:tcBorders>
              <w:right w:val="single" w:sz="8" w:color="CCEEFF"/>
            </w:tcBorders>
            <w:gridSpan w:val="4"/>
            <w:shd w:val="clear" w:color="auto" w:fill="CCEEFF"/>
          </w:tcPr>
          <w:p>
            <w:pPr>
              <w:spacing w:after="0"/>
              <w:rPr>
                <w:sz w:val="9"/>
                <w:szCs w:val="9"/>
                <w:color w:val="auto"/>
              </w:rPr>
            </w:pPr>
          </w:p>
        </w:tc>
        <w:tc>
          <w:tcPr>
            <w:tcW w:w="1540" w:type="dxa"/>
            <w:vAlign w:val="bottom"/>
            <w:gridSpan w:val="12"/>
            <w:shd w:val="clear" w:color="auto" w:fill="CCEEFF"/>
          </w:tcPr>
          <w:p>
            <w:pPr>
              <w:jc w:val="right"/>
              <w:ind w:right="1517"/>
              <w:spacing w:after="0"/>
              <w:rPr>
                <w:sz w:val="20"/>
                <w:szCs w:val="20"/>
                <w:color w:val="auto"/>
              </w:rPr>
            </w:pPr>
            <w:r>
              <w:rPr>
                <w:rFonts w:ascii="Arial" w:cs="Arial" w:eastAsia="Arial" w:hAnsi="Arial"/>
                <w:sz w:val="9"/>
                <w:szCs w:val="9"/>
                <w:color w:val="auto"/>
              </w:rPr>
              <w:t>(69)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(69)</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Comprehensive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Undeclared dividends on Series C Preferred Stock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521</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(521)</w:t>
            </w:r>
          </w:p>
        </w:tc>
        <w:tc>
          <w:tcPr>
            <w:tcW w:w="0" w:type="dxa"/>
            <w:vAlign w:val="bottom"/>
          </w:tcPr>
          <w:p>
            <w:pPr>
              <w:spacing w:after="0"/>
              <w:rPr>
                <w:sz w:val="1"/>
                <w:szCs w:val="1"/>
                <w:color w:val="auto"/>
              </w:rPr>
            </w:pPr>
          </w:p>
        </w:tc>
      </w:tr>
      <w:tr>
        <w:trPr>
          <w:trHeight w:val="98"/>
        </w:trPr>
        <w:tc>
          <w:tcPr>
            <w:tcW w:w="2880" w:type="dxa"/>
            <w:vAlign w:val="bottom"/>
          </w:tcPr>
          <w:p>
            <w:pPr>
              <w:spacing w:after="0" w:line="98" w:lineRule="exact"/>
              <w:rPr>
                <w:sz w:val="20"/>
                <w:szCs w:val="20"/>
                <w:color w:val="auto"/>
              </w:rPr>
            </w:pPr>
            <w:r>
              <w:rPr>
                <w:rFonts w:ascii="Arial" w:cs="Arial" w:eastAsia="Arial" w:hAnsi="Arial"/>
                <w:sz w:val="9"/>
                <w:szCs w:val="9"/>
                <w:color w:val="auto"/>
              </w:rPr>
              <w:t>Issuance of Blanchard shares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7"/>
              </w:rPr>
              <w:t>2,994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2,996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Cancellation of IAS warrant, net of $2,316 deferred taxes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83"/>
              </w:rPr>
              <w:t>(3,684)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(3,684)</w:t>
            </w:r>
          </w:p>
        </w:tc>
        <w:tc>
          <w:tcPr>
            <w:tcW w:w="0" w:type="dxa"/>
            <w:vAlign w:val="bottom"/>
          </w:tcPr>
          <w:p>
            <w:pPr>
              <w:spacing w:after="0"/>
              <w:rPr>
                <w:sz w:val="1"/>
                <w:szCs w:val="1"/>
                <w:color w:val="auto"/>
              </w:rPr>
            </w:pPr>
          </w:p>
        </w:tc>
      </w:tr>
      <w:tr>
        <w:trPr>
          <w:trHeight w:val="117"/>
        </w:trPr>
        <w:tc>
          <w:tcPr>
            <w:tcW w:w="2880" w:type="dxa"/>
            <w:vAlign w:val="bottom"/>
          </w:tcPr>
          <w:p>
            <w:pPr>
              <w:spacing w:after="0" w:line="98" w:lineRule="exact"/>
              <w:rPr>
                <w:sz w:val="20"/>
                <w:szCs w:val="20"/>
                <w:color w:val="auto"/>
              </w:rPr>
            </w:pPr>
            <w:r>
              <w:rPr>
                <w:rFonts w:ascii="Arial" w:cs="Arial" w:eastAsia="Arial" w:hAnsi="Arial"/>
                <w:sz w:val="9"/>
                <w:szCs w:val="9"/>
                <w:color w:val="auto"/>
              </w:rPr>
              <w:t>Balance at June 30, 2008 (unaudited)</w:t>
            </w: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13,859</w:t>
            </w: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60" w:type="dxa"/>
            <w:vAlign w:val="bottom"/>
            <w:gridSpan w:val="2"/>
          </w:tcPr>
          <w:p>
            <w:pPr>
              <w:ind w:left="100"/>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19,218,650</w:t>
            </w:r>
          </w:p>
        </w:tc>
        <w:tc>
          <w:tcPr>
            <w:tcW w:w="40" w:type="dxa"/>
            <w:vAlign w:val="bottom"/>
          </w:tcPr>
          <w:p>
            <w:pPr>
              <w:spacing w:after="0"/>
              <w:rPr>
                <w:sz w:val="10"/>
                <w:szCs w:val="10"/>
                <w:color w:val="auto"/>
              </w:rPr>
            </w:pPr>
          </w:p>
        </w:tc>
        <w:tc>
          <w:tcPr>
            <w:tcW w:w="180" w:type="dxa"/>
            <w:vAlign w:val="bottom"/>
            <w:gridSpan w:val="2"/>
          </w:tcPr>
          <w:p>
            <w:pPr>
              <w:jc w:val="right"/>
              <w:ind w:right="14"/>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192</w:t>
            </w:r>
          </w:p>
        </w:tc>
        <w:tc>
          <w:tcPr>
            <w:tcW w:w="60" w:type="dxa"/>
            <w:vAlign w:val="bottom"/>
          </w:tcPr>
          <w:p>
            <w:pPr>
              <w:spacing w:after="0"/>
              <w:rPr>
                <w:sz w:val="10"/>
                <w:szCs w:val="10"/>
                <w:color w:val="auto"/>
              </w:rPr>
            </w:pP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6,508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w:t>
            </w:r>
          </w:p>
        </w:tc>
        <w:tc>
          <w:tcPr>
            <w:tcW w:w="140" w:type="dxa"/>
            <w:vAlign w:val="bottom"/>
          </w:tcPr>
          <w:p>
            <w:pPr>
              <w:spacing w:after="0"/>
              <w:rPr>
                <w:sz w:val="10"/>
                <w:szCs w:val="10"/>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5"/>
              </w:rPr>
              <w:t>(15,150</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(8,440)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1100" w:type="dxa"/>
            <w:vAlign w:val="bottom"/>
            <w:gridSpan w:val="5"/>
          </w:tcPr>
          <w:p>
            <w:pPr>
              <w:ind w:left="20"/>
              <w:spacing w:after="0"/>
              <w:rPr>
                <w:sz w:val="20"/>
                <w:szCs w:val="20"/>
                <w:color w:val="auto"/>
              </w:rPr>
            </w:pPr>
            <w:r>
              <w:rPr>
                <w:rFonts w:ascii="Arial" w:cs="Arial" w:eastAsia="Arial" w:hAnsi="Arial"/>
                <w:sz w:val="10"/>
                <w:szCs w:val="10"/>
                <w:b w:val="1"/>
                <w:bCs w:val="1"/>
                <w:color w:val="auto"/>
              </w:rPr>
              <w:t>Six Months June 30,</w:t>
            </w:r>
          </w:p>
        </w:tc>
      </w:tr>
      <w:tr>
        <w:trPr>
          <w:trHeight w:val="98"/>
        </w:trPr>
        <w:tc>
          <w:tcPr>
            <w:tcW w:w="70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7"/>
              </w:rPr>
              <w:t>(Restated)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71"/>
              </w:rPr>
              <w:t>(Unaudited)</w:t>
            </w:r>
          </w:p>
        </w:tc>
        <w:tc>
          <w:tcPr>
            <w:tcW w:w="100" w:type="dxa"/>
            <w:vAlign w:val="bottom"/>
          </w:tcPr>
          <w:p>
            <w:pPr>
              <w:spacing w:after="0"/>
              <w:rPr>
                <w:sz w:val="11"/>
                <w:szCs w:val="11"/>
                <w:color w:val="auto"/>
              </w:rPr>
            </w:pPr>
          </w:p>
        </w:tc>
      </w:tr>
      <w:tr>
        <w:trPr>
          <w:trHeight w:val="11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(4,286)</w:t>
            </w:r>
          </w:p>
        </w:tc>
        <w:tc>
          <w:tcPr>
            <w:tcW w:w="1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901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3,224</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4,664</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6,257</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3,185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4,052</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1,473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(2,148)</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(186)</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(112)</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(8,573)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(4,139)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(3,868)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(442)</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(230)</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(266)</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Due to/from related parties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(257)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1,663</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(204)</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1,098</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576</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Income taxes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(2,294)</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(2,353)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1,405</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revenue and student deposits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2,165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604</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royalties to former owner</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(5,920)</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Royalty payable to former owner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2,678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3,782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1,629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(7,428)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Deposit with former owner</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3,000</w:t>
            </w: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7,103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3,792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(1,264)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(2,387)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(3,234)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(3,983)</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Purchases of investments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(2,499)</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 or maturity of 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2,470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(9,969)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6,658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(7,555)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(3,296)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(4,012)</w:t>
            </w: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Principal payments on notes payable and capital lease obligations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(1,179)</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(1,230)</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(623)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(719)</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 on line of credit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line of credit and other debt obligations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Institute Warrant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Repayment of Institute Note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(1,250)</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proceeds from issuances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related party payable on preferred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4,200</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5,725</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Distributions to members and dividends on preferred stock</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(497)</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(125)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Amounts paid related to initial public offering</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(2,484)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16,044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(1,676)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9,301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(748)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(10,728)</w:t>
            </w: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11,782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(252)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(16,004)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3,476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2,579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7"/>
              </w:rPr>
              <w:t>14,361</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w w:val="97"/>
              </w:rPr>
              <w:t>14,361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23,210</w:t>
            </w: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14,361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23,210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14,109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7,206</w:t>
            </w: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during the year for: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Interest paid</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2,994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2,523</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2,645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1,318</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2,382</w:t>
            </w:r>
          </w:p>
        </w:tc>
      </w:tr>
      <w:tr>
        <w:trPr>
          <w:trHeight w:val="34"/>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23"/>
        </w:trPr>
        <w:tc>
          <w:tcPr>
            <w:tcW w:w="7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Income taxes paid</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397</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4,964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13" w:lineRule="exact"/>
              <w:rPr>
                <w:sz w:val="20"/>
                <w:szCs w:val="20"/>
                <w:color w:val="auto"/>
              </w:rPr>
            </w:pPr>
            <w:r>
              <w:rPr>
                <w:rFonts w:ascii="Arial" w:cs="Arial" w:eastAsia="Arial" w:hAnsi="Arial"/>
                <w:sz w:val="10"/>
                <w:szCs w:val="10"/>
                <w:color w:val="auto"/>
              </w:rPr>
              <w:t>3,000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762</w:t>
            </w: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equipment through capital lease obligations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858</w:t>
            </w:r>
          </w:p>
        </w:tc>
        <w:tc>
          <w:tcPr>
            <w:tcW w:w="1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365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760</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B and Series C preferred stock for notes receivable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5,725</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senior secured notes to Series A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Exchange of membership interest into common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Receipt of marketable securities for Series B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C preferred stock for settlement of balances owed</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Accretion of dividends on Series C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521</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Value assigned to Blanchard shares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116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2,996</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Assumption of future obligations under gift annuities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887</w:t>
            </w:r>
          </w:p>
        </w:tc>
      </w:tr>
      <w:tr>
        <w:trPr>
          <w:trHeight w:val="131"/>
        </w:trPr>
        <w:tc>
          <w:tcPr>
            <w:tcW w:w="7000" w:type="dxa"/>
            <w:vAlign w:val="bottom"/>
          </w:tcPr>
          <w:p>
            <w:pPr>
              <w:ind w:left="120"/>
              <w:spacing w:after="0"/>
              <w:rPr>
                <w:sz w:val="20"/>
                <w:szCs w:val="20"/>
                <w:color w:val="auto"/>
              </w:rPr>
            </w:pPr>
            <w:r>
              <w:rPr>
                <w:rFonts w:ascii="Arial" w:cs="Arial" w:eastAsia="Arial" w:hAnsi="Arial"/>
                <w:sz w:val="10"/>
                <w:szCs w:val="10"/>
                <w:color w:val="auto"/>
              </w:rPr>
              <w:t>Deferred tax on repurchase of Institute Warrant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(2,316)</w:t>
            </w:r>
          </w:p>
        </w:tc>
      </w:tr>
    </w:tbl>
    <w:p>
      <w:pPr>
        <w:spacing w:after="0" w:line="17"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w:t>
      </w:r>
    </w:p>
    <w:p>
      <w:pPr>
        <w:spacing w:after="0" w:line="140" w:lineRule="exact"/>
        <w:rPr>
          <w:sz w:val="20"/>
          <w:szCs w:val="20"/>
          <w:color w:val="auto"/>
        </w:rPr>
      </w:pPr>
    </w:p>
    <w:p>
      <w:pPr>
        <w:ind w:left="1000" w:hanging="313"/>
        <w:spacing w:after="0"/>
        <w:tabs>
          <w:tab w:leader="none" w:pos="100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The accompanying unaudited interim financial statements as of June 30, 2008 and for the six month periods ended June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New Accounting Standards</w:t>
      </w:r>
      <w:r>
        <w:rPr>
          <w:rFonts w:ascii="Arial" w:cs="Arial" w:eastAsia="Arial" w:hAnsi="Arial"/>
          <w:sz w:val="12"/>
          <w:szCs w:val="12"/>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30" w:lineRule="exact"/>
        <w:rPr>
          <w:sz w:val="20"/>
          <w:szCs w:val="20"/>
          <w:color w:val="auto"/>
        </w:rPr>
      </w:pPr>
    </w:p>
    <w:p>
      <w:pPr>
        <w:ind w:left="1000" w:hanging="313"/>
        <w:spacing w:after="0"/>
        <w:tabs>
          <w:tab w:leader="none" w:pos="100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280" w:right="180" w:hanging="190"/>
        <w:spacing w:after="0" w:line="32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repurchase of the Institute Warrant;</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acquisition by the Company of the real property and related building located on the Campus that was owned by the Institute and not transferred in connection with the Ancillary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the April 15, 2008 Settlement of the Standstill Agreement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1"/>
              </w:rPr>
              <w:t>in thousands)</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Payment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Optional Payment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19,500</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Payment to be allocated</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166"/>
        </w:trPr>
        <w:tc>
          <w:tcPr>
            <w:tcW w:w="120" w:type="dxa"/>
            <w:vAlign w:val="bottom"/>
          </w:tcPr>
          <w:p>
            <w:pPr>
              <w:spacing w:after="0"/>
              <w:rPr>
                <w:sz w:val="20"/>
                <w:szCs w:val="20"/>
                <w:color w:val="auto"/>
              </w:rPr>
            </w:pPr>
            <w:r>
              <w:rPr>
                <w:rFonts w:ascii="Arial" w:cs="Arial" w:eastAsia="Arial" w:hAnsi="Arial"/>
                <w:sz w:val="13"/>
                <w:szCs w:val="13"/>
                <w:i w:val="1"/>
                <w:iCs w:val="1"/>
                <w:color w:val="auto"/>
                <w:w w:val="86"/>
              </w:rPr>
              <w:t>1)</w:t>
            </w:r>
          </w:p>
        </w:tc>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Obligations settled</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royalties due under Royalty Agreement (as of April 15, 2008)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8,730</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—Repurchase of Institute Warrant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Institute Loan, including accrued interest</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—Other amounts due to the Institute</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2)</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assumed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—Assumption of gift annuities obligation, at fair value</w:t>
            </w:r>
          </w:p>
        </w:tc>
        <w:tc>
          <w:tcPr>
            <w:tcW w:w="3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(887)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3)</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 to be allocated to assets acquired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—Real property and prepaid royalty asset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6,073</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fair value estimates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3"/>
          <w:szCs w:val="13"/>
          <w:i w:val="1"/>
          <w:iCs w:val="1"/>
          <w:color w:val="auto"/>
        </w:rPr>
        <w:t>i.e.</w:t>
      </w:r>
      <w:r>
        <w:rPr>
          <w:rFonts w:ascii="Arial" w:cs="Arial" w:eastAsia="Arial" w:hAnsi="Arial"/>
          <w:sz w:val="13"/>
          <w:szCs w:val="13"/>
          <w:color w:val="auto"/>
        </w:rPr>
        <w:t>, land) and related building acquired from the Institute in the transaction as an asset at the option exercise date and these assets totaling $129 and $24, respectively, have been classified within “Property and Equipment” on our balance sheet at June 30, 2008.</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$5,920 value of the settlement of future royalty payment obligations to the Institute was determined based on its relative fair value at the option exercise date and is included in the accompanying balance sheet at June 30, 2008 as a “Prepaid Royalty,” and will be amortized over a period of 20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of prior year amounts have been made to the prior year balances to conform to the current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At June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53"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also Note 3, “Restatement of Financial Statements,” for the discussion of the restatement to the allowance for doubtful accounts.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six months ended June 30, 2007 and 2008 are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Six Months Ended June 30,</w:t>
            </w:r>
          </w:p>
        </w:tc>
      </w:tr>
      <w:tr>
        <w:trPr>
          <w:trHeight w:val="98"/>
        </w:trPr>
        <w:tc>
          <w:tcPr>
            <w:tcW w:w="5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2007</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1,579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1,534</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1,507</w:t>
            </w:r>
          </w:p>
        </w:tc>
      </w:tr>
      <w:tr>
        <w:trPr>
          <w:trHeight w:val="29"/>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Goodwill represents the excess of the cost over the fair market value of net assets acquired, including identified intangible assets. Goodwill is tested annually or more frequently if circumstances indicate potential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impairment, by comparing its fair value to its carrying amount as defined by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 xml:space="preserve">Effective January 1, 2008, the Company adopted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Textbook sales and other revenues are recognized as sales occur or services are performed and represent less than 10% of total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$3,423, $4,674, and $10,213 respectively, and for the six months ended June 30, 2007 and 2008 were $3,575 and $7,070, respectively.</w:t>
      </w:r>
    </w:p>
    <w:p>
      <w:pPr>
        <w:spacing w:after="0" w:line="71"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six months ended June 30, 2007 and 2008, $2,064 and $2,925, respectively, pursuant to these arrangements. As of December 31, 2006 and 2007, and as of the six months ended June 30, 2008, $475, $416, and $740, respectively, were due to these related parties.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1"/>
          <w:szCs w:val="11"/>
          <w:i w:val="1"/>
          <w:iCs w:val="1"/>
          <w:color w:val="auto"/>
        </w:rPr>
        <w:t>Formation and Transactions with Former Owner.</w:t>
      </w:r>
      <w:r>
        <w:rPr>
          <w:rFonts w:ascii="Arial" w:cs="Arial" w:eastAsia="Arial" w:hAnsi="Arial"/>
          <w:sz w:val="11"/>
          <w:szCs w:val="11"/>
          <w:color w:val="auto"/>
        </w:rPr>
        <w:t xml:space="preserve"> The royalties accrued through April 2008 were applied against the payments made to the former owner.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$10 (net of taxes of $4) at June 30,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September 2006, the FASB issued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2" w:lineRule="exact"/>
        <w:rPr>
          <w:sz w:val="20"/>
          <w:szCs w:val="20"/>
          <w:color w:val="auto"/>
        </w:rPr>
      </w:pPr>
    </w:p>
    <w:p>
      <w:pPr>
        <w:ind w:left="1000" w:hanging="313"/>
        <w:spacing w:after="0"/>
        <w:tabs>
          <w:tab w:leader="none" w:pos="100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Restatement of Financial Statements</w:t>
      </w:r>
    </w:p>
    <w:p>
      <w:pPr>
        <w:spacing w:after="0" w:line="100" w:lineRule="exact"/>
        <w:rPr>
          <w:sz w:val="20"/>
          <w:szCs w:val="20"/>
          <w:color w:val="auto"/>
        </w:rPr>
      </w:pPr>
    </w:p>
    <w:p>
      <w:pPr>
        <w:ind w:left="680" w:right="820" w:firstLine="399"/>
        <w:spacing w:after="0" w:line="308" w:lineRule="auto"/>
        <w:rPr>
          <w:sz w:val="20"/>
          <w:szCs w:val="20"/>
          <w:color w:val="auto"/>
        </w:rPr>
      </w:pPr>
      <w:r>
        <w:rPr>
          <w:rFonts w:ascii="Arial" w:cs="Arial" w:eastAsia="Arial" w:hAnsi="Arial"/>
          <w:sz w:val="11"/>
          <w:szCs w:val="11"/>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summary of the impact of the restatement: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7"/>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25,339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23,036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46,046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275"/>
        </w:trPr>
        <w:tc>
          <w:tcPr>
            <w:tcW w:w="6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Arial" w:cs="Arial" w:eastAsia="Arial" w:hAnsi="Arial"/>
                <w:sz w:val="13"/>
                <w:szCs w:val="13"/>
                <w:b w:val="1"/>
                <w:bCs w:val="1"/>
                <w:color w:val="auto"/>
              </w:rPr>
              <w:t>LIABILITIES, PREFERRED STOCK AND STOCKHOLDER’S DEFICIT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stockholders’ deficit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(11,723)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(10,386)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preferred stock and stockholders’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F-15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2005</w:t>
            </w:r>
          </w:p>
        </w:tc>
        <w:tc>
          <w:tcPr>
            <w:tcW w:w="100" w:type="dxa"/>
            <w:vAlign w:val="bottom"/>
          </w:tcPr>
          <w:p>
            <w:pPr>
              <w:spacing w:after="0"/>
              <w:rPr>
                <w:sz w:val="10"/>
                <w:szCs w:val="10"/>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3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94,981</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4,345</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(2,975)</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(5,707)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2,542</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1,526</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12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34"/>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0.03</w:t>
            </w:r>
          </w:p>
        </w:tc>
      </w:tr>
      <w:tr>
        <w:trPr>
          <w:trHeight w:val="29"/>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3"/>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3"/>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2"/>
              </w:rPr>
              <w:t>As of June 30, 2008</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880"/>
              <w:spacing w:after="0"/>
              <w:rPr>
                <w:sz w:val="20"/>
                <w:szCs w:val="20"/>
                <w:color w:val="auto"/>
              </w:rPr>
            </w:pPr>
            <w:r>
              <w:rPr>
                <w:rFonts w:ascii="Arial" w:cs="Arial" w:eastAsia="Arial" w:hAnsi="Arial"/>
                <w:sz w:val="13"/>
                <w:szCs w:val="13"/>
                <w:color w:val="auto"/>
              </w:rPr>
              <w:t>F-16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0"/>
                <w:szCs w:val="1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r>
      <w:tr>
        <w:trPr>
          <w:trHeight w:val="98"/>
        </w:trPr>
        <w:tc>
          <w:tcPr>
            <w:tcW w:w="7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r>
      <w:tr>
        <w:trPr>
          <w:trHeight w:val="29"/>
        </w:trPr>
        <w:tc>
          <w:tcPr>
            <w:tcW w:w="7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255</w:t>
            </w: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1,567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1,572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w:t>
            </w:r>
          </w:p>
        </w:tc>
      </w:tr>
      <w:tr>
        <w:trPr>
          <w:trHeight w:val="29"/>
        </w:trPr>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Gross realized gains and losses resulting from the sale of available-for-sale securities were $0 for the years ended December 31, 2005, 2006, and 2007, and $112 for the six months ended June 30, 2008. For the years ended December 31, 2005, 2006, and 2007, respectively the net unrealized gain (loss) on available-for-sale securities were $0, $35, and $44, net of tax effect, respectively, and $(69), net of tax effect, for the six months ended June 30, 2008.</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66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r>
      <w:tr>
        <w:trPr>
          <w:trHeight w:val="98"/>
        </w:trPr>
        <w:tc>
          <w:tcPr>
            <w:tcW w:w="3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r>
      <w:tr>
        <w:trPr>
          <w:trHeight w:val="29"/>
        </w:trPr>
        <w:tc>
          <w:tcPr>
            <w:tcW w:w="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1,726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2,236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2,253</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9,583</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5,225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9,515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11,464</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6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1,020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1,991</w:t>
            </w:r>
          </w:p>
        </w:tc>
      </w:tr>
      <w:tr>
        <w:trPr>
          <w:trHeight w:val="20"/>
        </w:trPr>
        <w:tc>
          <w:tcPr>
            <w:tcW w:w="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42,211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46,927</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(5,215)</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(8,362)</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(10,467)</w:t>
            </w:r>
          </w:p>
        </w:tc>
      </w:tr>
      <w:tr>
        <w:trPr>
          <w:trHeight w:val="20"/>
        </w:trPr>
        <w:tc>
          <w:tcPr>
            <w:tcW w:w="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36,460</w:t>
            </w:r>
          </w:p>
        </w:tc>
      </w:tr>
      <w:tr>
        <w:trPr>
          <w:trHeight w:val="29"/>
        </w:trPr>
        <w:tc>
          <w:tcPr>
            <w:tcW w:w="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$1,849, $2,298, and $3,270 for the years ended December 31, 2005, 2006, and 2007, respectively, and $1,454 and $2,132 for the six months ended June 30, 2007 and 2008.</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32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300" w:right="6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Accrued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consist of the following:</w:t>
      </w:r>
    </w:p>
    <w:p>
      <w:pPr>
        <w:spacing w:after="0" w:line="98" w:lineRule="exact"/>
        <w:rPr>
          <w:sz w:val="20"/>
          <w:szCs w:val="20"/>
          <w:color w:val="auto"/>
        </w:rPr>
      </w:pPr>
    </w:p>
    <w:p>
      <w:pPr>
        <w:jc w:val="center"/>
        <w:ind w:left="792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6350</wp:posOffset>
            </wp:positionV>
            <wp:extent cx="88646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jc w:val="both"/>
        <w:ind w:left="7940"/>
        <w:spacing w:after="0"/>
        <w:tabs>
          <w:tab w:leader="none" w:pos="882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-635</wp:posOffset>
            </wp:positionV>
            <wp:extent cx="32448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-635</wp:posOffset>
            </wp:positionV>
            <wp:extent cx="31178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8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1080"/>
        <w:spacing w:after="0"/>
        <w:rPr>
          <w:sz w:val="20"/>
          <w:szCs w:val="20"/>
          <w:color w:val="auto"/>
        </w:rPr>
      </w:pPr>
      <w:r>
        <w:rPr>
          <w:rFonts w:ascii="Arial" w:cs="Arial" w:eastAsia="Arial" w:hAnsi="Arial"/>
          <w:sz w:val="9"/>
          <w:szCs w:val="9"/>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6350</wp:posOffset>
            </wp:positionV>
            <wp:extent cx="63055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040" w:space="720"/>
            <w:col w:w="1700"/>
          </w:cols>
          <w:pgMar w:left="220" w:top="344" w:right="219" w:bottom="1440" w:gutter="0" w:footer="0" w:header="0"/>
        </w:sectPr>
      </w:pPr>
    </w:p>
    <w:tbl>
      <w:tblPr>
        <w:tblLayout w:type="fixed"/>
        <w:tblInd w:w="680" w:type="dxa"/>
        <w:tblCellMar>
          <w:top w:w="0" w:type="dxa"/>
          <w:left w:w="0" w:type="dxa"/>
          <w:bottom w:w="0" w:type="dxa"/>
          <w:right w:w="0" w:type="dxa"/>
        </w:tblCellMar>
      </w:tblP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1,096</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221</w:t>
            </w: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1,561</w:t>
            </w: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6,893</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6,582</w:t>
            </w:r>
          </w:p>
        </w:tc>
      </w:tr>
      <w:tr>
        <w:trPr>
          <w:trHeight w:val="30"/>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June 30, 2008, the Company was obligated to spend $2,287 and $1,258, respectively, by July 2010 on such improvements.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780" w:type="dxa"/>
            <w:vAlign w:val="bottom"/>
          </w:tcPr>
          <w:p>
            <w:pPr>
              <w:ind w:left="20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80" w:type="dxa"/>
            <w:vAlign w:val="bottom"/>
          </w:tcPr>
          <w:p>
            <w:pPr>
              <w:ind w:left="28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$277 at an implicit interest rate of 8.7% through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29,161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28,451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28,814</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Capital leases for equipment (various leases extending into 2012, with implicit interest rates ranging from 7.4% to 9.3%,</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monthly payments totaling $35)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28,779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28,078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28,288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tcPr>
          <w:p>
            <w:pPr>
              <w:ind w:left="476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32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300" w:right="6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4" w:lineRule="exact"/>
        <w:rPr>
          <w:sz w:val="20"/>
          <w:szCs w:val="20"/>
          <w:color w:val="auto"/>
        </w:rPr>
      </w:pPr>
    </w:p>
    <w:p>
      <w:pPr>
        <w:jc w:val="center"/>
        <w:ind w:left="774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6350</wp:posOffset>
            </wp:positionV>
            <wp:extent cx="101092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jc w:val="both"/>
        <w:ind w:left="7780"/>
        <w:spacing w:after="0"/>
        <w:tabs>
          <w:tab w:leader="none" w:pos="876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-635</wp:posOffset>
            </wp:positionV>
            <wp:extent cx="101092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9"/>
          <w:szCs w:val="9"/>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6350</wp:posOffset>
            </wp:positionV>
            <wp:extent cx="63055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040" w:space="720"/>
            <w:col w:w="900"/>
          </w:cols>
          <w:pgMar w:left="220" w:top="344"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900" w:type="dxa"/>
            <w:vAlign w:val="bottom"/>
          </w:tcPr>
          <w:p>
            <w:pPr>
              <w:spacing w:after="0" w:line="149" w:lineRule="exact"/>
              <w:rPr>
                <w:sz w:val="20"/>
                <w:szCs w:val="20"/>
                <w:color w:val="auto"/>
              </w:rPr>
            </w:pPr>
            <w:r>
              <w:rPr>
                <w:rFonts w:ascii="Arial" w:cs="Arial" w:eastAsia="Arial" w:hAnsi="Arial"/>
                <w:sz w:val="13"/>
                <w:szCs w:val="13"/>
                <w:color w:val="auto"/>
                <w:w w:val="95"/>
              </w:rPr>
              <w:t>Institute Loan; 8 quarterly payments of $60 through June 2006 and $120 for 20 quarters through June 2011; implicit interest at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900" w:type="dxa"/>
            <w:vAlign w:val="bottom"/>
          </w:tcPr>
          <w:p>
            <w:pPr>
              <w:ind w:left="140"/>
              <w:spacing w:after="0"/>
              <w:rPr>
                <w:sz w:val="20"/>
                <w:szCs w:val="20"/>
                <w:color w:val="auto"/>
              </w:rPr>
            </w:pPr>
            <w:r>
              <w:rPr>
                <w:rFonts w:ascii="Arial" w:cs="Arial" w:eastAsia="Arial" w:hAnsi="Arial"/>
                <w:sz w:val="13"/>
                <w:szCs w:val="13"/>
                <w:color w:val="auto"/>
              </w:rPr>
              <w:t>23.6%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Various Gift Annuities; quarterly payments of $34 extending through 2018; interest at 10%</w:t>
            </w:r>
          </w:p>
        </w:tc>
        <w:tc>
          <w:tcPr>
            <w:tcW w:w="2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884</w:t>
            </w:r>
          </w:p>
        </w:tc>
      </w:tr>
      <w:tr>
        <w:trPr>
          <w:trHeight w:val="148"/>
        </w:trPr>
        <w:tc>
          <w:tcPr>
            <w:tcW w:w="69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Notes payable for vehicles requiring monthly payments with interest rates ranging from 9.5% to 11.0% extending into January</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w:t>
            </w:r>
          </w:p>
        </w:tc>
        <w:tc>
          <w:tcPr>
            <w:tcW w:w="3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2,408</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1,894</w:t>
            </w: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646</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9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1,762</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1,482</w:t>
            </w:r>
          </w:p>
        </w:tc>
      </w:tr>
      <w:tr>
        <w:trPr>
          <w:trHeight w:val="30"/>
        </w:trPr>
        <w:tc>
          <w:tcPr>
            <w:tcW w:w="6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2"/>
          <w:szCs w:val="12"/>
          <w:i w:val="1"/>
          <w:iCs w:val="1"/>
          <w:color w:val="auto"/>
        </w:rPr>
        <w:t>Accounting for Leases</w:t>
      </w:r>
      <w:r>
        <w:rPr>
          <w:rFonts w:ascii="Arial" w:cs="Arial" w:eastAsia="Arial" w:hAnsi="Arial"/>
          <w:sz w:val="12"/>
          <w:szCs w:val="12"/>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June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June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Capital Lease</w:t>
            </w:r>
          </w:p>
        </w:tc>
        <w:tc>
          <w:tcPr>
            <w:tcW w:w="120" w:type="dxa"/>
            <w:vAlign w:val="bottom"/>
          </w:tcPr>
          <w:p>
            <w:pPr>
              <w:spacing w:after="0"/>
              <w:rPr>
                <w:sz w:val="7"/>
                <w:szCs w:val="7"/>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Notes Payable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2,153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20,326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30,389</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Total rent expense and related taxes and operating expenses under operating leases for the years ended December 31, 2005, 2006 and 2007 and for the six months ended June 30, 2007 and 2008 was $2,052, $2,136, $2,260, $1,041 and $1,097,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counterclaimed alleging breach of contract relating to the parties’ technology services agreement. Following discovery, the arbitration occurred in late May 2008 and final arguments were heard in July 2008.</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December 31, 2007 and June 30, 2008 balance sheet. 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 including those matters described in Note 17 </w:t>
      </w:r>
      <w:r>
        <w:rPr>
          <w:rFonts w:ascii="Arial" w:cs="Arial" w:eastAsia="Arial" w:hAnsi="Arial"/>
          <w:sz w:val="12"/>
          <w:szCs w:val="12"/>
          <w:i w:val="1"/>
          <w:iCs w:val="1"/>
          <w:color w:val="auto"/>
        </w:rPr>
        <w:t>Litigation</w:t>
      </w:r>
      <w:r>
        <w:rPr>
          <w:rFonts w:ascii="Arial" w:cs="Arial" w:eastAsia="Arial" w:hAnsi="Arial"/>
          <w:sz w:val="12"/>
          <w:szCs w:val="12"/>
          <w:color w:val="auto"/>
        </w:rPr>
        <w:t>.</w:t>
      </w:r>
    </w:p>
    <w:p>
      <w:pPr>
        <w:spacing w:after="0" w:line="135" w:lineRule="exact"/>
        <w:rPr>
          <w:sz w:val="20"/>
          <w:szCs w:val="20"/>
          <w:color w:val="auto"/>
        </w:rPr>
      </w:pPr>
    </w:p>
    <w:p>
      <w:pPr>
        <w:ind w:left="1180" w:hanging="493"/>
        <w:spacing w:after="0"/>
        <w:tabs>
          <w:tab w:leader="none" w:pos="118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occurred on January 1, 2005 combined with the weighted number of shares of common stock outstanding after the conversion to a corporation.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gridSpan w:val="3"/>
          </w:tcPr>
          <w:p>
            <w:pPr>
              <w:jc w:val="center"/>
              <w:ind w:left="598"/>
              <w:spacing w:after="0"/>
              <w:rPr>
                <w:sz w:val="20"/>
                <w:szCs w:val="20"/>
                <w:color w:val="auto"/>
              </w:rPr>
            </w:pPr>
            <w:r>
              <w:rPr>
                <w:rFonts w:ascii="Arial" w:cs="Arial" w:eastAsia="Arial" w:hAnsi="Arial"/>
                <w:sz w:val="10"/>
                <w:szCs w:val="10"/>
                <w:b w:val="1"/>
                <w:bCs w:val="1"/>
                <w:color w:val="auto"/>
                <w:w w:val="97"/>
              </w:rPr>
              <w:t>Six Month Period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0"/>
                <w:szCs w:val="10"/>
                <w:b w:val="1"/>
                <w:bCs w:val="1"/>
                <w:color w:val="auto"/>
                <w:w w:val="92"/>
              </w:rPr>
              <w:t>Ended June 30,</w:t>
            </w: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9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8"/>
                <w:szCs w:val="8"/>
                <w:color w:val="auto"/>
              </w:rPr>
            </w:pPr>
          </w:p>
        </w:tc>
        <w:tc>
          <w:tcPr>
            <w:tcW w:w="116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90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18,853,450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18,922,838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18,853,450</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19,089,004</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14,494,788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12,393,062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12,449,668</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10,870,178</w:t>
            </w: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Effect of dilutive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3,509,572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3,805,384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3,748,778</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2,625,788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21,912</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38,346</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36,857,810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35,051,896</w:t>
            </w:r>
          </w:p>
        </w:tc>
        <w:tc>
          <w:tcPr>
            <w:tcW w:w="2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32,623,316</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securities that could potentially dilute earnings</w:t>
            </w: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per share in the future that are not included above as they are anti-</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2,120</w:t>
            </w:r>
          </w:p>
        </w:tc>
        <w:tc>
          <w:tcPr>
            <w:tcW w:w="26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Arial" w:cs="Arial" w:eastAsia="Arial" w:hAnsi="Arial"/>
                <w:sz w:val="13"/>
                <w:szCs w:val="13"/>
                <w:color w:val="auto"/>
              </w:rPr>
              <w:t>Common stock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4,267,362</w:t>
            </w:r>
          </w:p>
        </w:tc>
        <w:tc>
          <w:tcPr>
            <w:tcW w:w="2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 and Equity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and June 30, 2008, the following series of preferred stock have been authorized: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 offering price per share to the public of not less than $5 (as adjusted to reflect</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Preferred Stock</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is non-voting.</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June 30, 2008, no shares of Series B remain outstanding.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 the holders of the Series C are entitled to receive, in preference to all other shareholders, any distributions of</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the assets of the Company equal to two times the original purchase price of the shares, or $7,000 per share, subject to certain adjustments, plus all accumulated but unpaid dividends. The Series C is non-voting.</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5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 Company had the right to repurchase the Institute Warrant prior to the exercise period for $6,000. On</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April 15, 2008 the Institute Warrant was repurchased with the execution of the settlement discussed in Note 2. The repurchase was accounted for as a reduction of equity, net of related tax benefit of $2,316.</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June 30, 2008,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5"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June 30, 2008.</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For the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8"/>
            <w:vMerge w:val="restart"/>
          </w:tcPr>
          <w:p>
            <w:pPr>
              <w:jc w:val="right"/>
              <w:ind w:right="380"/>
              <w:spacing w:after="0"/>
              <w:rPr>
                <w:sz w:val="20"/>
                <w:szCs w:val="20"/>
                <w:color w:val="auto"/>
              </w:rPr>
            </w:pPr>
            <w:r>
              <w:rPr>
                <w:rFonts w:ascii="Arial" w:cs="Arial" w:eastAsia="Arial" w:hAnsi="Arial"/>
                <w:sz w:val="10"/>
                <w:szCs w:val="10"/>
                <w:b w:val="1"/>
                <w:bCs w:val="1"/>
                <w:color w:val="auto"/>
                <w:w w:val="96"/>
              </w:rPr>
              <w:t>Year Ended December 31,</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tcPr>
          <w:p>
            <w:pPr>
              <w:jc w:val="right"/>
              <w:ind w:right="420"/>
              <w:spacing w:after="0" w:line="108" w:lineRule="exact"/>
              <w:rPr>
                <w:sz w:val="20"/>
                <w:szCs w:val="20"/>
                <w:color w:val="auto"/>
              </w:rPr>
            </w:pPr>
            <w:r>
              <w:rPr>
                <w:rFonts w:ascii="Arial" w:cs="Arial" w:eastAsia="Arial" w:hAnsi="Arial"/>
                <w:sz w:val="10"/>
                <w:szCs w:val="10"/>
                <w:b w:val="1"/>
                <w:bCs w:val="1"/>
                <w:color w:val="auto"/>
                <w:w w:val="97"/>
              </w:rPr>
              <w:t>Six Months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Ended June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w w:val="98"/>
              </w:rPr>
              <w:t>2005</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4"/>
          </w:tcPr>
          <w:p>
            <w:pPr>
              <w:jc w:val="right"/>
              <w:ind w:right="114"/>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4"/>
          </w:tcPr>
          <w:p>
            <w:pPr>
              <w:jc w:val="right"/>
              <w:ind w:right="134"/>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Federal</w:t>
            </w:r>
          </w:p>
        </w:tc>
        <w:tc>
          <w:tcPr>
            <w:tcW w:w="19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2,221</w:t>
            </w:r>
          </w:p>
        </w:tc>
        <w:tc>
          <w:tcPr>
            <w:tcW w:w="4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2,194</w:t>
            </w: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$ 494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478</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106</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2,677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2,672</w:t>
            </w: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600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Federal</w:t>
            </w: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(3,024)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(1,792)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w w:val="87"/>
              </w:rPr>
              <w:t>(1,358)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(298)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(3,693)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(2,148)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w w:val="87"/>
              </w:rPr>
              <w:t>(1,656)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529</w:t>
            </w: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8"/>
              </w:rPr>
              <w:t>1,016</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$ 600</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6400" w:type="dxa"/>
            <w:vAlign w:val="bottom"/>
            <w:gridSpan w:val="7"/>
          </w:tcPr>
          <w:p>
            <w:pPr>
              <w:ind w:left="400"/>
              <w:spacing w:after="0"/>
              <w:rPr>
                <w:sz w:val="20"/>
                <w:szCs w:val="20"/>
                <w:color w:val="auto"/>
              </w:rPr>
            </w:pPr>
            <w:r>
              <w:rPr>
                <w:rFonts w:ascii="Arial" w:cs="Arial" w:eastAsia="Arial" w:hAnsi="Arial"/>
                <w:sz w:val="13"/>
                <w:szCs w:val="13"/>
                <w:color w:val="auto"/>
                <w:w w:val="94"/>
              </w:rPr>
              <w:t>A reconciliation of income tax computed at the U.S. statutory rate to the effective income tax rate is as follows: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7"/>
          </w:tcPr>
          <w:p>
            <w:pPr>
              <w:jc w:val="right"/>
              <w:ind w:right="300"/>
              <w:spacing w:after="0"/>
              <w:rPr>
                <w:sz w:val="20"/>
                <w:szCs w:val="20"/>
                <w:color w:val="auto"/>
              </w:rPr>
            </w:pPr>
            <w:r>
              <w:rPr>
                <w:rFonts w:ascii="Arial" w:cs="Arial" w:eastAsia="Arial" w:hAnsi="Arial"/>
                <w:sz w:val="10"/>
                <w:szCs w:val="10"/>
                <w:b w:val="1"/>
                <w:bCs w:val="1"/>
                <w:color w:val="auto"/>
                <w:w w:val="99"/>
              </w:rPr>
              <w:t>Year Ended December 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9"/>
          </w:tcPr>
          <w:p>
            <w:pPr>
              <w:jc w:val="right"/>
              <w:ind w:right="120"/>
              <w:spacing w:after="0"/>
              <w:rPr>
                <w:sz w:val="20"/>
                <w:szCs w:val="20"/>
                <w:color w:val="auto"/>
              </w:rPr>
            </w:pPr>
            <w:r>
              <w:rPr>
                <w:rFonts w:ascii="Arial" w:cs="Arial" w:eastAsia="Arial" w:hAnsi="Arial"/>
                <w:sz w:val="10"/>
                <w:szCs w:val="10"/>
                <w:b w:val="1"/>
                <w:bCs w:val="1"/>
                <w:color w:val="auto"/>
                <w:w w:val="91"/>
              </w:rPr>
              <w:t>For the Six Months Ended 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2460" w:type="dxa"/>
            <w:vAlign w:val="bottom"/>
            <w:tcBorders>
              <w:right w:val="single" w:sz="8" w:color="CCEEFF"/>
            </w:tcBorders>
            <w:gridSpan w:val="5"/>
            <w:shd w:val="clear" w:color="auto" w:fill="CCEEFF"/>
          </w:tcPr>
          <w:p>
            <w:pPr>
              <w:jc w:val="right"/>
              <w:ind w:right="277"/>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2020" w:type="dxa"/>
            <w:vAlign w:val="bottom"/>
            <w:gridSpan w:val="4"/>
          </w:tcPr>
          <w:p>
            <w:pPr>
              <w:jc w:val="right"/>
              <w:ind w:right="20"/>
              <w:spacing w:after="0"/>
              <w:rPr>
                <w:sz w:val="20"/>
                <w:szCs w:val="20"/>
                <w:color w:val="auto"/>
              </w:rPr>
            </w:pPr>
            <w:r>
              <w:rPr>
                <w:rFonts w:ascii="Arial" w:cs="Arial" w:eastAsia="Arial" w:hAnsi="Arial"/>
                <w:sz w:val="13"/>
                <w:szCs w:val="13"/>
                <w:color w:val="auto"/>
              </w:rPr>
              <w:t>(2.5)</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5.5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4.7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78"/>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20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(24.1)</w:t>
            </w: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1"/>
              </w:rPr>
              <w:t>—</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Loss prior to charter conversion not subject to tax</w:t>
            </w:r>
          </w:p>
        </w:tc>
        <w:tc>
          <w:tcPr>
            <w:tcW w:w="2020" w:type="dxa"/>
            <w:vAlign w:val="bottom"/>
            <w:gridSpan w:val="4"/>
          </w:tcPr>
          <w:p>
            <w:pPr>
              <w:jc w:val="right"/>
              <w:ind w:right="60"/>
              <w:spacing w:after="0"/>
              <w:rPr>
                <w:sz w:val="20"/>
                <w:szCs w:val="20"/>
                <w:color w:val="auto"/>
              </w:rPr>
            </w:pPr>
            <w:r>
              <w:rPr>
                <w:rFonts w:ascii="Arial" w:cs="Arial" w:eastAsia="Arial" w:hAnsi="Arial"/>
                <w:sz w:val="13"/>
                <w:szCs w:val="13"/>
                <w:color w:val="auto"/>
              </w:rPr>
              <w:t>15.2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 deductible expenses</w:t>
            </w:r>
          </w:p>
        </w:tc>
        <w:tc>
          <w:tcPr>
            <w:tcW w:w="20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78"/>
              <w:spacing w:after="0"/>
              <w:rPr>
                <w:sz w:val="20"/>
                <w:szCs w:val="20"/>
                <w:color w:val="auto"/>
              </w:rPr>
            </w:pPr>
            <w:r>
              <w:rPr>
                <w:rFonts w:ascii="Arial" w:cs="Arial" w:eastAsia="Arial" w:hAnsi="Arial"/>
                <w:sz w:val="13"/>
                <w:szCs w:val="13"/>
                <w:color w:val="auto"/>
              </w:rPr>
              <w:t>0.5</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0.8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78"/>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36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4"/>
            <w:shd w:val="clear" w:color="auto" w:fill="CCEEFF"/>
          </w:tcPr>
          <w:p>
            <w:pPr>
              <w:jc w:val="right"/>
              <w:ind w:right="277"/>
              <w:spacing w:after="0"/>
              <w:rPr>
                <w:sz w:val="20"/>
                <w:szCs w:val="20"/>
                <w:color w:val="auto"/>
              </w:rPr>
            </w:pPr>
            <w:r>
              <w:rPr>
                <w:rFonts w:ascii="Arial" w:cs="Arial" w:eastAsia="Arial" w:hAnsi="Arial"/>
                <w:sz w:val="13"/>
                <w:szCs w:val="13"/>
                <w:color w:val="auto"/>
              </w:rPr>
              <w:t>(44.5)%</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46.9%</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Arial" w:cs="Arial" w:eastAsia="Arial" w:hAnsi="Arial"/>
                <w:sz w:val="13"/>
                <w:szCs w:val="13"/>
                <w:color w:val="auto"/>
              </w:rPr>
              <w:t>F-26</w:t>
            </w:r>
          </w:p>
        </w:tc>
        <w:tc>
          <w:tcPr>
            <w:tcW w:w="600" w:type="dxa"/>
            <w:vAlign w:val="bottom"/>
            <w:tcBorders>
              <w:top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and at June 30,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As of June 30,</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3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4,981</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Redemption of Institute warrant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1,146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80"/>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5,819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7,446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9,948</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As of January 1, 2008, the Company adopted FASB interpretation No. 48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FASB Statement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which clarifies the accounting for uncertainty in tax positions. FIN 48 requires that the Company recognize the impact of a tax position in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if that position is more-likely-than-not of being sustained on audit, based on the technical merits of the position.</w:t>
      </w:r>
    </w:p>
    <w:p>
      <w:pPr>
        <w:spacing w:after="0" w:line="67" w:lineRule="exact"/>
        <w:rPr>
          <w:sz w:val="20"/>
          <w:szCs w:val="20"/>
          <w:color w:val="auto"/>
        </w:rPr>
      </w:pPr>
    </w:p>
    <w:p>
      <w:pPr>
        <w:jc w:val="both"/>
        <w:ind w:left="680" w:right="120" w:firstLine="399"/>
        <w:spacing w:after="0" w:line="289" w:lineRule="auto"/>
        <w:rPr>
          <w:sz w:val="20"/>
          <w:szCs w:val="20"/>
          <w:color w:val="auto"/>
        </w:rPr>
      </w:pPr>
      <w:r>
        <w:rPr>
          <w:rFonts w:ascii="Arial" w:cs="Arial" w:eastAsia="Arial" w:hAnsi="Arial"/>
          <w:sz w:val="12"/>
          <w:szCs w:val="12"/>
          <w:color w:val="auto"/>
        </w:rPr>
        <w:t>The adoption of FIN 48 did not result in an adjustment to opening retained earnings. The Company recognizes interest and penalties related to uncertain tax positions in income tax expense. As of June 30, 2008, the unrecognized tax benefit recorded was approximately $52, which, if reversed, would impact the effective tax rate. The Company’s uncertain tax positions are related to tax years that remain subject to examination by tax authorities. As of June 30, 2008, the earliest tax year still subject to examination for federal and state purposes is 2005. During the second quarter ended June 30, 2008, the Internal Revenue Service (“IRS”) commenced an examination of our 2005 income tax return.</w:t>
      </w:r>
    </w:p>
    <w:p>
      <w:pPr>
        <w:spacing w:after="0" w:line="128"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2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 Department of Education on an ongoing basis. As of December 31, 2007 and June 30, 2008, management believes the Company is in compliance with the applicable regulations in all material respects.</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5"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19"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six months of 2007 or 2008.</w:t>
      </w:r>
    </w:p>
    <w:p>
      <w:pPr>
        <w:spacing w:after="0" w:line="146"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and for the years ended December 31, 2005, 2006, and 2007, and as of and for the six months ended June 30, 2008, related party transactions consisted of the following: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and June 30, 2008, Sig Ed holds 18,260,000 shares of the Company’s common stock. The Company has not</w:t>
      </w:r>
      <w:r>
        <w:rPr>
          <w:rFonts w:ascii="Arial" w:cs="Arial" w:eastAsia="Arial" w:hAnsi="Arial"/>
          <w:sz w:val="13"/>
          <w:szCs w:val="13"/>
          <w:i w:val="1"/>
          <w:iCs w:val="1"/>
          <w:color w:val="auto"/>
        </w:rPr>
        <w:t xml:space="preserve"> </w:t>
      </w:r>
      <w:r>
        <w:rPr>
          <w:rFonts w:ascii="Arial" w:cs="Arial" w:eastAsia="Arial" w:hAnsi="Arial"/>
          <w:sz w:val="13"/>
          <w:szCs w:val="13"/>
          <w:color w:val="auto"/>
        </w:rPr>
        <w:t>engaged in any transactions with Sig Ed, but has engaged in certain transactions with members of Sig Ed, as discussed below.</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220 Partners, LLC (220 Partners) </w:t>
      </w:r>
      <w:r>
        <w:rPr>
          <w:rFonts w:ascii="Arial" w:cs="Arial" w:eastAsia="Arial" w:hAnsi="Arial"/>
          <w:sz w:val="13"/>
          <w:szCs w:val="13"/>
          <w:color w:val="auto"/>
        </w:rPr>
        <w:t>— 220 Partners, which is affiliated with several entities that hold membership interests in Sig Ed and a former director of the Company, received</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consulting fees, and reimbursed expenses of $299, $299, $0 and $0 in the years ended December 31, 2005, 2006, and 2007, and in the six months ended June 30, 2008, respectively. There were no amounts due from or payable to 220 Partners at December 31, 2006, and 2007 or at June 30, 2008.</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June 30, 2008.</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Executive Chairman and General Counsel of the Company who are also both Directors. Rich Crow</w:t>
      </w:r>
      <w:r>
        <w:rPr>
          <w:rFonts w:ascii="Arial" w:cs="Arial" w:eastAsia="Arial" w:hAnsi="Arial"/>
          <w:sz w:val="12"/>
          <w:szCs w:val="12"/>
          <w:i w:val="1"/>
          <w:iCs w:val="1"/>
          <w:color w:val="auto"/>
        </w:rPr>
        <w:t xml:space="preserve"> </w:t>
      </w:r>
      <w:r>
        <w:rPr>
          <w:rFonts w:ascii="Arial" w:cs="Arial" w:eastAsia="Arial" w:hAnsi="Arial"/>
          <w:sz w:val="12"/>
          <w:szCs w:val="12"/>
          <w:color w:val="auto"/>
        </w:rPr>
        <w:t>also is a member of Sig Ed. A member of Rich Crow is also related to the owner of a company that provided marketing services totaling $454, $115 and $218 in the year ended December 31, 2007, and the six months ended June 30, 2007 and 2008, respectively, of which $72 and $20 were owed at December 31, 2007, and June 30, 2008, respectively.</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six months ended June 30, 2008, respectively.</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Significant Ventures, LLC (Significant Ventures) </w:t>
      </w:r>
      <w:r>
        <w:rPr>
          <w:rFonts w:ascii="Arial" w:cs="Arial" w:eastAsia="Arial" w:hAnsi="Arial"/>
          <w:sz w:val="13"/>
          <w:szCs w:val="13"/>
          <w:color w:val="auto"/>
        </w:rPr>
        <w:t>— Significant Ventures is a member of Sig Ed. In the years ended December 31, 2005, 2006, and 2007, and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2008, the Company made payments of $124, $390, $0, and $0, respectively, to Significant Ventures for services and reimbursement of expenses. There were no amounts due from or payable to Significant Ventures as of December 31, 2006, and 2007 or June 30, 2008.</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Endeavour Capital Fund IV, LP, Endeavour Associated Fund IV, LP, and Endeavour Capital Parallel Fund IV, LP (Endeavour) </w:t>
      </w:r>
      <w:r>
        <w:rPr>
          <w:rFonts w:ascii="Arial" w:cs="Arial" w:eastAsia="Arial" w:hAnsi="Arial"/>
          <w:sz w:val="13"/>
          <w:szCs w:val="13"/>
          <w:color w:val="auto"/>
        </w:rPr>
        <w:t>— Members of the Company’s Board of Directors are</w:t>
      </w:r>
      <w:r>
        <w:rPr>
          <w:rFonts w:ascii="Arial" w:cs="Arial" w:eastAsia="Arial" w:hAnsi="Arial"/>
          <w:sz w:val="13"/>
          <w:szCs w:val="13"/>
          <w:i w:val="1"/>
          <w:iCs w:val="1"/>
          <w:color w:val="auto"/>
        </w:rPr>
        <w:t xml:space="preserve"> </w:t>
      </w:r>
      <w:r>
        <w:rPr>
          <w:rFonts w:ascii="Arial" w:cs="Arial" w:eastAsia="Arial" w:hAnsi="Arial"/>
          <w:sz w:val="13"/>
          <w:szCs w:val="13"/>
          <w:color w:val="auto"/>
        </w:rPr>
        <w:t>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$211 for the years ended December 31, 2005, 2006 and 2007, and the six months ended June 30, 2008, respectively. As of December 31, 2006 and 2007 and June 30, 2008 there were no amounts due from or payable to Endeavour.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Chairman and General Counsel. See further discussion in Note 2, Summary of Significant Accounting Policies — Selling and Promotional.</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$0 and $0 in the years ended December 31, 2005, 2006, and 2007, and the six months ended June 30, 2008, respectively. There were no amounts due from or payable to Youth In Motion at December 31, 2006 and 2007 or June 30, 2008.</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The Center for Educational Excellence, LLC (CEE) </w:t>
      </w:r>
      <w:r>
        <w:rPr>
          <w:rFonts w:ascii="Arial" w:cs="Arial" w:eastAsia="Arial" w:hAnsi="Arial"/>
          <w:sz w:val="13"/>
          <w:szCs w:val="13"/>
          <w:color w:val="auto"/>
        </w:rPr>
        <w:t>— Members of CEE include the COO of the Company. The Company paid $607 and $183 of expenses on CEE’s behalf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year ended December 31, 2007 and the six months ended June 30, 2008, respectively, and was reimbursed $331, and $4, respectively, and was owed $276 and $455, respectively, included in due from related parties at December 31, 2007 and June 30, 2008.</w:t>
      </w:r>
    </w:p>
    <w:p>
      <w:pPr>
        <w:spacing w:after="0" w:line="142"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2,632</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7,380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6,257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Six months ended June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4,052</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15,442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Higher Education Opportunity Act: </w:t>
      </w:r>
      <w:r>
        <w:rPr>
          <w:rFonts w:ascii="Arial" w:cs="Arial" w:eastAsia="Arial" w:hAnsi="Arial"/>
          <w:sz w:val="13"/>
          <w:szCs w:val="13"/>
          <w:color w:val="auto"/>
        </w:rPr>
        <w:t>On July 31, 2008, Congress passed the Higher Education Opportunity Act (the “2008 Act”), which reauthorized and made numerous changes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 and its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programs. President Bush signed the 2008 Act on August 14, 2008. The HEA, as reauthorized and amended 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53"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Litigation: </w:t>
      </w:r>
      <w:r>
        <w:rPr>
          <w:rFonts w:ascii="Arial" w:cs="Arial" w:eastAsia="Arial" w:hAnsi="Arial"/>
          <w:sz w:val="13"/>
          <w:szCs w:val="13"/>
          <w:color w:val="auto"/>
        </w:rPr>
        <w:t>On August 14, 2008, the Office of Inspector General (“OIG”) served an administrative subpoena on the Company requiring it to provide certain records and information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related to performance reviews and salary adjustments for all of its enrollment counselors and managers from January 1, 2004 to the present. The Company is currently in the early stages of reviewing documents and emails that may be responsive to the OIG’s subpoena. The outcome of the OIG investigation may depend in part on information contained in these materials or in any information or testimony that may be provided by former employees or other third parties.</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On September 11, 2008, the Company was served with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was initially filed under seal in August 2007 and was unsealed and served on the Company following the government’s decision not to intervene at this time.</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While the Company does not believe it has had significant, if any, violations, 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3"/>
          <w:szCs w:val="13"/>
          <w:i w:val="1"/>
          <w:iCs w:val="1"/>
          <w:color w:val="auto"/>
        </w:rPr>
        <w:t xml:space="preserve">qui tam </w:t>
      </w:r>
      <w:r>
        <w:rPr>
          <w:rFonts w:ascii="Arial" w:cs="Arial" w:eastAsia="Arial" w:hAnsi="Arial"/>
          <w:sz w:val="13"/>
          <w:szCs w:val="13"/>
          <w:color w:val="auto"/>
        </w:rPr>
        <w:t>litigation.</w:t>
      </w:r>
    </w:p>
    <w:p>
      <w:pPr>
        <w:spacing w:after="0" w:line="67"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b w:val="1"/>
          <w:bCs w:val="1"/>
          <w:i w:val="1"/>
          <w:iCs w:val="1"/>
          <w:color w:val="auto"/>
        </w:rPr>
        <w:t xml:space="preserve">Charter Amendment: </w:t>
      </w:r>
      <w:r>
        <w:rPr>
          <w:rFonts w:ascii="Arial" w:cs="Arial" w:eastAsia="Arial" w:hAnsi="Arial"/>
          <w:sz w:val="11"/>
          <w:szCs w:val="11"/>
          <w:color w:val="auto"/>
        </w:rPr>
        <w:t>On September 26, 2008 the Company’s Board of Directors approved an amendment to the Company’s charter to increase the Company’s authorized common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to 100,000,000 common shares. This charter amendment was approved by the Company’s stockholders on September 27, 2008 and became effective on September 29, 2008.</w:t>
      </w:r>
    </w:p>
    <w:p>
      <w:pPr>
        <w:spacing w:after="0" w:line="12"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Stock Split: </w:t>
      </w:r>
      <w:r>
        <w:rPr>
          <w:rFonts w:ascii="Arial" w:cs="Arial" w:eastAsia="Arial" w:hAnsi="Arial"/>
          <w:sz w:val="13"/>
          <w:szCs w:val="13"/>
          <w:color w:val="auto"/>
        </w:rPr>
        <w:t>On September 26, 2008, the Company’s Board of Directors declared a 1,826 for one stock split of its outstanding common stock, which became effective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29, 2008. This stock split resulted in the issuance of approximately 19.2 million additional shares of common stock. All information presented in the accompanying financial statements have been adjusted to reflect the 1,826 for one stock split.</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On September 26, 2008 the Company’s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Adoption of Equity Plans: </w:t>
      </w:r>
      <w:r>
        <w:rPr>
          <w:rFonts w:ascii="Arial" w:cs="Arial" w:eastAsia="Arial" w:hAnsi="Arial"/>
          <w:sz w:val="13"/>
          <w:szCs w:val="13"/>
          <w:color w:val="auto"/>
        </w:rPr>
        <w:t>On September 27, 2008 the Company’s stockholders approved the adoption of the 2008 Equity Incentive Plan (“Incentive Plan”) and the 2008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Purchase (“ESPP”).</w:t>
      </w:r>
    </w:p>
    <w:p>
      <w:pPr>
        <w:spacing w:after="0" w:line="59"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A total of 4,199,937 shares of our common stock has been authorized for issuance under the Incentive Plan. This reserve will automatically increase on a cumulative basis on January 1, 2009 and each subsequent anniversary through 2017, by an amount equal to the smaller of (a) 2.5% of the number of shares of common</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stock issued and outstanding on the immediately preceding December 31, or (b) a lesser amount determined by 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6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139" w:lineRule="exact"/>
        <w:rPr>
          <w:sz w:val="20"/>
          <w:szCs w:val="20"/>
          <w:color w:val="auto"/>
        </w:rPr>
      </w:pPr>
    </w:p>
    <w:p>
      <w:pPr>
        <w:ind w:left="1180" w:hanging="493"/>
        <w:spacing w:after="0"/>
        <w:tabs>
          <w:tab w:leader="none" w:pos="118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Information (Unaudited)</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the special distribution referred to in Note 17 represents distributions to existing shareholders to be made from the proceeds of an initial public offering the accompanying pro forma balance sheet as of June 30, 2008 reflecting the distribution, but not giving effect to the offering proceeds, is presented. In addition, as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820"/>
        <w:spacing w:after="0" w:line="260" w:lineRule="auto"/>
        <w:rPr>
          <w:sz w:val="20"/>
          <w:szCs w:val="20"/>
          <w:color w:val="auto"/>
        </w:rPr>
      </w:pPr>
      <w:r>
        <w:rPr>
          <w:rFonts w:ascii="Arial" w:cs="Arial" w:eastAsia="Arial" w:hAnsi="Arial"/>
          <w:sz w:val="13"/>
          <w:szCs w:val="13"/>
          <w:color w:val="auto"/>
        </w:rPr>
        <w:t>amount of distribution exceeds net income for the twelve-month period ended June 30, 2008, pro forma earnings per common share, basic and diluted, are presented in the accompanying statements of operations for the year ended December 31, 2007 and for the six-month period ended June 30, 2008, giving effect to the number of shares that would be required to be issued at an assumed initial public offering price of $19.00 per share to pay the amount of dividends that exceeds net income for the twelve-month period ended June 30, 2008. The calculations of the pro forma earnings per common share, basic and diluted, discussed above are as follows:</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520" w:type="dxa"/>
            <w:vAlign w:val="bottom"/>
          </w:tcPr>
          <w:p>
            <w:pPr>
              <w:spacing w:after="0"/>
              <w:rPr>
                <w:sz w:val="20"/>
                <w:szCs w:val="20"/>
                <w:color w:val="auto"/>
              </w:rPr>
            </w:pPr>
            <w:r>
              <w:rPr>
                <w:rFonts w:ascii="Arial" w:cs="Arial" w:eastAsia="Arial" w:hAnsi="Arial"/>
                <w:sz w:val="13"/>
                <w:szCs w:val="13"/>
                <w:b w:val="1"/>
                <w:bCs w:val="1"/>
                <w:color w:val="auto"/>
              </w:rPr>
              <w:t>Calculation of number of additional shares to be issued: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00"/>
        </w:trPr>
        <w:tc>
          <w:tcPr>
            <w:tcW w:w="8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57"/>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 for the year ended December 31, 2007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1,177</w:t>
            </w:r>
          </w:p>
        </w:tc>
      </w:tr>
      <w:tr>
        <w:trPr>
          <w:trHeight w:val="157"/>
        </w:trPr>
        <w:tc>
          <w:tcPr>
            <w:tcW w:w="8520" w:type="dxa"/>
            <w:vAlign w:val="bottom"/>
          </w:tcPr>
          <w:p>
            <w:pPr>
              <w:spacing w:after="0"/>
              <w:rPr>
                <w:sz w:val="20"/>
                <w:szCs w:val="20"/>
                <w:color w:val="auto"/>
              </w:rPr>
            </w:pPr>
            <w:r>
              <w:rPr>
                <w:rFonts w:ascii="Arial" w:cs="Arial" w:eastAsia="Arial" w:hAnsi="Arial"/>
                <w:sz w:val="13"/>
                <w:szCs w:val="13"/>
                <w:color w:val="auto"/>
              </w:rPr>
              <w:t>Less net income available to common stockholders for the six-month period ended June 30, 2007</w:t>
            </w: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(734)</w:t>
            </w:r>
          </w:p>
        </w:tc>
      </w:tr>
      <w:tr>
        <w:trPr>
          <w:trHeight w:val="157"/>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Plus net income available to common stockholders for the six-month period ended June 30, 2008</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2,703</w:t>
            </w:r>
          </w:p>
        </w:tc>
        <w:tc>
          <w:tcPr>
            <w:tcW w:w="560" w:type="dxa"/>
            <w:vAlign w:val="bottom"/>
            <w:shd w:val="clear" w:color="auto" w:fill="CCEEFF"/>
          </w:tcPr>
          <w:p>
            <w:pPr>
              <w:spacing w:after="0"/>
              <w:rPr>
                <w:sz w:val="13"/>
                <w:szCs w:val="13"/>
                <w:color w:val="auto"/>
              </w:rPr>
            </w:pPr>
          </w:p>
        </w:tc>
      </w:tr>
      <w:tr>
        <w:trPr>
          <w:trHeight w:val="156"/>
        </w:trPr>
        <w:tc>
          <w:tcPr>
            <w:tcW w:w="8520" w:type="dxa"/>
            <w:vAlign w:val="bottom"/>
          </w:tcPr>
          <w:p>
            <w:pPr>
              <w:spacing w:after="0"/>
              <w:rPr>
                <w:sz w:val="20"/>
                <w:szCs w:val="20"/>
                <w:color w:val="auto"/>
              </w:rPr>
            </w:pPr>
            <w:r>
              <w:rPr>
                <w:rFonts w:ascii="Arial" w:cs="Arial" w:eastAsia="Arial" w:hAnsi="Arial"/>
                <w:sz w:val="13"/>
                <w:szCs w:val="13"/>
                <w:color w:val="auto"/>
              </w:rPr>
              <w:t>Net income available to common stockholders for the twelve-month period ended June 30, 2008</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3,146</w:t>
            </w:r>
          </w:p>
        </w:tc>
      </w:tr>
      <w:tr>
        <w:trPr>
          <w:trHeight w:val="15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of dividends to be paid</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149,625</w:t>
            </w:r>
          </w:p>
        </w:tc>
        <w:tc>
          <w:tcPr>
            <w:tcW w:w="560" w:type="dxa"/>
            <w:vAlign w:val="bottom"/>
            <w:shd w:val="clear" w:color="auto" w:fill="CCEEFF"/>
          </w:tcPr>
          <w:p>
            <w:pPr>
              <w:spacing w:after="0"/>
              <w:rPr>
                <w:sz w:val="13"/>
                <w:szCs w:val="13"/>
                <w:color w:val="auto"/>
              </w:rPr>
            </w:pPr>
          </w:p>
        </w:tc>
      </w:tr>
      <w:tr>
        <w:trPr>
          <w:trHeight w:val="169"/>
        </w:trPr>
        <w:tc>
          <w:tcPr>
            <w:tcW w:w="8520" w:type="dxa"/>
            <w:vAlign w:val="bottom"/>
          </w:tcPr>
          <w:p>
            <w:pPr>
              <w:spacing w:after="0"/>
              <w:rPr>
                <w:sz w:val="20"/>
                <w:szCs w:val="20"/>
                <w:color w:val="auto"/>
              </w:rPr>
            </w:pPr>
            <w:r>
              <w:rPr>
                <w:rFonts w:ascii="Arial" w:cs="Arial" w:eastAsia="Arial" w:hAnsi="Arial"/>
                <w:sz w:val="13"/>
                <w:szCs w:val="13"/>
                <w:color w:val="auto"/>
              </w:rPr>
              <w:t>Excess of dividends over earnings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146,479</w:t>
            </w:r>
          </w:p>
        </w:tc>
        <w:tc>
          <w:tcPr>
            <w:tcW w:w="560" w:type="dxa"/>
            <w:vAlign w:val="bottom"/>
          </w:tcPr>
          <w:p>
            <w:pPr>
              <w:spacing w:after="0"/>
              <w:rPr>
                <w:sz w:val="14"/>
                <w:szCs w:val="14"/>
                <w:color w:val="auto"/>
              </w:rPr>
            </w:pPr>
          </w:p>
        </w:tc>
      </w:tr>
      <w:tr>
        <w:trPr>
          <w:trHeight w:val="174"/>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Number of shares required to be issued at $19 per share to pay excess of dividends over earnings</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7,709,421</w:t>
            </w:r>
          </w:p>
        </w:tc>
        <w:tc>
          <w:tcPr>
            <w:tcW w:w="560" w:type="dxa"/>
            <w:vAlign w:val="bottom"/>
            <w:shd w:val="clear" w:color="auto" w:fill="CCEEFF"/>
          </w:tcPr>
          <w:p>
            <w:pPr>
              <w:spacing w:after="0"/>
              <w:rPr>
                <w:sz w:val="15"/>
                <w:szCs w:val="15"/>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Calculation of pro forma earnings per common share, basic and diluted: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restart"/>
          </w:tcPr>
          <w:p>
            <w:pPr>
              <w:jc w:val="right"/>
              <w:ind w:right="820"/>
              <w:spacing w:after="0"/>
              <w:rPr>
                <w:sz w:val="20"/>
                <w:szCs w:val="20"/>
                <w:color w:val="auto"/>
              </w:rPr>
            </w:pPr>
            <w:r>
              <w:rPr>
                <w:rFonts w:ascii="Arial" w:cs="Arial" w:eastAsia="Arial" w:hAnsi="Arial"/>
                <w:sz w:val="10"/>
                <w:szCs w:val="10"/>
                <w:b w:val="1"/>
                <w:bCs w:val="1"/>
                <w:color w:val="auto"/>
              </w:rPr>
              <w:t>Year Ended</w:t>
            </w:r>
          </w:p>
        </w:tc>
        <w:tc>
          <w:tcPr>
            <w:tcW w:w="140" w:type="dxa"/>
            <w:vAlign w:val="bottom"/>
          </w:tcPr>
          <w:p>
            <w:pPr>
              <w:spacing w:after="0"/>
              <w:rPr>
                <w:sz w:val="10"/>
                <w:szCs w:val="10"/>
                <w:color w:val="auto"/>
              </w:rPr>
            </w:pPr>
          </w:p>
        </w:tc>
        <w:tc>
          <w:tcPr>
            <w:tcW w:w="2140" w:type="dxa"/>
            <w:vAlign w:val="bottom"/>
            <w:gridSpan w:val="2"/>
          </w:tcPr>
          <w:p>
            <w:pPr>
              <w:jc w:val="center"/>
              <w:ind w:right="1140"/>
              <w:spacing w:after="0"/>
              <w:rPr>
                <w:sz w:val="20"/>
                <w:szCs w:val="20"/>
                <w:color w:val="auto"/>
              </w:rPr>
            </w:pPr>
            <w:r>
              <w:rPr>
                <w:rFonts w:ascii="Arial" w:cs="Arial" w:eastAsia="Arial" w:hAnsi="Arial"/>
                <w:sz w:val="10"/>
                <w:szCs w:val="10"/>
                <w:b w:val="1"/>
                <w:bCs w:val="1"/>
                <w:color w:val="auto"/>
                <w:w w:val="97"/>
              </w:rPr>
              <w:t>Six-Month 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140" w:type="dxa"/>
            <w:vAlign w:val="bottom"/>
            <w:gridSpan w:val="2"/>
          </w:tcPr>
          <w:p>
            <w:pPr>
              <w:jc w:val="center"/>
              <w:ind w:right="1140"/>
              <w:spacing w:after="0" w:line="108" w:lineRule="exact"/>
              <w:rPr>
                <w:sz w:val="20"/>
                <w:szCs w:val="20"/>
                <w:color w:val="auto"/>
              </w:rPr>
            </w:pPr>
            <w:r>
              <w:rPr>
                <w:rFonts w:ascii="Arial" w:cs="Arial" w:eastAsia="Arial" w:hAnsi="Arial"/>
                <w:sz w:val="10"/>
                <w:szCs w:val="10"/>
                <w:b w:val="1"/>
                <w:bCs w:val="1"/>
                <w:color w:val="auto"/>
                <w:w w:val="91"/>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140" w:type="dxa"/>
            <w:vAlign w:val="bottom"/>
          </w:tcPr>
          <w:p>
            <w:pPr>
              <w:spacing w:after="0"/>
              <w:rPr>
                <w:sz w:val="10"/>
                <w:szCs w:val="10"/>
                <w:color w:val="auto"/>
              </w:rPr>
            </w:pPr>
          </w:p>
        </w:tc>
        <w:tc>
          <w:tcPr>
            <w:tcW w:w="2140" w:type="dxa"/>
            <w:vAlign w:val="bottom"/>
            <w:gridSpan w:val="2"/>
          </w:tcPr>
          <w:p>
            <w:pPr>
              <w:jc w:val="center"/>
              <w:ind w:right="1140"/>
              <w:spacing w:after="0"/>
              <w:rPr>
                <w:sz w:val="20"/>
                <w:szCs w:val="20"/>
                <w:color w:val="auto"/>
              </w:rPr>
            </w:pPr>
            <w:r>
              <w:rPr>
                <w:rFonts w:ascii="Arial" w:cs="Arial" w:eastAsia="Arial" w:hAnsi="Arial"/>
                <w:sz w:val="10"/>
                <w:szCs w:val="10"/>
                <w:b w:val="1"/>
                <w:bCs w:val="1"/>
                <w:color w:val="auto"/>
                <w:w w:val="92"/>
              </w:rPr>
              <w:t>June 30,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2,703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18,922,838</w:t>
            </w:r>
          </w:p>
        </w:tc>
        <w:tc>
          <w:tcPr>
            <w:tcW w:w="14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19,089,004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35,143,196</w:t>
            </w:r>
          </w:p>
        </w:tc>
        <w:tc>
          <w:tcPr>
            <w:tcW w:w="140" w:type="dxa"/>
            <w:vAlign w:val="bottom"/>
          </w:tcPr>
          <w:p>
            <w:pPr>
              <w:spacing w:after="0"/>
              <w:rPr>
                <w:sz w:val="13"/>
                <w:szCs w:val="13"/>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32,623,316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Basic</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26,632,259</w:t>
            </w:r>
          </w:p>
        </w:tc>
        <w:tc>
          <w:tcPr>
            <w:tcW w:w="140" w:type="dxa"/>
            <w:vAlign w:val="bottom"/>
          </w:tcPr>
          <w:p>
            <w:pPr>
              <w:spacing w:after="0"/>
              <w:rPr>
                <w:sz w:val="13"/>
                <w:szCs w:val="13"/>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26,798,425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42,852,617</w:t>
            </w:r>
          </w:p>
        </w:tc>
        <w:tc>
          <w:tcPr>
            <w:tcW w:w="14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40,332,737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3"/>
                <w:szCs w:val="13"/>
                <w:color w:val="auto"/>
              </w:rPr>
              <w:t>F-33</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7" w:name="page178"/>
    <w:bookmarkEnd w:id="177"/>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613283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78" w:name="page179"/>
    <w:bookmarkEnd w:id="178"/>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2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08" w:hanging="608"/>
        <w:spacing w:after="0"/>
        <w:tabs>
          <w:tab w:leader="none" w:pos="60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23,500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2,406,000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2,410,000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528,000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06"/>
        </w:numPr>
        <w:rPr>
          <w:rFonts w:ascii="Arial" w:cs="Arial" w:eastAsia="Arial" w:hAnsi="Arial"/>
          <w:sz w:val="11"/>
          <w:szCs w:val="11"/>
          <w:color w:val="auto"/>
        </w:rPr>
      </w:pPr>
      <w:r>
        <w:rPr>
          <w:rFonts w:ascii="Arial" w:cs="Arial" w:eastAsia="Arial" w:hAnsi="Arial"/>
          <w:sz w:val="11"/>
          <w:szCs w:val="11"/>
          <w:color w:val="auto"/>
        </w:rPr>
        <w:t>5,800,000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88"/>
          </w:cols>
          <w:pgMar w:left="220" w:top="343" w:right="1019" w:bottom="1440" w:gutter="0" w:footer="0" w:header="0"/>
          <w:type w:val="continuous"/>
        </w:sectPr>
      </w:pPr>
    </w:p>
    <w:p>
      <w:pPr>
        <w:spacing w:after="0" w:line="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preferred stock was paid in part by the exchange of the 865 outstanding shares of Series B preferred stock it purchased in 2006. The sales were made in reliance on Rule 506 of Regulation D promulgated under the Securities Act.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7" w:lineRule="exact"/>
        <w:rPr>
          <w:sz w:val="20"/>
          <w:szCs w:val="20"/>
          <w:color w:val="auto"/>
        </w:rPr>
      </w:pPr>
    </w:p>
    <w:p>
      <w:pPr>
        <w:ind w:left="900" w:hanging="213"/>
        <w:spacing w:after="0"/>
        <w:tabs>
          <w:tab w:leader="none" w:pos="9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September 29,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80"/>
        <w:spacing w:after="0"/>
        <w:tabs>
          <w:tab w:leader="none" w:pos="690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12700</wp:posOffset>
            </wp:positionV>
            <wp:extent cx="1841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gridSpan w:val="3"/>
          </w:tcPr>
          <w:p>
            <w:pPr>
              <w:ind w:left="1200"/>
              <w:spacing w:after="0"/>
              <w:rPr>
                <w:sz w:val="20"/>
                <w:szCs w:val="20"/>
                <w:color w:val="auto"/>
              </w:rPr>
            </w:pPr>
            <w:r>
              <w:rPr>
                <w:rFonts w:ascii="Arial" w:cs="Arial" w:eastAsia="Arial" w:hAnsi="Arial"/>
                <w:sz w:val="13"/>
                <w:szCs w:val="13"/>
                <w:color w:val="auto"/>
              </w:rPr>
              <w:t>*</w:t>
            </w:r>
          </w:p>
        </w:tc>
        <w:tc>
          <w:tcPr>
            <w:tcW w:w="3660" w:type="dxa"/>
            <w:vAlign w:val="bottom"/>
          </w:tcPr>
          <w:p>
            <w:pPr>
              <w:jc w:val="center"/>
              <w:ind w:left="354"/>
              <w:spacing w:after="0"/>
              <w:rPr>
                <w:sz w:val="20"/>
                <w:szCs w:val="20"/>
                <w:color w:val="auto"/>
              </w:rPr>
            </w:pPr>
            <w:r>
              <w:rPr>
                <w:rFonts w:ascii="Arial" w:cs="Arial" w:eastAsia="Arial" w:hAnsi="Arial"/>
                <w:sz w:val="13"/>
                <w:szCs w:val="13"/>
                <w:color w:val="auto"/>
                <w:w w:val="92"/>
              </w:rPr>
              <w:t>Executive Chairman</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55"/>
        </w:trPr>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660" w:type="dxa"/>
            <w:vAlign w:val="bottom"/>
          </w:tcPr>
          <w:p>
            <w:pPr>
              <w:jc w:val="center"/>
              <w:ind w:left="334"/>
              <w:spacing w:after="0"/>
              <w:rPr>
                <w:sz w:val="20"/>
                <w:szCs w:val="20"/>
                <w:color w:val="auto"/>
              </w:rPr>
            </w:pPr>
            <w:r>
              <w:rPr>
                <w:rFonts w:ascii="Arial" w:cs="Arial" w:eastAsia="Arial" w:hAnsi="Arial"/>
                <w:sz w:val="13"/>
                <w:szCs w:val="13"/>
                <w:color w:val="auto"/>
                <w:w w:val="95"/>
              </w:rPr>
              <w:t>Chief Executive Officer</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56"/>
        </w:trPr>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660" w:type="dxa"/>
            <w:vAlign w:val="bottom"/>
          </w:tcPr>
          <w:p>
            <w:pPr>
              <w:jc w:val="center"/>
              <w:ind w:left="354"/>
              <w:spacing w:after="0" w:line="145" w:lineRule="exact"/>
              <w:rPr>
                <w:sz w:val="20"/>
                <w:szCs w:val="20"/>
                <w:color w:val="auto"/>
              </w:rPr>
            </w:pPr>
            <w:r>
              <w:rPr>
                <w:rFonts w:ascii="Arial" w:cs="Arial" w:eastAsia="Arial" w:hAnsi="Arial"/>
                <w:sz w:val="13"/>
                <w:szCs w:val="13"/>
                <w:color w:val="auto"/>
                <w:w w:val="94"/>
              </w:rPr>
              <w:t>(Principal Executive Officer)</w:t>
            </w:r>
          </w:p>
        </w:tc>
        <w:tc>
          <w:tcPr>
            <w:tcW w:w="290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660" w:type="dxa"/>
            <w:vAlign w:val="bottom"/>
          </w:tcPr>
          <w:p>
            <w:pPr>
              <w:jc w:val="center"/>
              <w:ind w:left="334"/>
              <w:spacing w:after="0"/>
              <w:rPr>
                <w:sz w:val="20"/>
                <w:szCs w:val="20"/>
                <w:color w:val="auto"/>
              </w:rPr>
            </w:pPr>
            <w:r>
              <w:rPr>
                <w:rFonts w:ascii="Arial" w:cs="Arial" w:eastAsia="Arial" w:hAnsi="Arial"/>
                <w:sz w:val="13"/>
                <w:szCs w:val="13"/>
                <w:color w:val="auto"/>
                <w:w w:val="95"/>
              </w:rPr>
              <w:t>Chief Financial Officer</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30"/>
        </w:trPr>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660" w:type="dxa"/>
            <w:vAlign w:val="bottom"/>
          </w:tcPr>
          <w:p>
            <w:pPr>
              <w:jc w:val="center"/>
              <w:ind w:left="35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90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60" w:type="dxa"/>
            <w:vAlign w:val="bottom"/>
          </w:tcPr>
          <w:p>
            <w:pPr>
              <w:jc w:val="center"/>
              <w:ind w:left="334"/>
              <w:spacing w:after="0"/>
              <w:rPr>
                <w:sz w:val="20"/>
                <w:szCs w:val="20"/>
                <w:color w:val="auto"/>
              </w:rPr>
            </w:pPr>
            <w:r>
              <w:rPr>
                <w:rFonts w:ascii="Arial" w:cs="Arial" w:eastAsia="Arial" w:hAnsi="Arial"/>
                <w:sz w:val="13"/>
                <w:szCs w:val="13"/>
                <w:color w:val="auto"/>
                <w:w w:val="95"/>
              </w:rPr>
              <w:t>Accounting Officer)</w:t>
            </w:r>
          </w:p>
        </w:tc>
        <w:tc>
          <w:tcPr>
            <w:tcW w:w="290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660" w:type="dxa"/>
            <w:vAlign w:val="bottom"/>
          </w:tcPr>
          <w:p>
            <w:pPr>
              <w:jc w:val="center"/>
              <w:ind w:left="354"/>
              <w:spacing w:after="0"/>
              <w:rPr>
                <w:sz w:val="20"/>
                <w:szCs w:val="20"/>
                <w:color w:val="auto"/>
              </w:rPr>
            </w:pPr>
            <w:r>
              <w:rPr>
                <w:rFonts w:ascii="Arial" w:cs="Arial" w:eastAsia="Arial" w:hAnsi="Arial"/>
                <w:sz w:val="13"/>
                <w:szCs w:val="13"/>
                <w:color w:val="auto"/>
                <w:w w:val="90"/>
              </w:rPr>
              <w:t>General Counsel and Director</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55"/>
        </w:trPr>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06"/>
        </w:trPr>
        <w:tc>
          <w:tcPr>
            <w:tcW w:w="4900" w:type="dxa"/>
            <w:vAlign w:val="bottom"/>
            <w:gridSpan w:val="3"/>
          </w:tcPr>
          <w:p>
            <w:pPr>
              <w:ind w:left="1200"/>
              <w:spacing w:after="0"/>
              <w:rPr>
                <w:sz w:val="20"/>
                <w:szCs w:val="20"/>
                <w:color w:val="auto"/>
              </w:rPr>
            </w:pPr>
            <w:r>
              <w:rPr>
                <w:rFonts w:ascii="Arial" w:cs="Arial" w:eastAsia="Arial" w:hAnsi="Arial"/>
                <w:sz w:val="13"/>
                <w:szCs w:val="13"/>
                <w:color w:val="auto"/>
              </w:rPr>
              <w:t>*</w:t>
            </w:r>
          </w:p>
        </w:tc>
        <w:tc>
          <w:tcPr>
            <w:tcW w:w="36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55"/>
        </w:trPr>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06"/>
        </w:trPr>
        <w:tc>
          <w:tcPr>
            <w:tcW w:w="4900" w:type="dxa"/>
            <w:vAlign w:val="bottom"/>
            <w:gridSpan w:val="3"/>
          </w:tcPr>
          <w:p>
            <w:pPr>
              <w:ind w:left="1200"/>
              <w:spacing w:after="0"/>
              <w:rPr>
                <w:sz w:val="20"/>
                <w:szCs w:val="20"/>
                <w:color w:val="auto"/>
              </w:rPr>
            </w:pPr>
            <w:r>
              <w:rPr>
                <w:rFonts w:ascii="Arial" w:cs="Arial" w:eastAsia="Arial" w:hAnsi="Arial"/>
                <w:sz w:val="13"/>
                <w:szCs w:val="13"/>
                <w:color w:val="auto"/>
              </w:rPr>
              <w:t>*</w:t>
            </w:r>
          </w:p>
        </w:tc>
        <w:tc>
          <w:tcPr>
            <w:tcW w:w="36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00" w:type="dxa"/>
            <w:vAlign w:val="bottom"/>
          </w:tcPr>
          <w:p>
            <w:pPr>
              <w:ind w:left="740"/>
              <w:spacing w:after="0"/>
              <w:rPr>
                <w:sz w:val="20"/>
                <w:szCs w:val="20"/>
                <w:color w:val="auto"/>
              </w:rPr>
            </w:pPr>
            <w:r>
              <w:rPr>
                <w:rFonts w:ascii="Arial" w:cs="Arial" w:eastAsia="Arial" w:hAnsi="Arial"/>
                <w:sz w:val="13"/>
                <w:szCs w:val="13"/>
                <w:color w:val="auto"/>
              </w:rPr>
              <w:t>September 29, 2008</w:t>
            </w:r>
          </w:p>
        </w:tc>
      </w:tr>
      <w:tr>
        <w:trPr>
          <w:trHeight w:val="155"/>
        </w:trPr>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06"/>
        </w:trPr>
        <w:tc>
          <w:tcPr>
            <w:tcW w:w="49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140"/>
              <w:spacing w:after="0" w:line="139" w:lineRule="exact"/>
              <w:rPr>
                <w:sz w:val="20"/>
                <w:szCs w:val="20"/>
                <w:color w:val="auto"/>
              </w:rPr>
            </w:pPr>
            <w:r>
              <w:rPr>
                <w:rFonts w:ascii="Arial" w:cs="Arial" w:eastAsia="Arial" w:hAnsi="Arial"/>
                <w:sz w:val="13"/>
                <w:szCs w:val="13"/>
                <w:color w:val="auto"/>
              </w:rPr>
              <w:t>Christopher C. Richardson</w:t>
            </w:r>
          </w:p>
        </w:tc>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60" w:type="dxa"/>
            <w:vAlign w:val="bottom"/>
          </w:tcPr>
          <w:p>
            <w:pPr>
              <w:ind w:left="680"/>
              <w:spacing w:after="0"/>
              <w:rPr>
                <w:sz w:val="20"/>
                <w:szCs w:val="20"/>
                <w:color w:val="auto"/>
              </w:rPr>
            </w:pPr>
            <w:r>
              <w:rPr>
                <w:rFonts w:ascii="Arial" w:cs="Arial" w:eastAsia="Arial" w:hAnsi="Arial"/>
                <w:sz w:val="13"/>
                <w:szCs w:val="13"/>
                <w:color w:val="auto"/>
              </w:rPr>
              <w:t>II-5</w:t>
            </w:r>
          </w:p>
        </w:tc>
        <w:tc>
          <w:tcPr>
            <w:tcW w:w="290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900" w:hanging="213"/>
        <w:spacing w:after="0"/>
        <w:tabs>
          <w:tab w:leader="none" w:pos="9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7" w:lineRule="exact"/>
        <w:rPr>
          <w:sz w:val="20"/>
          <w:szCs w:val="20"/>
          <w:color w:val="auto"/>
        </w:rPr>
      </w:pPr>
    </w:p>
    <w:p>
      <w:pPr>
        <w:ind w:left="900" w:hanging="213"/>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239"/>
          </w:cols>
          <w:pgMar w:left="220" w:top="344"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3"/>
          <w:szCs w:val="13"/>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CERTIFICATE OF INCORPORATION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GRAND CANYON EDUCATION,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Grand Canyon Education,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90" w:lineRule="exact"/>
        <w:rPr>
          <w:sz w:val="20"/>
          <w:szCs w:val="20"/>
          <w:color w:val="auto"/>
        </w:rPr>
      </w:pPr>
    </w:p>
    <w:p>
      <w:pPr>
        <w:ind w:right="480" w:firstLine="161"/>
        <w:spacing w:after="0" w:line="276" w:lineRule="auto"/>
        <w:rPr>
          <w:sz w:val="20"/>
          <w:szCs w:val="20"/>
          <w:color w:val="auto"/>
        </w:rPr>
      </w:pPr>
      <w:r>
        <w:rPr>
          <w:rFonts w:ascii="Arial" w:cs="Arial" w:eastAsia="Arial" w:hAnsi="Arial"/>
          <w:sz w:val="13"/>
          <w:szCs w:val="13"/>
          <w:color w:val="auto"/>
        </w:rPr>
        <w:t>The address of the Corporation’s registered office in the State of Delaware is 615 South Dupont Highway, Dover, County of Kent, Delaware 19901. The name of its registered agent at such address is Capitol Services, Inc.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90" w:lineRule="exact"/>
        <w:rPr>
          <w:sz w:val="20"/>
          <w:szCs w:val="20"/>
          <w:color w:val="auto"/>
        </w:rPr>
      </w:pPr>
    </w:p>
    <w:p>
      <w:pPr>
        <w:ind w:right="200" w:firstLine="161"/>
        <w:spacing w:after="0" w:line="320" w:lineRule="auto"/>
        <w:rPr>
          <w:sz w:val="20"/>
          <w:szCs w:val="20"/>
          <w:color w:val="auto"/>
        </w:rPr>
      </w:pPr>
      <w:r>
        <w:rPr>
          <w:rFonts w:ascii="Arial" w:cs="Arial" w:eastAsia="Arial" w:hAnsi="Arial"/>
          <w:sz w:val="12"/>
          <w:szCs w:val="12"/>
          <w:color w:val="auto"/>
        </w:rPr>
        <w:t>The nature of the business of the Corporation and the purposes for which it is organized are to engage in any business and in any lawful act or activity for which corporations may be organized under the Delaware General Corporation Law and to possess and employ all powers and privileges now or hereafter granted or available under the laws of the State of Delaware to such corporations.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90" w:lineRule="exact"/>
        <w:rPr>
          <w:sz w:val="20"/>
          <w:szCs w:val="20"/>
          <w:color w:val="auto"/>
        </w:rPr>
      </w:pPr>
    </w:p>
    <w:p>
      <w:pPr>
        <w:ind w:right="100" w:firstLine="161"/>
        <w:spacing w:after="0" w:line="320" w:lineRule="auto"/>
        <w:rPr>
          <w:sz w:val="20"/>
          <w:szCs w:val="20"/>
          <w:color w:val="auto"/>
        </w:rPr>
      </w:pPr>
      <w:r>
        <w:rPr>
          <w:rFonts w:ascii="Arial" w:cs="Arial" w:eastAsia="Arial" w:hAnsi="Arial"/>
          <w:sz w:val="12"/>
          <w:szCs w:val="12"/>
          <w:color w:val="auto"/>
        </w:rPr>
        <w:t>The Corporation is authorized to issue two classes of stock, to be designated “Common Stock,” with a par value of $0.001 per share, and “Preferred Stock,” with a par value of $0.001 per share. The total number of shares of Common Stock that the Corporation shall have authority to issue is 100,000,000, and the total number of shares of Preferred Stock that the Corporation shall have authority to issue is 10,000,000.</w:t>
      </w:r>
    </w:p>
    <w:p>
      <w:pPr>
        <w:spacing w:after="0" w:line="25" w:lineRule="exact"/>
        <w:rPr>
          <w:sz w:val="20"/>
          <w:szCs w:val="20"/>
          <w:color w:val="auto"/>
        </w:rPr>
      </w:pPr>
    </w:p>
    <w:p>
      <w:pPr>
        <w:ind w:right="20" w:firstLine="161"/>
        <w:spacing w:after="0" w:line="258" w:lineRule="auto"/>
        <w:rPr>
          <w:sz w:val="20"/>
          <w:szCs w:val="20"/>
          <w:color w:val="auto"/>
        </w:rPr>
      </w:pPr>
      <w:r>
        <w:rPr>
          <w:rFonts w:ascii="Arial" w:cs="Arial" w:eastAsia="Arial" w:hAnsi="Arial"/>
          <w:sz w:val="13"/>
          <w:szCs w:val="13"/>
          <w:color w:val="auto"/>
        </w:rPr>
        <w:t>The Corporation’s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thereof. The number of authorized shares of any class of capital stock of the Corporation may be increased or decreased (but not below the number of shares thereof then outstanding) by the affirmative vote of the holders of a majority of the outstanding Common Stock of the Corporation, without the approval of the holders of the Preferred Stock, or of any series thereof, unless the approval of any such holders is required pursuant to the certificate or certificates establishing any series of Preferred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87" w:name="page188"/>
    <w:bookmarkEnd w:id="187"/>
    <w:p>
      <w:pPr>
        <w:ind w:right="420" w:firstLine="157"/>
        <w:spacing w:after="0" w:line="371" w:lineRule="auto"/>
        <w:rPr>
          <w:sz w:val="20"/>
          <w:szCs w:val="20"/>
          <w:color w:val="auto"/>
        </w:rPr>
      </w:pPr>
      <w:r>
        <w:rPr>
          <w:rFonts w:ascii="Arial" w:cs="Arial" w:eastAsia="Arial" w:hAnsi="Arial"/>
          <w:sz w:val="11"/>
          <w:szCs w:val="11"/>
          <w:color w:val="auto"/>
        </w:rPr>
        <w:t>A. The business and affairs of the Corporation shall be managed by or under the direction of the Board of Directors. In addition to the powers and authority expressly conferred upon them by statute or by this Certificate of Incorporation or the By-Laws of the Corporation, the directors are hereby empowered to exercise all such powers and do all such acts and things as may be exercised or done by the Corporation.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The directors of the Corporation need not be elected by written ballot unless the By-Laws so provide.</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C. Effective upon the closing of the Corporation’s initial public offering of Common Stock pursuant to an effective registration statement filed under the Securities Act of 1933, as amended (the “Initial Public Offering”),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 Special meetings of stockholders of the Corporation may be called only by either the Board of Directors, the Chairman of the Board or the President.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w:t>
      </w:r>
    </w:p>
    <w:p>
      <w:pPr>
        <w:spacing w:after="0" w:line="90" w:lineRule="exact"/>
        <w:rPr>
          <w:sz w:val="20"/>
          <w:szCs w:val="20"/>
          <w:color w:val="auto"/>
        </w:rPr>
      </w:pPr>
    </w:p>
    <w:p>
      <w:pPr>
        <w:ind w:right="260" w:firstLine="157"/>
        <w:spacing w:after="0" w:line="276" w:lineRule="auto"/>
        <w:rPr>
          <w:sz w:val="20"/>
          <w:szCs w:val="20"/>
          <w:color w:val="auto"/>
        </w:rPr>
      </w:pPr>
      <w:r>
        <w:rPr>
          <w:rFonts w:ascii="Arial" w:cs="Arial" w:eastAsia="Arial" w:hAnsi="Arial"/>
          <w:sz w:val="13"/>
          <w:szCs w:val="13"/>
          <w:color w:val="auto"/>
        </w:rPr>
        <w:t>A. The number of directors shall initially be four (4) and, thereafter, shall be fixed from time to time exclusively by the Board of Directors. All directors shall hold office until the expiration of the term for which elected, and until their respective successors are elected, except in the case of the death, resignation, or removal of any director.</w:t>
      </w:r>
    </w:p>
    <w:p>
      <w:pPr>
        <w:spacing w:after="0" w:line="49"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B. Subject to the rights of the holders of any series of Preferred Stock then outstanding, newly created directorships resulting from any increase in the authorized number of directors or any vacancies in the Board of Directors resulting from death, resignation or other cause (including removal from office by a vote of the stockholders) may be filled only by a majority vote of the directors then in office, though less than a quorum, or by the sole remaining director and directors so chosen shall hold office for a term expiring at the next annual meeting of stockholders at which the term of office of the class to which they have been elected expires, and until their respective successors are elected, except in the case of the death, resignation, or removal of any director. No decrease in the number of directors constituting the Board of Directors shall shorten the term of any incumbent director.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8" w:name="page189"/>
    <w:bookmarkEnd w:id="188"/>
    <w:p>
      <w:pPr>
        <w:ind w:right="120" w:firstLine="164"/>
        <w:spacing w:after="0" w:line="264" w:lineRule="auto"/>
        <w:rPr>
          <w:sz w:val="20"/>
          <w:szCs w:val="20"/>
          <w:color w:val="auto"/>
        </w:rPr>
      </w:pPr>
      <w:r>
        <w:rPr>
          <w:rFonts w:ascii="Arial" w:cs="Arial" w:eastAsia="Arial" w:hAnsi="Arial"/>
          <w:sz w:val="13"/>
          <w:szCs w:val="13"/>
          <w:color w:val="auto"/>
        </w:rPr>
        <w:t>C. Subject to the rights of the holders of any series of Preferred Stock then outstanding, any directors, or the entire Board of Directors, may be removed from office at any time, but only for cause and only by the affirmative vote of the holders of at least a majority of the voting power of all of the then outstanding shares of capital stock of the Corporation entitled to vote generally in the election of directors, voting together as a single class.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90" w:lineRule="exact"/>
        <w:rPr>
          <w:sz w:val="20"/>
          <w:szCs w:val="20"/>
          <w:color w:val="auto"/>
        </w:rPr>
      </w:pPr>
    </w:p>
    <w:p>
      <w:pPr>
        <w:ind w:right="380" w:firstLine="161"/>
        <w:spacing w:after="0" w:line="260" w:lineRule="auto"/>
        <w:rPr>
          <w:sz w:val="20"/>
          <w:szCs w:val="20"/>
          <w:color w:val="auto"/>
        </w:rPr>
      </w:pPr>
      <w:r>
        <w:rPr>
          <w:rFonts w:ascii="Arial" w:cs="Arial" w:eastAsia="Arial" w:hAnsi="Arial"/>
          <w:sz w:val="13"/>
          <w:szCs w:val="13"/>
          <w:color w:val="auto"/>
        </w:rPr>
        <w:t>The Board of Directors is expressly empowered to adopt, amend or repeal By-Laws of the Corporation. The stockholders shall also have power to adopt, amend or repeal the By-Laws of the Corporation. Any adoption, amendment or repeal of By-Laws of the Corporation by the stockholders shall require, in addition to any vote of the holders of any class or series of stock of the Corporation required by law or by this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90" w:lineRule="exact"/>
        <w:rPr>
          <w:sz w:val="20"/>
          <w:szCs w:val="20"/>
          <w:color w:val="auto"/>
        </w:rPr>
      </w:pPr>
    </w:p>
    <w:p>
      <w:pPr>
        <w:ind w:right="40" w:firstLine="157"/>
        <w:spacing w:after="0" w:line="257" w:lineRule="auto"/>
        <w:rPr>
          <w:sz w:val="20"/>
          <w:szCs w:val="20"/>
          <w:color w:val="auto"/>
        </w:rPr>
      </w:pPr>
      <w:r>
        <w:rPr>
          <w:rFonts w:ascii="Arial" w:cs="Arial" w:eastAsia="Arial" w:hAnsi="Arial"/>
          <w:sz w:val="13"/>
          <w:szCs w:val="13"/>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involved intentional misconduct or a knowing violation of law, (iii) under Section 174 of the Delaware General Corporation Law, or (iv) for any transaction from which the director derived an improper personal benefit.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 Any repeal or modification of the foregoing provisions of this Article EIGHTH by the stockholders of the Corporation shall not adversely affect any right or protection of a director of the Corporation existing at the time of such repeal or modification.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IX</w:t>
      </w:r>
    </w:p>
    <w:p>
      <w:pPr>
        <w:spacing w:after="0" w:line="90"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 xml:space="preserve">The Corporation reserves the right to amend, alter, change,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notwithstanding any other provision of this Certificate of Incorporation or any provision of law which might otherwise permit a lesser vote or no vote, but in addition to any vote of the holders of any class or series of the stock of this Corporation required by law or by this Certificate of Incorporation, effective as of the closing of the Initial Public Offering, the affirmative vote of the holders of at least 66-2/3% of the voting power of all of the then outstanding shares of the capital stock of the Corporation entitled to vote generally in the election of directors, voting together as a single class, shall be required to amend or repeal this Article NINTH, Article FIFTH, Article SIXTH, Article SEVENTH or Article EIGHTH.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721"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BYLAWS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GRAND CANYON EDUCATION,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Delaware Corporation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PREAMBLE</w:t>
      </w:r>
    </w:p>
    <w:p>
      <w:pPr>
        <w:spacing w:after="0" w:line="90"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These amended and restated bylaws (the “Bylaws”) are subject to, and governed by, the General Corporate Law of the State of Delaware (the “DGCL”) and the amended and restated certificate of incorporation (the “Certificate”) of Grand Canyon Education, Inc., a Delaware corporation (the “Corporation”). In the event of a direct conflict between the provisions of these Bylaws and the mandatory provisions of the DGCL or the provisions of the Certificate, such provisions of the DGCL or the Certificate, as the case may be, will be controlling.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OFFICES</w:t>
      </w:r>
    </w:p>
    <w:p>
      <w:pPr>
        <w:spacing w:after="0" w:line="7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Registered Office and Agent</w:t>
      </w:r>
      <w:r>
        <w:rPr>
          <w:rFonts w:ascii="Arial" w:cs="Arial" w:eastAsia="Arial" w:hAnsi="Arial"/>
          <w:sz w:val="13"/>
          <w:szCs w:val="13"/>
          <w:color w:val="auto"/>
        </w:rPr>
        <w:t>. The registered office and registered agent of the Corporation shall be designated from time to time by the appropriate filing by the Corporation in the office of the Secretary of State of the State of Delaware.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also have offices at such other places, both within and without the State of Delaware, as the Board of Directors may from time to time determine or as the business of the Corporation may require.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STOCKHOLDERS</w:t>
      </w:r>
    </w:p>
    <w:p>
      <w:pPr>
        <w:spacing w:after="0" w:line="7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Place of Meetings</w:t>
      </w:r>
      <w:r>
        <w:rPr>
          <w:rFonts w:ascii="Arial" w:cs="Arial" w:eastAsia="Arial" w:hAnsi="Arial"/>
          <w:sz w:val="13"/>
          <w:szCs w:val="13"/>
          <w:color w:val="auto"/>
        </w:rPr>
        <w:t>. All meetings of stockholders shall be held at such place (if any) within or without the State of Delaware as may be designated from time to time by the Board of Directors or the President and Chief Executive Officer.</w:t>
      </w:r>
    </w:p>
    <w:p>
      <w:pPr>
        <w:spacing w:after="0" w:line="4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Annual Meeting</w:t>
      </w:r>
      <w:r>
        <w:rPr>
          <w:rFonts w:ascii="Arial" w:cs="Arial" w:eastAsia="Arial" w:hAnsi="Arial"/>
          <w:sz w:val="13"/>
          <w:szCs w:val="13"/>
          <w:color w:val="auto"/>
        </w:rPr>
        <w:t>. The annual meeting of stockholders for the election of directors and for the transaction of such other business as may properly be brought before the meeting shall be held on a date to be fixed by the Board of Directors at the time and place to be fixed by the Board of Directors and stated in the notice of the meeting. In lieu of holding an annual meeting of stockholders at a designated place, the Board of Directors may, in its sole discretion, determine that any annual meeting of stockholders may be held solely by means of remote communication.</w:t>
      </w:r>
    </w:p>
    <w:p>
      <w:pPr>
        <w:spacing w:after="0" w:line="57"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stockholders may be called at any time by the Board of Directors, the Chairman of the Board or the President or the holders of record of not less than 10% of all shares entitled to cast votes at the meeting, for any purpose or purposes prescribed in the notice of the meeting and shall be held at such place (if any), on such date and at such time as the Board may fix. In lieu of holding a special meeting of stockholders at a designated place, the Board of Directors may, in its sole discretion, determine that any special meeting of stockholders may be held solely by means of remote communication. Business transacted at any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0" w:name="page191"/>
    <w:bookmarkEnd w:id="190"/>
    <w:p>
      <w:pPr>
        <w:spacing w:after="0" w:line="281" w:lineRule="auto"/>
        <w:rPr>
          <w:sz w:val="20"/>
          <w:szCs w:val="20"/>
          <w:color w:val="auto"/>
        </w:rPr>
      </w:pPr>
      <w:r>
        <w:rPr>
          <w:rFonts w:ascii="Arial" w:cs="Arial" w:eastAsia="Arial" w:hAnsi="Arial"/>
          <w:sz w:val="12"/>
          <w:szCs w:val="12"/>
          <w:color w:val="auto"/>
        </w:rPr>
        <w:t>of stockholders shall be confined to the purpose or purposes stated in the notice of meeting. Upon request in writing sent by registered mail to the President or Chief Executive Officer by any stockholder or stockholders entitled to request a special meeting of stockholders pursuant to this Section 2.3, and containing the information required pursuant to Sections 2.11 and 3.15, as applicable, the Board of Directors shall determine a place and time for such meeting, which time shall be not less than 100 nor more than 120 days after the receipt of such request, and a record date for the determination of stockholders entitled to vote at such meeting shall be fixed by the Board of Directors, in advance, which shall not be more than 60 days nor less than 10 days before the date of such meeting. Following such receipt of a request and determination by the Secretary of the validity thereof, it shall be the duty of the Secretary to present the request to the Board of Directors, and upon Board action as provided in this Section 2.3, to cause notice to be given to the stockholders entitled to vote at such meeting, in the manner set forth in Section 2.4 hereof, that a meeting will be held at the place, if any, and time so determined, for the purposes set forth in the stockholder’s request, as well as any purpose or purposes determined by the Board of Directors in accordance with this Section 2.3.</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Notice of Meetings</w:t>
      </w:r>
      <w:r>
        <w:rPr>
          <w:rFonts w:ascii="Arial" w:cs="Arial" w:eastAsia="Arial" w:hAnsi="Arial"/>
          <w:sz w:val="13"/>
          <w:szCs w:val="13"/>
          <w:color w:val="auto"/>
        </w:rPr>
        <w:t>.</w:t>
      </w:r>
    </w:p>
    <w:p>
      <w:pPr>
        <w:spacing w:after="0" w:line="86" w:lineRule="exact"/>
        <w:rPr>
          <w:sz w:val="20"/>
          <w:szCs w:val="20"/>
          <w:color w:val="auto"/>
        </w:rPr>
      </w:pPr>
    </w:p>
    <w:p>
      <w:pPr>
        <w:ind w:right="20" w:firstLine="326"/>
        <w:spacing w:after="0" w:line="258" w:lineRule="auto"/>
        <w:tabs>
          <w:tab w:leader="none" w:pos="50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Written notice of each meeting of stockholders, whether annual or special, shall be given not less than 10 nor more than 60 days before the date on which the meeting is to be held, to each stockholder entitled to vote at such meeting, except as otherwise provided herein or as required by law (meaning here and hereafter, as required from time to time by the DGCL or the Certificate).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his, her or its address as it appears on the records of the Corporation.</w:t>
      </w:r>
    </w:p>
    <w:p>
      <w:pPr>
        <w:spacing w:after="0" w:line="61" w:lineRule="exact"/>
        <w:rPr>
          <w:rFonts w:ascii="Arial" w:cs="Arial" w:eastAsia="Arial" w:hAnsi="Arial"/>
          <w:sz w:val="13"/>
          <w:szCs w:val="13"/>
          <w:color w:val="auto"/>
        </w:rPr>
      </w:pPr>
    </w:p>
    <w:p>
      <w:pPr>
        <w:ind w:right="60" w:firstLine="326"/>
        <w:spacing w:after="0" w:line="281" w:lineRule="auto"/>
        <w:tabs>
          <w:tab w:leader="none" w:pos="513" w:val="left"/>
        </w:tabs>
        <w:numPr>
          <w:ilvl w:val="0"/>
          <w:numId w:val="112"/>
        </w:numPr>
        <w:rPr>
          <w:rFonts w:ascii="Arial" w:cs="Arial" w:eastAsia="Arial" w:hAnsi="Arial"/>
          <w:sz w:val="12"/>
          <w:szCs w:val="12"/>
          <w:color w:val="auto"/>
        </w:rPr>
      </w:pPr>
      <w:r>
        <w:rPr>
          <w:rFonts w:ascii="Arial" w:cs="Arial" w:eastAsia="Arial" w:hAnsi="Arial"/>
          <w:sz w:val="12"/>
          <w:szCs w:val="12"/>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48" w:lineRule="exact"/>
        <w:rPr>
          <w:rFonts w:ascii="Arial" w:cs="Arial" w:eastAsia="Arial" w:hAnsi="Arial"/>
          <w:sz w:val="12"/>
          <w:szCs w:val="12"/>
          <w:color w:val="auto"/>
        </w:rPr>
      </w:pPr>
    </w:p>
    <w:p>
      <w:pPr>
        <w:ind w:left="500" w:hanging="174"/>
        <w:spacing w:after="0"/>
        <w:tabs>
          <w:tab w:leader="none" w:pos="5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Notice of any meeting of stockholders need not be given to any stockholder if waived by such stockholder either in a writing signed by such stockholder or by electronic</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1" w:name="page192"/>
    <w:bookmarkEnd w:id="191"/>
    <w:p>
      <w:pPr>
        <w:ind w:right="240"/>
        <w:spacing w:after="0" w:line="276" w:lineRule="auto"/>
        <w:rPr>
          <w:sz w:val="20"/>
          <w:szCs w:val="20"/>
          <w:color w:val="auto"/>
        </w:rPr>
      </w:pPr>
      <w:r>
        <w:rPr>
          <w:rFonts w:ascii="Arial" w:cs="Arial" w:eastAsia="Arial" w:hAnsi="Arial"/>
          <w:sz w:val="13"/>
          <w:szCs w:val="13"/>
          <w:color w:val="auto"/>
        </w:rPr>
        <w:t>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49"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Voting List</w:t>
      </w:r>
      <w:r>
        <w:rPr>
          <w:rFonts w:ascii="Arial" w:cs="Arial" w:eastAsia="Arial" w:hAnsi="Arial"/>
          <w:sz w:val="13"/>
          <w:szCs w:val="13"/>
          <w:color w:val="auto"/>
        </w:rPr>
        <w:t>. The officer who has charge of the stock ledger of the Corporation shall prepare, at least 10 days before each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such stockholder, for any purpose germane to the meeting, during ordinary business hours, for a period of at least 10 days prior to the meeting, in the manner provided by law. The list shall also be produced and kept at the time and place of the meeting during the whole time of the meeting, and may be inspected by any stockholder who is present. This list shall determine the identity of the stockholders entitled to vote at the meeting and the number of shares held by each of them.</w:t>
      </w:r>
    </w:p>
    <w:p>
      <w:pPr>
        <w:spacing w:after="0" w:line="61"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Quorum</w:t>
      </w:r>
      <w:r>
        <w:rPr>
          <w:rFonts w:ascii="Arial" w:cs="Arial" w:eastAsia="Arial" w:hAnsi="Arial"/>
          <w:sz w:val="13"/>
          <w:szCs w:val="13"/>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Adjournments</w:t>
      </w:r>
      <w:r>
        <w:rPr>
          <w:rFonts w:ascii="Arial" w:cs="Arial" w:eastAsia="Arial" w:hAnsi="Arial"/>
          <w:sz w:val="12"/>
          <w:szCs w:val="12"/>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a new record date is fixed for the adjourned meeting, written notice of the place, if any, date, and time of the adjourned meeting and the means of remote communications, if any, by which stockholders and proxy holders may be deemed to be present in person and vote at such adjourned meeting, shall be given in conformity with Section 2.4 hereof. At the adjourned meeting, the Corporation may transact any business that might have been transacted at the original meeting.</w:t>
      </w:r>
    </w:p>
    <w:p>
      <w:pPr>
        <w:spacing w:after="0" w:line="49"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Voting and Proxies</w:t>
      </w:r>
      <w:r>
        <w:rPr>
          <w:rFonts w:ascii="Arial" w:cs="Arial" w:eastAsia="Arial" w:hAnsi="Arial"/>
          <w:sz w:val="13"/>
          <w:szCs w:val="13"/>
          <w:color w:val="auto"/>
        </w:rPr>
        <w:t>. Each stockholder shall have one vote for each share of stock entitled to vote held of record by such stockholder and a proportionate vote for each fractional share so held, unless otherwise provided by law or in the Certificate. Each stockholder of record entitled to vote at a meeting of stockholders may vote in person or may authorize any other person or persons to vote or act for such stockholder by written proxy executed by the stockholder or its authorized agent or by a transmission permitted by law and delivered to the Secretary of the Corporation. Any copy, facsimile transmission or other reliable reproduction of the writing or transmission created pursuant to this Section may be substituted or used in lieu of the original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2" w:name="page193"/>
    <w:bookmarkEnd w:id="192"/>
    <w:p>
      <w:pPr>
        <w:spacing w:after="0" w:line="276" w:lineRule="auto"/>
        <w:rPr>
          <w:sz w:val="20"/>
          <w:szCs w:val="20"/>
          <w:color w:val="auto"/>
        </w:rPr>
      </w:pPr>
      <w:r>
        <w:rPr>
          <w:rFonts w:ascii="Arial" w:cs="Arial" w:eastAsia="Arial" w:hAnsi="Arial"/>
          <w:sz w:val="13"/>
          <w:szCs w:val="13"/>
          <w:color w:val="auto"/>
        </w:rPr>
        <w:t>writing or transmission for any and all purposes for which the original writing or transmission could be used, provided that such copy, facsimile transmission or other reproduction shall be a complete reproduction of the entire original writing or transmission.</w:t>
      </w:r>
    </w:p>
    <w:p>
      <w:pPr>
        <w:spacing w:after="0" w:line="49"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Record Date</w:t>
      </w:r>
      <w:r>
        <w:rPr>
          <w:rFonts w:ascii="Arial" w:cs="Arial" w:eastAsia="Arial" w:hAnsi="Arial"/>
          <w:sz w:val="12"/>
          <w:szCs w:val="12"/>
          <w:color w:val="auto"/>
        </w:rPr>
        <w:t>. The Board of Directors may fix in advance a record date for the determination of the stockholders entitled to notice of or to vote at any meeting of stockholders or to express consent to corporate action in writing without a meeting,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60 nor less than 10 days before the date of such meeting, nor more than 60 days prior to any other action to which such record date relates. If no record date is fixed by the Board of Directors,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by the Board of Directors, the record date for determining stockholders entitled to express consent to corporate action in writing without a meeting when no prior action by the Board of Directors is necessary shall be the day on which the first written consent is expressed. The record date for determining stockholders for any other purpose shall be at the close of business on the day on which the Board of Directors adopts the resolution relating to such purpose.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0"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Action at Meeting</w:t>
      </w:r>
      <w:r>
        <w:rPr>
          <w:rFonts w:ascii="Arial" w:cs="Arial" w:eastAsia="Arial" w:hAnsi="Arial"/>
          <w:sz w:val="12"/>
          <w:szCs w:val="12"/>
          <w:color w:val="auto"/>
        </w:rPr>
        <w:t>. When a quorum is present at any meeting, any election of directors shall be determined by a plurality of the votes cast by the stockholders entitled to vote at the election, and any other matter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except when a different vote is required by express provision of law, the Certificate or these Bylaws. All voting, except on the election of directors and where otherwise prohibited by law, may be by a voice vote; provided, however, that upon demand therefor by a stockholder entitled to vote or his, her or its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faithfully execute the duties of inspector with strict impartiality and according to the best of his or her ability.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ind w:left="161"/>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Notice of Stockholder Business</w:t>
      </w:r>
      <w:r>
        <w:rPr>
          <w:rFonts w:ascii="Arial" w:cs="Arial" w:eastAsia="Arial" w:hAnsi="Arial"/>
          <w:sz w:val="13"/>
          <w:szCs w:val="13"/>
          <w:color w:val="auto"/>
        </w:rPr>
        <w:t>.</w:t>
      </w:r>
    </w:p>
    <w:p>
      <w:pPr>
        <w:spacing w:after="0" w:line="86" w:lineRule="exact"/>
        <w:rPr>
          <w:sz w:val="20"/>
          <w:szCs w:val="20"/>
          <w:color w:val="auto"/>
        </w:rPr>
      </w:pPr>
    </w:p>
    <w:p>
      <w:pPr>
        <w:ind w:left="1" w:right="20" w:firstLine="326"/>
        <w:spacing w:after="0" w:line="305" w:lineRule="auto"/>
        <w:tabs>
          <w:tab w:leader="none" w:pos="500" w:val="left"/>
        </w:tabs>
        <w:numPr>
          <w:ilvl w:val="1"/>
          <w:numId w:val="113"/>
        </w:numPr>
        <w:rPr>
          <w:rFonts w:ascii="Arial" w:cs="Arial" w:eastAsia="Arial" w:hAnsi="Arial"/>
          <w:sz w:val="11"/>
          <w:szCs w:val="11"/>
          <w:color w:val="auto"/>
        </w:rPr>
      </w:pPr>
      <w:r>
        <w:rPr>
          <w:rFonts w:ascii="Arial" w:cs="Arial" w:eastAsia="Arial" w:hAnsi="Arial"/>
          <w:sz w:val="11"/>
          <w:szCs w:val="11"/>
          <w:color w:val="auto"/>
        </w:rPr>
        <w:t>At an annual or special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properly brought before the meeting by or at the direction of the Board of Directors, or</w:t>
      </w:r>
    </w:p>
    <w:p>
      <w:pPr>
        <w:ind w:left="1" w:hanging="1"/>
        <w:spacing w:after="0" w:line="278" w:lineRule="auto"/>
        <w:tabs>
          <w:tab w:leader="none" w:pos="231" w:val="left"/>
        </w:tabs>
        <w:numPr>
          <w:ilvl w:val="0"/>
          <w:numId w:val="114"/>
        </w:numPr>
        <w:rPr>
          <w:rFonts w:ascii="Arial" w:cs="Arial" w:eastAsia="Arial" w:hAnsi="Arial"/>
          <w:sz w:val="12"/>
          <w:szCs w:val="12"/>
          <w:color w:val="auto"/>
        </w:rPr>
      </w:pPr>
      <w:r>
        <w:rPr>
          <w:rFonts w:ascii="Arial" w:cs="Arial" w:eastAsia="Arial" w:hAnsi="Arial"/>
          <w:sz w:val="12"/>
          <w:szCs w:val="12"/>
          <w:color w:val="auto"/>
        </w:rPr>
        <w:t>properly brought before the meeting by a stockholder of record. For business to be properly brought before an annual meeting by a stockholder, it must be a proper matter for stockholder action under the DGCL and the stockholder must have given timely notice thereof in writing to the Secretary of the Corporation. To be timely, a stockholder proposal to be presented at an annual meeting shall be received at the Corporation’s principal executive offices not less than 120 days prior to the first anniversary of the date that the Corporation’s (or its predecessor’s) proxy statement was released to stockholders in connection with the previous year’s annual meeting of stockholders, except that if no annual meeting was held in the previous year or the date of the annual meeting is more than 30 days earlier than the date contemplated at the time of the previous year’s proxy statement, notice by the stockholders to be timely must be received not later than the close of business on the 10th day following the day on which the date of the annual meeting is publicly announced. “Public announcement” for purposes hereof shall have the meaning set forth in Article III, Section 3.15(c) of these Bylaws. In no event shall the public announcement of an 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 Section 2.3.</w:t>
      </w:r>
    </w:p>
    <w:p>
      <w:pPr>
        <w:spacing w:after="0" w:line="50" w:lineRule="exact"/>
        <w:rPr>
          <w:rFonts w:ascii="Arial" w:cs="Arial" w:eastAsia="Arial" w:hAnsi="Arial"/>
          <w:sz w:val="12"/>
          <w:szCs w:val="12"/>
          <w:color w:val="auto"/>
        </w:rPr>
      </w:pPr>
    </w:p>
    <w:p>
      <w:pPr>
        <w:ind w:left="1" w:firstLine="326"/>
        <w:spacing w:after="0" w:line="260" w:lineRule="auto"/>
        <w:tabs>
          <w:tab w:leader="none" w:pos="507"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 stockholder’s notice to the Secretary of the Corporation shall set forth as to each matter the stockholder proposes to bring before the meeting (i) a brief description of the business desired to be brought before the meeting, (ii) the name and address, as they appear on the Company’s books, of the stockholder proposing such business and the name and address of the beneficial owner, if any, on whose behalf the business is being brought, (iii) the class and number of shares of the Corporation which are owned beneficially and of record by the stockholder and such other beneficial owner, and (iv) any material interest of the stockholder and such other beneficial owner in such business.</w:t>
      </w:r>
    </w:p>
    <w:p>
      <w:pPr>
        <w:spacing w:after="0" w:line="59" w:lineRule="exact"/>
        <w:rPr>
          <w:rFonts w:ascii="Arial" w:cs="Arial" w:eastAsia="Arial" w:hAnsi="Arial"/>
          <w:sz w:val="13"/>
          <w:szCs w:val="13"/>
          <w:color w:val="auto"/>
        </w:rPr>
      </w:pPr>
    </w:p>
    <w:p>
      <w:pPr>
        <w:ind w:left="1" w:right="100" w:firstLine="326"/>
        <w:spacing w:after="0" w:line="264" w:lineRule="auto"/>
        <w:tabs>
          <w:tab w:leader="none" w:pos="507" w:val="left"/>
        </w:tabs>
        <w:numPr>
          <w:ilvl w:val="1"/>
          <w:numId w:val="114"/>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2.11, a stockholder shall also comply with all applicable requirements of the Securities Exchange Act of 1934 (the “Exchange Act”) and the rules and regulations thereunder with respect to the matters set forth in this Section 2.11. Nothing in this Section 2.11 shall be deemed to affect any rights of stockholders to request inclusion of proposals in the Corporation’s proxy statement pursuant to Rule 14a-8 under the Exchange Act.</w:t>
      </w:r>
    </w:p>
    <w:p>
      <w:pPr>
        <w:spacing w:after="0" w:line="57" w:lineRule="exact"/>
        <w:rPr>
          <w:sz w:val="20"/>
          <w:szCs w:val="20"/>
          <w:color w:val="auto"/>
        </w:rPr>
      </w:pPr>
    </w:p>
    <w:p>
      <w:pPr>
        <w:ind w:left="1" w:right="40" w:firstLine="164"/>
        <w:spacing w:after="0" w:line="260"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At every meeting of the stockholders, the Chairman of the Board, or, in his or her absence, the President, or, in his or her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2.8 of these Bylaws to act by proxy, and officers of the Corporation. The chairman of the meeting shall call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94" w:name="page195"/>
    <w:bookmarkEnd w:id="194"/>
    <w:p>
      <w:pPr>
        <w:spacing w:after="0" w:line="279" w:lineRule="auto"/>
        <w:rPr>
          <w:sz w:val="20"/>
          <w:szCs w:val="20"/>
          <w:color w:val="auto"/>
        </w:rPr>
      </w:pPr>
      <w:r>
        <w:rPr>
          <w:rFonts w:ascii="Arial" w:cs="Arial" w:eastAsia="Arial" w:hAnsi="Arial"/>
          <w:sz w:val="12"/>
          <w:szCs w:val="12"/>
          <w:color w:val="auto"/>
        </w:rPr>
        <w:t>meeting to order, establish the agenda, and conduct the business of the meeting in accordance therewith or, at the chairman’s discretion, it may be conducted otherwise in accordance with the wishes of the stockholders in attendance. The date and time of the opening and closing of the polls for each matter upon which the stockholders will vote at the meeting shall be announced at the meeting. 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this Section 2.12 and Section 2.11 above. The chairman of a meeting may determine and declare to the meeting that any proposed item of business was not brought before the meeting in accordance with the provisions of this Section 2.12 and Section 2.11, and if he or she should so determine, he or she shall so declare to the meeting and any such business not properly brought before the meeting shall not be transacted.</w:t>
      </w:r>
    </w:p>
    <w:p>
      <w:pPr>
        <w:spacing w:after="0" w:line="50" w:lineRule="exact"/>
        <w:rPr>
          <w:sz w:val="20"/>
          <w:szCs w:val="20"/>
          <w:color w:val="auto"/>
        </w:rPr>
      </w:pPr>
    </w:p>
    <w:p>
      <w:pPr>
        <w:ind w:firstLine="164"/>
        <w:spacing w:after="0" w:line="305" w:lineRule="auto"/>
        <w:rPr>
          <w:sz w:val="20"/>
          <w:szCs w:val="20"/>
          <w:color w:val="auto"/>
        </w:rPr>
      </w:pPr>
      <w:r>
        <w:rPr>
          <w:rFonts w:ascii="Arial" w:cs="Arial" w:eastAsia="Arial" w:hAnsi="Arial"/>
          <w:sz w:val="11"/>
          <w:szCs w:val="11"/>
          <w:color w:val="auto"/>
        </w:rPr>
        <w:t xml:space="preserve">2.13 </w:t>
      </w:r>
      <w:r>
        <w:rPr>
          <w:rFonts w:ascii="Arial" w:cs="Arial" w:eastAsia="Arial" w:hAnsi="Arial"/>
          <w:sz w:val="11"/>
          <w:szCs w:val="11"/>
          <w:u w:val="single" w:color="auto"/>
          <w:color w:val="auto"/>
        </w:rPr>
        <w:t>Stockholder Action Without Meeting</w:t>
      </w:r>
      <w:r>
        <w:rPr>
          <w:rFonts w:ascii="Arial" w:cs="Arial" w:eastAsia="Arial" w:hAnsi="Arial"/>
          <w:sz w:val="11"/>
          <w:szCs w:val="11"/>
          <w:color w:val="auto"/>
        </w:rPr>
        <w:t>. Effective upon the closing of the Corporation’s initial public offering of its common stock,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of its common stock,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 An electronic transmission consenting to an action to be taken and transmitted by a stockholder, or by a proxy holder or other person authorized to act for a stockholder, shall be deemed to be written, signed and dated for the purpose of this Section 2.13, provided that such electronic transmission sets forth or is delivered with information from which the Corporation can determine (i) that the electronic transmission was transmitted by the stockholder or by a person authorized to act for the stockholder and (ii) the date on which such stockholder or authorized person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books in which proceedings of meetings of stockholders are recorded.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5" w:name="page196"/>
    <w:bookmarkEnd w:id="195"/>
    <w:p>
      <w:pPr>
        <w:ind w:right="60" w:firstLine="164"/>
        <w:spacing w:after="0" w:line="282"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Meetings by Remote Communication</w:t>
      </w:r>
      <w:r>
        <w:rPr>
          <w:rFonts w:ascii="Arial" w:cs="Arial" w:eastAsia="Arial" w:hAnsi="Arial"/>
          <w:sz w:val="12"/>
          <w:szCs w:val="12"/>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BOARD OF DIRECTORS</w:t>
      </w:r>
    </w:p>
    <w:p>
      <w:pPr>
        <w:spacing w:after="0" w:line="79" w:lineRule="exact"/>
        <w:rPr>
          <w:sz w:val="20"/>
          <w:szCs w:val="20"/>
          <w:color w:val="auto"/>
        </w:rPr>
      </w:pPr>
    </w:p>
    <w:p>
      <w:pPr>
        <w:ind w:right="80" w:firstLine="164"/>
        <w:spacing w:after="0" w:line="371" w:lineRule="auto"/>
        <w:rPr>
          <w:sz w:val="20"/>
          <w:szCs w:val="20"/>
          <w:color w:val="auto"/>
        </w:rPr>
      </w:pPr>
      <w:r>
        <w:rPr>
          <w:rFonts w:ascii="Arial" w:cs="Arial" w:eastAsia="Arial" w:hAnsi="Arial"/>
          <w:sz w:val="11"/>
          <w:szCs w:val="11"/>
          <w:color w:val="auto"/>
        </w:rPr>
        <w:t xml:space="preserve">3.1 </w:t>
      </w:r>
      <w:r>
        <w:rPr>
          <w:rFonts w:ascii="Arial" w:cs="Arial" w:eastAsia="Arial" w:hAnsi="Arial"/>
          <w:sz w:val="11"/>
          <w:szCs w:val="11"/>
          <w:u w:val="single" w:color="auto"/>
          <w:color w:val="auto"/>
        </w:rPr>
        <w:t>General Powers</w:t>
      </w:r>
      <w:r>
        <w:rPr>
          <w:rFonts w:ascii="Arial" w:cs="Arial" w:eastAsia="Arial" w:hAnsi="Arial"/>
          <w:sz w:val="11"/>
          <w:szCs w:val="11"/>
          <w:color w:val="auto"/>
        </w:rPr>
        <w:t>. The business and affairs of the Corporation shall be managed by or under the direction of a Board of Directors, who may exercise all of the powers of the Corporation except as otherwise provided by law or the Certificate. In the event of a vacancy in the Board of Directors, the remaining directors, except as otherwise provided by law, may exercise the powers of the full Board until the vacancy is filled.</w:t>
      </w:r>
    </w:p>
    <w:p>
      <w:pPr>
        <w:spacing w:after="0" w:line="2"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Number and Term of Office</w:t>
      </w:r>
      <w:r>
        <w:rPr>
          <w:rFonts w:ascii="Arial" w:cs="Arial" w:eastAsia="Arial" w:hAnsi="Arial"/>
          <w:sz w:val="12"/>
          <w:szCs w:val="12"/>
          <w:color w:val="auto"/>
        </w:rPr>
        <w:t>. Subject to the rights of the holders of any series of preferred stock to elect directors under specified circumstances, the number of directors shall initially be four (4)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Effective upon the date of the closing of the Corporation’s initial public offering of its common stock (the “Effective Date”), the directors, other than those who may be elected by the holders of any series of preferred stock under specified circumstances, shall be divided into three classes, with the term of office of the first class to expire at the first annual meeting of stockholders held after the Effective Date; the term of office of the second class to expire at the second annual meeting of stockholders held after the Effective Date; the term of office of the third class to expire at the third annual meeting of stockholders held after the Effective Date; and thereafter for each such term to expire at each third succeeding annual meeting of stockholders after such election. All directors shall hold office until the expiration of the term for which elected and until their respective successors are elected, except in the case of the death, resignation or removal of any director. At each annual meeting of stockholders commencing with the first annual meeting held after the Effective Date, (i) directors elected to succeed those directors whose terms expire shall be elected for a term of office to expire at the third succeeding annual meeting of stockholders after their election, with each director to hold office until his or her successor shall have been duly elected and qualified, and (ii) if authorized by a resolution of the Board of Directors, directors may be elected to fill any vacancy on the Board of Directors, regardless of how such vacancy shall have been created.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ind w:firstLine="164"/>
        <w:spacing w:after="0" w:line="258"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Vacancies and Newly Created Directorships</w:t>
      </w:r>
      <w:r>
        <w:rPr>
          <w:rFonts w:ascii="Arial" w:cs="Arial" w:eastAsia="Arial" w:hAnsi="Arial"/>
          <w:sz w:val="13"/>
          <w:szCs w:val="13"/>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(and not by stockholders), or by the sole remaining director, and directors so chosen shall hold office for a term expiring at the next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61"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Resignation</w:t>
      </w:r>
      <w:r>
        <w:rPr>
          <w:rFonts w:ascii="Arial" w:cs="Arial" w:eastAsia="Arial" w:hAnsi="Arial"/>
          <w:sz w:val="13"/>
          <w:szCs w:val="13"/>
          <w:color w:val="auto"/>
        </w:rPr>
        <w:t>. Any director may resign by delivering notice in writing or by electronic transmission to the President, Chairman of the Board or Secretary. Such resignation shall be effective upon receipt unless it is specified to be effective at some other time or upon the happening of some other event.</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Removal</w:t>
      </w:r>
      <w:r>
        <w:rPr>
          <w:rFonts w:ascii="Arial" w:cs="Arial" w:eastAsia="Arial" w:hAnsi="Arial"/>
          <w:sz w:val="13"/>
          <w:szCs w:val="13"/>
          <w:color w:val="auto"/>
        </w:rPr>
        <w:t>. Subject to the rights of the holders of any series of preferred stock then outstanding, any directors, or the entire Board of Directors, may be removed from office at any time, but only for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at which the term of office of the class to which they have been elected expires.</w:t>
      </w:r>
    </w:p>
    <w:p>
      <w:pPr>
        <w:spacing w:after="0" w:line="60"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Regular Meetings</w:t>
      </w:r>
      <w:r>
        <w:rPr>
          <w:rFonts w:ascii="Arial" w:cs="Arial" w:eastAsia="Arial" w:hAnsi="Arial"/>
          <w:sz w:val="13"/>
          <w:szCs w:val="13"/>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57"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may be called by the Chairman of the Board, the President or two or more directors and may be held at any time and place, within or without the State of Delaware.</w:t>
      </w:r>
    </w:p>
    <w:p>
      <w:pPr>
        <w:spacing w:after="0" w:line="49"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Notice of Special Meetings</w:t>
      </w:r>
      <w:r>
        <w:rPr>
          <w:rFonts w:ascii="Arial" w:cs="Arial" w:eastAsia="Arial" w:hAnsi="Arial"/>
          <w:sz w:val="13"/>
          <w:szCs w:val="13"/>
          <w:color w:val="auto"/>
        </w:rPr>
        <w:t>. Notice of any special meeting of directors shall be given to each director by whom it is not waived by the Secretary or by the officer or one of the directors calling the meeting. Notice shall be duly given to each director by (i) giving notice to such director in person or by telephone, electronic transmission or voice message system at least 24 hours in advance of the meeting, (ii) sending a facsimile to his or her last known facsimile number, or delivering written notice by hand to his or her last known business or home address, at least 24 hours in advance of the meeting, or (iii) mailing written notice to his or her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7" w:name="page198"/>
    <w:bookmarkEnd w:id="197"/>
    <w:p>
      <w:pPr>
        <w:ind w:right="80" w:firstLine="164"/>
        <w:spacing w:after="0" w:line="264"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Participation in Meetings by Telephone Conference Calls or Other Methods of Communication</w:t>
      </w:r>
      <w:r>
        <w:rPr>
          <w:rFonts w:ascii="Arial" w:cs="Arial" w:eastAsia="Arial" w:hAnsi="Arial"/>
          <w:sz w:val="13"/>
          <w:szCs w:val="13"/>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57" w:lineRule="exact"/>
        <w:rPr>
          <w:sz w:val="20"/>
          <w:szCs w:val="20"/>
          <w:color w:val="auto"/>
        </w:rPr>
      </w:pPr>
    </w:p>
    <w:p>
      <w:pPr>
        <w:jc w:val="both"/>
        <w:ind w:right="140" w:firstLine="164"/>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Quorum</w:t>
      </w:r>
      <w:r>
        <w:rPr>
          <w:rFonts w:ascii="Arial" w:cs="Arial" w:eastAsia="Arial" w:hAnsi="Arial"/>
          <w:sz w:val="13"/>
          <w:szCs w:val="13"/>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Action at Meeting</w:t>
      </w:r>
      <w:r>
        <w:rPr>
          <w:rFonts w:ascii="Arial" w:cs="Arial" w:eastAsia="Arial" w:hAnsi="Arial"/>
          <w:sz w:val="13"/>
          <w:szCs w:val="13"/>
          <w:color w:val="auto"/>
        </w:rPr>
        <w:t>. At any meeting of the Board of Directors at which a quorum is present, the vote of a majority of those present shall be sufficient to take any action, unless a different vote is specified by law, the Certificate or these Bylaws.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Action by Written Consent</w:t>
      </w:r>
      <w:r>
        <w:rPr>
          <w:rFonts w:ascii="Arial" w:cs="Arial" w:eastAsia="Arial" w:hAnsi="Arial"/>
          <w:sz w:val="13"/>
          <w:szCs w:val="13"/>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57" w:lineRule="exact"/>
        <w:rPr>
          <w:sz w:val="20"/>
          <w:szCs w:val="20"/>
          <w:color w:val="auto"/>
        </w:rPr>
      </w:pPr>
    </w:p>
    <w:p>
      <w:pPr>
        <w:ind w:right="40" w:firstLine="164"/>
        <w:spacing w:after="0" w:line="281"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Committees</w:t>
      </w:r>
      <w:r>
        <w:rPr>
          <w:rFonts w:ascii="Arial" w:cs="Arial" w:eastAsia="Arial" w:hAnsi="Arial"/>
          <w:sz w:val="12"/>
          <w:szCs w:val="12"/>
          <w:color w:val="auto"/>
        </w:rPr>
        <w:t>. The Board of Directors shall designate an Audit Committee, a Compensation Committee and a Nominating and Corporate Governance Committee, and whatever other committees the Board of Directors deems advisable, each of which shall have and may exercise the powers and authority of the Board of Directors to the extent provided in the charters of each committee adopted by the Board of Directors in one or more resolutions..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she or they constitute a quorum, may unanimously appoint another member of the Board of Directors to act at the meeting in the place of any such absent or disqualified member.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49" w:lineRule="exact"/>
        <w:rPr>
          <w:sz w:val="20"/>
          <w:szCs w:val="20"/>
          <w:color w:val="auto"/>
        </w:rPr>
      </w:pPr>
    </w:p>
    <w:p>
      <w:pPr>
        <w:ind w:right="520" w:firstLine="164"/>
        <w:spacing w:after="0" w:line="320" w:lineRule="auto"/>
        <w:rPr>
          <w:sz w:val="20"/>
          <w:szCs w:val="20"/>
          <w:color w:val="auto"/>
        </w:rPr>
      </w:pPr>
      <w:r>
        <w:rPr>
          <w:rFonts w:ascii="Arial" w:cs="Arial" w:eastAsia="Arial" w:hAnsi="Arial"/>
          <w:sz w:val="12"/>
          <w:szCs w:val="12"/>
          <w:color w:val="auto"/>
        </w:rPr>
        <w:t xml:space="preserve">3.14 </w:t>
      </w:r>
      <w:r>
        <w:rPr>
          <w:rFonts w:ascii="Arial" w:cs="Arial" w:eastAsia="Arial" w:hAnsi="Arial"/>
          <w:sz w:val="12"/>
          <w:szCs w:val="12"/>
          <w:u w:val="single" w:color="auto"/>
          <w:color w:val="auto"/>
        </w:rPr>
        <w:t>Compensation of Directors</w:t>
      </w:r>
      <w:r>
        <w:rPr>
          <w:rFonts w:ascii="Arial" w:cs="Arial" w:eastAsia="Arial" w:hAnsi="Arial"/>
          <w:sz w:val="12"/>
          <w:szCs w:val="12"/>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ind w:left="160"/>
        <w:spacing w:after="0"/>
        <w:rPr>
          <w:sz w:val="20"/>
          <w:szCs w:val="20"/>
          <w:color w:val="auto"/>
        </w:rPr>
      </w:pPr>
      <w:r>
        <w:rPr>
          <w:rFonts w:ascii="Arial" w:cs="Arial" w:eastAsia="Arial" w:hAnsi="Arial"/>
          <w:sz w:val="13"/>
          <w:szCs w:val="13"/>
          <w:color w:val="auto"/>
        </w:rPr>
        <w:t xml:space="preserve">3.15 </w:t>
      </w:r>
      <w:r>
        <w:rPr>
          <w:rFonts w:ascii="Arial" w:cs="Arial" w:eastAsia="Arial" w:hAnsi="Arial"/>
          <w:sz w:val="13"/>
          <w:szCs w:val="13"/>
          <w:u w:val="single" w:color="auto"/>
          <w:color w:val="auto"/>
        </w:rPr>
        <w:t>Nomination of Director Candidates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76" w:lineRule="auto"/>
        <w:tabs>
          <w:tab w:leader="none" w:pos="506" w:val="left"/>
        </w:tabs>
        <w:numPr>
          <w:ilvl w:val="0"/>
          <w:numId w:val="115"/>
        </w:numPr>
        <w:rPr>
          <w:rFonts w:ascii="Arial" w:cs="Arial" w:eastAsia="Arial" w:hAnsi="Arial"/>
          <w:sz w:val="12"/>
          <w:szCs w:val="12"/>
          <w:color w:val="auto"/>
        </w:rPr>
      </w:pPr>
      <w:r>
        <w:rPr>
          <w:rFonts w:ascii="Arial" w:cs="Arial" w:eastAsia="Arial" w:hAnsi="Arial"/>
          <w:sz w:val="12"/>
          <w:szCs w:val="12"/>
          <w:color w:val="auto"/>
        </w:rPr>
        <w:t>Subject to the rights of holders of any class or series of preferred stock then outstanding, nominations for the election of directors at an annual meeting may be made by (i) the Board of Directors or a duly authorized committee thereof or (ii) any stockholder entitled to vote in the election of directors generally who complies with the procedures set forth in this Section 3.15 and who is a stockholder of record at the time notice is delivered to the Secretary of the Corporation. Any stockholder entitled to vote in the election of directors generally may nominate one or more persons for election as directors at an annual meeting only if timely notice of such stockholder’s intent to make such nomination or nominations has been given in writing to the Secretary of the Corporation. To be timely, a stockholder nomination for a director to be elected at an annual meeting shall be received at the Corporation’s principal executive offices not less than 120 calendar days in advance of the first anniversary of the date that the Corporation’s (or the Corporation’s predecessor’s)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Each such notice shall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Corporation entitled to vote for the election of directors on the date of such notice and intends to appear in person or by proxy at the meeting to nominate the person or persons specified in the notice; (iii) a description of all arrangements or understandings between the stockholder or such beneficial owner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(v) the consent of each nominee to serve as a director of the Corporation if so elected; and (vi) the class and number of shares of the Corporation that are owned beneficially and of record by such stockholder and such beneficial owner. In no event shall the public announcement of an adjournment or postponement of an annual meeting commence a new time period (or extend any time period) for the giving of a stockholder’s notice as described above. Notwithstanding the third sentence of this Section 3.15(a), in the event that the number of directors to be elected at an annual meeting is increased and there is no public announcement by the Corporation naming the nominees for the additional directorships at least 130 days prior to the first anniversary of the date that the Corporation’s (or its predecessor’s) proxy statement was released to stockholders in connection with the previous year’s annual meeting, a stockholder’s notice required by this Section 3.15(a)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ind w:left="-20" w:right="20" w:firstLine="326"/>
        <w:spacing w:after="0" w:line="255" w:lineRule="auto"/>
        <w:tabs>
          <w:tab w:leader="none" w:pos="49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Nominations of persons for election to the Board of Directors may be made at a special meeting of stockholders at which directors are to be elected pursuant to the Corporation’s notice of meeting by or at the direction of the Board of Directors or a committee thereof or any stockholder of the Corporation who is entitled to vote at the meeting, who complies with the notice procedures set forth in this Section 3.15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paragraph (a) of this Bylaw shall be delivered to the Secretary at the principal executive offices of the Corporation not earlier than the 90th day prior to such special meeting and not later than the close of business on the later of the 70th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66" w:lineRule="exact"/>
        <w:rPr>
          <w:rFonts w:ascii="Arial" w:cs="Arial" w:eastAsia="Arial" w:hAnsi="Arial"/>
          <w:sz w:val="13"/>
          <w:szCs w:val="13"/>
          <w:color w:val="auto"/>
        </w:rPr>
      </w:pPr>
    </w:p>
    <w:p>
      <w:pPr>
        <w:ind w:left="-20" w:firstLine="326"/>
        <w:spacing w:after="0" w:line="276" w:lineRule="auto"/>
        <w:tabs>
          <w:tab w:leader="none" w:pos="48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49" w:lineRule="exact"/>
        <w:rPr>
          <w:rFonts w:ascii="Arial" w:cs="Arial" w:eastAsia="Arial" w:hAnsi="Arial"/>
          <w:sz w:val="13"/>
          <w:szCs w:val="13"/>
          <w:color w:val="auto"/>
        </w:rPr>
      </w:pPr>
    </w:p>
    <w:p>
      <w:pPr>
        <w:jc w:val="both"/>
        <w:ind w:left="-20" w:right="40" w:firstLine="326"/>
        <w:spacing w:after="0" w:line="264" w:lineRule="auto"/>
        <w:tabs>
          <w:tab w:leader="none" w:pos="49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3.15, a stockholder shall also comply with all applicable requirements of the Exchange Act and the rules and regulations thereunder with respect to the matters set forth in this Section 3.15. Nothing in this Section 3.15 shall be deemed to affect any rights of stockholders to request inclusion of proposals in the Corporation’s proxy statement pursuant to Rule 14a-8 under the Exchange Act.</w:t>
      </w:r>
    </w:p>
    <w:p>
      <w:pPr>
        <w:spacing w:after="0" w:line="57" w:lineRule="exact"/>
        <w:rPr>
          <w:rFonts w:ascii="Arial" w:cs="Arial" w:eastAsia="Arial" w:hAnsi="Arial"/>
          <w:sz w:val="13"/>
          <w:szCs w:val="13"/>
          <w:color w:val="auto"/>
        </w:rPr>
      </w:pPr>
    </w:p>
    <w:p>
      <w:pPr>
        <w:jc w:val="both"/>
        <w:ind w:left="-20" w:right="100" w:firstLine="326"/>
        <w:spacing w:after="0" w:line="264" w:lineRule="auto"/>
        <w:tabs>
          <w:tab w:leader="none" w:pos="48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Only persons nominated in accordance with the procedures set forth in this Section 3.15 shall be eligible to serve as directors. Except as otherwise provided by law, the chairman of the meeting shall have the power and duty (a) to determine whether a nomination was made in accordance with the procedures set forth in this Section 3.15 and (b) if any proposed nomination was not made in compliance with this Section 3.15, to declare that such nomination shall be disregarded.</w:t>
      </w:r>
    </w:p>
    <w:p>
      <w:pPr>
        <w:spacing w:after="0" w:line="57" w:lineRule="exact"/>
        <w:rPr>
          <w:rFonts w:ascii="Arial" w:cs="Arial" w:eastAsia="Arial" w:hAnsi="Arial"/>
          <w:sz w:val="13"/>
          <w:szCs w:val="13"/>
          <w:color w:val="auto"/>
        </w:rPr>
      </w:pPr>
    </w:p>
    <w:p>
      <w:pPr>
        <w:ind w:left="-20" w:right="40" w:firstLine="326"/>
        <w:spacing w:after="0" w:line="264" w:lineRule="auto"/>
        <w:tabs>
          <w:tab w:leader="none" w:pos="47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If the chairman of the meeting for the election of directors determines that a nomination of any candidate for election as a director at such meeting was not made in accordance with the applicable provisions of this Section 3.15, such nomination shall be void; provided, however, that nothing in this Section 3.15 shall be deemed to limit any voting rights upon the occurrence of dividend arrearages provided to holders of preferred stock pursuant to the preferred stock designation for any series of preferred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w:t>
      </w:r>
    </w:p>
    <w:p>
      <w:pPr>
        <w:spacing w:after="0" w:line="7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Enumeration</w:t>
      </w:r>
      <w:r>
        <w:rPr>
          <w:rFonts w:ascii="Arial" w:cs="Arial" w:eastAsia="Arial" w:hAnsi="Arial"/>
          <w:sz w:val="13"/>
          <w:szCs w:val="13"/>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Election</w:t>
      </w:r>
      <w:r>
        <w:rPr>
          <w:rFonts w:ascii="Arial" w:cs="Arial" w:eastAsia="Arial" w:hAnsi="Arial"/>
          <w:sz w:val="12"/>
          <w:szCs w:val="12"/>
          <w:color w:val="auto"/>
        </w:rPr>
        <w:t>. Officers shall be elected annually by the Board of Directors at its first meeting following the annual meeting of stockholders. Officers may be appointed by the Board of Directors at any other meeting.</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Qualification</w:t>
      </w:r>
      <w:r>
        <w:rPr>
          <w:rFonts w:ascii="Arial" w:cs="Arial" w:eastAsia="Arial" w:hAnsi="Arial"/>
          <w:sz w:val="13"/>
          <w:szCs w:val="13"/>
          <w:color w:val="auto"/>
        </w:rPr>
        <w:t>. No officer need be a stockholder. Any two or more offices may be held by the same person.</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Tenure</w:t>
      </w:r>
      <w:r>
        <w:rPr>
          <w:rFonts w:ascii="Arial" w:cs="Arial" w:eastAsia="Arial" w:hAnsi="Arial"/>
          <w:sz w:val="13"/>
          <w:szCs w:val="13"/>
          <w:color w:val="auto"/>
        </w:rPr>
        <w:t>. Except as otherwise provided by law, by the Certificate or by these Bylaws, each officer shall hold office until his or her successor is elected and qualified, unless a different term is specified in the vote appointing him or her, or until his or her earlier death, resignation or removal.</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Resignation and Removal</w:t>
      </w:r>
      <w:r>
        <w:rPr>
          <w:rFonts w:ascii="Arial" w:cs="Arial" w:eastAsia="Arial" w:hAnsi="Arial"/>
          <w:sz w:val="13"/>
          <w:szCs w:val="13"/>
          <w:color w:val="auto"/>
        </w:rPr>
        <w:t>. Any officer may resign by delivering his or her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Chairman of the Board</w:t>
      </w:r>
      <w:r>
        <w:rPr>
          <w:rFonts w:ascii="Arial" w:cs="Arial" w:eastAsia="Arial" w:hAnsi="Arial"/>
          <w:sz w:val="13"/>
          <w:szCs w:val="13"/>
          <w:color w:val="auto"/>
        </w:rPr>
        <w:t>. The Board of Directors may appoint a Chairman of the Board. If the Board of Directors appoints a Chairman of the Board, he or she shall perform such duties and possess such powers as are assigned to him or her by the Board of Directors. Unless otherwise provided by the Board of Directors, he or she shall preside at all meetings of the Board of Directors.</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Chief Executive Officer</w:t>
      </w:r>
      <w:r>
        <w:rPr>
          <w:rFonts w:ascii="Arial" w:cs="Arial" w:eastAsia="Arial" w:hAnsi="Arial"/>
          <w:sz w:val="13"/>
          <w:szCs w:val="13"/>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60"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President</w:t>
      </w:r>
      <w:r>
        <w:rPr>
          <w:rFonts w:ascii="Arial" w:cs="Arial" w:eastAsia="Arial" w:hAnsi="Arial"/>
          <w:sz w:val="13"/>
          <w:szCs w:val="13"/>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1" w:name="page202"/>
    <w:bookmarkEnd w:id="201"/>
    <w:p>
      <w:pPr>
        <w:ind w:right="40"/>
        <w:spacing w:after="0" w:line="264" w:lineRule="auto"/>
        <w:rPr>
          <w:sz w:val="20"/>
          <w:szCs w:val="20"/>
          <w:color w:val="auto"/>
        </w:rPr>
      </w:pPr>
      <w:r>
        <w:rPr>
          <w:rFonts w:ascii="Arial" w:cs="Arial" w:eastAsia="Arial" w:hAnsi="Arial"/>
          <w:sz w:val="13"/>
          <w:szCs w:val="13"/>
          <w:color w:val="auto"/>
        </w:rPr>
        <w:t>Executive Officer of the Corporation. The President shall have such other powers and duties as may be prescribed by the Board of Directors or these Bylaws. He or she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57" w:lineRule="exact"/>
        <w:rPr>
          <w:sz w:val="20"/>
          <w:szCs w:val="20"/>
          <w:color w:val="auto"/>
        </w:rPr>
      </w:pPr>
    </w:p>
    <w:p>
      <w:pPr>
        <w:jc w:val="both"/>
        <w:ind w:firstLine="164"/>
        <w:spacing w:after="0" w:line="260"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Vice Presidents</w:t>
      </w:r>
      <w:r>
        <w:rPr>
          <w:rFonts w:ascii="Arial" w:cs="Arial" w:eastAsia="Arial" w:hAnsi="Arial"/>
          <w:sz w:val="13"/>
          <w:szCs w:val="13"/>
          <w:color w:val="auto"/>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60" w:lineRule="exact"/>
        <w:rPr>
          <w:sz w:val="20"/>
          <w:szCs w:val="20"/>
          <w:color w:val="auto"/>
        </w:rPr>
      </w:pPr>
    </w:p>
    <w:p>
      <w:pPr>
        <w:ind w:right="80" w:firstLine="164"/>
        <w:spacing w:after="0" w:line="281"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Secretary and Assistant Secretaries</w:t>
      </w:r>
      <w:r>
        <w:rPr>
          <w:rFonts w:ascii="Arial" w:cs="Arial" w:eastAsia="Arial" w:hAnsi="Arial"/>
          <w:sz w:val="12"/>
          <w:szCs w:val="12"/>
          <w:color w:val="auto"/>
        </w:rPr>
        <w:t>.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 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In the absence of the Secretary or any Assistant Secretary at any meeting of stockholders or directors, the person presiding at the meeting shall designate a temporary Secretary to keep a record of the meeting.</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Treasurer</w:t>
      </w:r>
      <w:r>
        <w:rPr>
          <w:rFonts w:ascii="Arial" w:cs="Arial" w:eastAsia="Arial" w:hAnsi="Arial"/>
          <w:sz w:val="13"/>
          <w:szCs w:val="13"/>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57"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Chief Financial Officer</w:t>
      </w:r>
      <w:r>
        <w:rPr>
          <w:rFonts w:ascii="Arial" w:cs="Arial" w:eastAsia="Arial" w:hAnsi="Arial"/>
          <w:sz w:val="13"/>
          <w:szCs w:val="13"/>
          <w:color w:val="auto"/>
        </w:rPr>
        <w:t>. The Chief Financial Officer shall perform such duties and shall have such powers as may from time to time be assigned to him or her by the Board of Directors, the Chief Executive Officer or the President. Unless otherwise designated by the Board of Directors, the Chief Financial Officer shall be the Treasurer of the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Salaries</w:t>
      </w:r>
      <w:r>
        <w:rPr>
          <w:rFonts w:ascii="Arial" w:cs="Arial" w:eastAsia="Arial" w:hAnsi="Arial"/>
          <w:sz w:val="13"/>
          <w:szCs w:val="13"/>
          <w:color w:val="auto"/>
        </w:rPr>
        <w:t>. Officers of the Corporation shall be entitled to such salaries, compensation or reimbursement as shall be fixed or allowed from time to time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The Board of Directors may from time to time delegate the powers or duties of any officer to any other officers or agents, notwithstanding any provision hereof.</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3"/>
          <w:szCs w:val="13"/>
          <w:b w:val="1"/>
          <w:bCs w:val="1"/>
          <w:color w:val="auto"/>
        </w:rPr>
        <w:t>ARTICLE V</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CAPITAL STOCK</w:t>
      </w:r>
    </w:p>
    <w:p>
      <w:pPr>
        <w:spacing w:after="0" w:line="79"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Issuance of Stock</w:t>
      </w:r>
      <w:r>
        <w:rPr>
          <w:rFonts w:ascii="Arial" w:cs="Arial" w:eastAsia="Arial" w:hAnsi="Arial"/>
          <w:sz w:val="13"/>
          <w:szCs w:val="13"/>
          <w:color w:val="auto"/>
        </w:rPr>
        <w:t>. Subject to the provisions of the Certificate,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Certificates of Stock</w:t>
      </w:r>
      <w:r>
        <w:rPr>
          <w:rFonts w:ascii="Arial" w:cs="Arial" w:eastAsia="Arial" w:hAnsi="Arial"/>
          <w:sz w:val="12"/>
          <w:szCs w:val="12"/>
          <w:color w:val="auto"/>
        </w:rPr>
        <w:t>. The shares of the Corporation shall be represented by certificates, provided that the Board of Directors may provide by resolution or resolutions that some or all of any class or series of its stock shall be uncertificated shares; provided, however, that no such resolution shall apply to shares represented by a certificate until such certificate is surrendered to the Corporation. Each certificate for shares of stock which are subject to any restriction on transfer pursuant to the Certificate,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43" w:lineRule="exact"/>
        <w:rPr>
          <w:sz w:val="20"/>
          <w:szCs w:val="20"/>
          <w:color w:val="auto"/>
        </w:rPr>
      </w:pPr>
    </w:p>
    <w:p>
      <w:pPr>
        <w:ind w:right="60" w:firstLine="164"/>
        <w:spacing w:after="0" w:line="28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Transfers</w:t>
      </w:r>
      <w:r>
        <w:rPr>
          <w:rFonts w:ascii="Arial" w:cs="Arial" w:eastAsia="Arial" w:hAnsi="Arial"/>
          <w:sz w:val="12"/>
          <w:szCs w:val="12"/>
          <w:color w:val="auto"/>
        </w:rPr>
        <w:t>. Except as otherwise established by rules and regulations adopted by the Board of Directors, and subject to applicable law, shares of stock may be transferred on the books of the Corporation: (i)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49"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Lost, Stolen or Destroyed Certificates</w:t>
      </w:r>
      <w:r>
        <w:rPr>
          <w:rFonts w:ascii="Arial" w:cs="Arial" w:eastAsia="Arial" w:hAnsi="Arial"/>
          <w:sz w:val="13"/>
          <w:szCs w:val="13"/>
          <w:color w:val="auto"/>
        </w:rPr>
        <w:t>. The Corporation may issue a new certificate of stock in place of any previously issued certificate alleged to have been lost, stolen, or destroyed, or it may issue uncertificated shares if the shares represented by such certificate have been designated as uncertificated shares in accordance with Section 5.2,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3"/>
          <w:szCs w:val="13"/>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be as fixed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Corporate Seal</w:t>
      </w:r>
      <w:r>
        <w:rPr>
          <w:rFonts w:ascii="Arial" w:cs="Arial" w:eastAsia="Arial" w:hAnsi="Arial"/>
          <w:sz w:val="13"/>
          <w:szCs w:val="13"/>
          <w:color w:val="auto"/>
        </w:rPr>
        <w:t>. The corporate seal shall be in such form as shall be approved by the Board of Directors.</w:t>
      </w:r>
    </w:p>
    <w:p>
      <w:pPr>
        <w:spacing w:after="0" w:line="86"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Waiver of Notice</w:t>
      </w:r>
      <w:r>
        <w:rPr>
          <w:rFonts w:ascii="Arial" w:cs="Arial" w:eastAsia="Arial" w:hAnsi="Arial"/>
          <w:sz w:val="13"/>
          <w:szCs w:val="13"/>
          <w:color w:val="auto"/>
        </w:rPr>
        <w:t>. Whenever any notice whatsoever is required to be given by law, by the Certificate or by these Bylaws, a waiver of such notice either in writing signed by the person entitled to such notice or such person’s duly authorized attorney, or by electronic transmission or any other method permitted under the DGCL,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of notice.</w:t>
      </w:r>
    </w:p>
    <w:p>
      <w:pPr>
        <w:spacing w:after="0" w:line="6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Actions with Respect to Securities of Other Corporations</w:t>
      </w:r>
      <w:r>
        <w:rPr>
          <w:rFonts w:ascii="Arial" w:cs="Arial" w:eastAsia="Arial" w:hAnsi="Arial"/>
          <w:sz w:val="13"/>
          <w:szCs w:val="13"/>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which this Corporation may possess by reason of this Corporation’s ownership of securities in such other Corporation or other organization.</w:t>
      </w:r>
    </w:p>
    <w:p>
      <w:pPr>
        <w:spacing w:after="0" w:line="61"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Evidence of Authority</w:t>
      </w:r>
      <w:r>
        <w:rPr>
          <w:rFonts w:ascii="Arial" w:cs="Arial" w:eastAsia="Arial" w:hAnsi="Arial"/>
          <w:sz w:val="13"/>
          <w:szCs w:val="13"/>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All references in these Bylaws to the Certificate shall be deemed to refer to the Amended and Restated Certificate of Incorporation of the Corporation, as amended and in effect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Severability</w:t>
      </w:r>
      <w:r>
        <w:rPr>
          <w:rFonts w:ascii="Arial" w:cs="Arial" w:eastAsia="Arial" w:hAnsi="Arial"/>
          <w:sz w:val="13"/>
          <w:szCs w:val="13"/>
          <w:color w:val="auto"/>
        </w:rPr>
        <w:t>. Any determination that any provision of these Bylaws is for any reason inapplicable, illegal or ineffective shall not affect or invalidate any other provision of these Bylaws.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Pronouns</w:t>
      </w:r>
      <w:r>
        <w:rPr>
          <w:rFonts w:ascii="Arial" w:cs="Arial" w:eastAsia="Arial" w:hAnsi="Arial"/>
          <w:sz w:val="13"/>
          <w:szCs w:val="13"/>
          <w:color w:val="auto"/>
        </w:rPr>
        <w:t>. All pronouns used in these Bylaws shall be deemed to refer to the masculine, feminine or neuter, singular or plural, as the identity of the person or persons may require.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Notices</w:t>
      </w:r>
      <w:r>
        <w:rPr>
          <w:rFonts w:ascii="Arial" w:cs="Arial" w:eastAsia="Arial" w:hAnsi="Arial"/>
          <w:sz w:val="13"/>
          <w:szCs w:val="13"/>
          <w:color w:val="auto"/>
        </w:rPr>
        <w:t>. Except as otherwise specifically provided herein or required by law, all notices required to be given to any stockholder, director, officer, employee or agent shall be 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4" w:name="page205"/>
    <w:bookmarkEnd w:id="204"/>
    <w:p>
      <w:pPr>
        <w:spacing w:after="0" w:line="255" w:lineRule="auto"/>
        <w:rPr>
          <w:sz w:val="20"/>
          <w:szCs w:val="20"/>
          <w:color w:val="auto"/>
        </w:rPr>
      </w:pPr>
      <w:r>
        <w:rPr>
          <w:rFonts w:ascii="Arial" w:cs="Arial" w:eastAsia="Arial" w:hAnsi="Arial"/>
          <w:sz w:val="13"/>
          <w:szCs w:val="13"/>
          <w:color w:val="auto"/>
        </w:rPr>
        <w:t>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DGCL. Any such notice shall be addressed to such stockholder, director, officer, employee or agent at his or her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(1) if by facsimile,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(4) if by any other form of electronic transmission, when directed to the stockholder; and (5) if by mail, when deposited in the mail, postage prepaid, directed to the stockholder at such stockholder’s address as it appears on the records of the Corporation.</w:t>
      </w:r>
    </w:p>
    <w:p>
      <w:pPr>
        <w:spacing w:after="0" w:line="65"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Reliance Upon Books, Reports and Records</w:t>
      </w:r>
      <w:r>
        <w:rPr>
          <w:rFonts w:ascii="Arial" w:cs="Arial" w:eastAsia="Arial" w:hAnsi="Arial"/>
          <w:sz w:val="13"/>
          <w:szCs w:val="13"/>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Time Periods</w:t>
      </w:r>
      <w:r>
        <w:rPr>
          <w:rFonts w:ascii="Arial" w:cs="Arial" w:eastAsia="Arial" w:hAnsi="Arial"/>
          <w:sz w:val="13"/>
          <w:szCs w:val="13"/>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Facsimile Signatures</w:t>
      </w:r>
      <w:r>
        <w:rPr>
          <w:rFonts w:ascii="Arial" w:cs="Arial" w:eastAsia="Arial" w:hAnsi="Arial"/>
          <w:sz w:val="13"/>
          <w:szCs w:val="13"/>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AMENDMENTS</w:t>
      </w:r>
    </w:p>
    <w:p>
      <w:pPr>
        <w:spacing w:after="0" w:line="7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By the Board of Directors</w:t>
      </w:r>
      <w:r>
        <w:rPr>
          <w:rFonts w:ascii="Arial" w:cs="Arial" w:eastAsia="Arial" w:hAnsi="Arial"/>
          <w:sz w:val="13"/>
          <w:szCs w:val="13"/>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By the Stockholders</w:t>
      </w:r>
      <w:r>
        <w:rPr>
          <w:rFonts w:ascii="Arial" w:cs="Arial" w:eastAsia="Arial" w:hAnsi="Arial"/>
          <w:sz w:val="13"/>
          <w:szCs w:val="13"/>
          <w:color w:val="auto"/>
        </w:rPr>
        <w:t>. Except as otherwise set forth in these Bylaws, these Bylaws may be altered, amended or repealed or new Bylaws may be adopted by the affirmative vote of the holders of at least 66-2/3% of the voting power of all of the shares of capital stock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5" w:name="page206"/>
    <w:bookmarkEnd w:id="205"/>
    <w:p>
      <w:pPr>
        <w:ind w:right="80"/>
        <w:spacing w:after="0" w:line="276" w:lineRule="auto"/>
        <w:rPr>
          <w:sz w:val="20"/>
          <w:szCs w:val="20"/>
          <w:color w:val="auto"/>
        </w:rPr>
      </w:pPr>
      <w:r>
        <w:rPr>
          <w:rFonts w:ascii="Arial" w:cs="Arial" w:eastAsia="Arial" w:hAnsi="Arial"/>
          <w:sz w:val="13"/>
          <w:szCs w:val="13"/>
          <w:color w:val="auto"/>
        </w:rPr>
        <w:t>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INDEMNIFICATION OF DIRECTORS AND OFFICERS</w:t>
      </w:r>
    </w:p>
    <w:p>
      <w:pPr>
        <w:spacing w:after="0" w:line="79" w:lineRule="exact"/>
        <w:rPr>
          <w:sz w:val="20"/>
          <w:szCs w:val="20"/>
          <w:color w:val="auto"/>
        </w:rPr>
      </w:pPr>
    </w:p>
    <w:p>
      <w:pPr>
        <w:ind w:firstLine="164"/>
        <w:spacing w:after="0" w:line="276"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Right to Indemnification</w:t>
      </w:r>
      <w:r>
        <w:rPr>
          <w:rFonts w:ascii="Arial" w:cs="Arial" w:eastAsia="Arial" w:hAnsi="Arial"/>
          <w:sz w:val="12"/>
          <w:szCs w:val="12"/>
          <w:color w:val="auto"/>
        </w:rPr>
        <w:t xml:space="preserve">. Each person who was or is made a party or is threatened to be made a party to or is involved in any action, suit or proceeding, whether civil, criminal, administrative or investigative (“proceeding”), by reason of the fact that he or she or a person of whom he or she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or her heirs, executors and administrators;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except as provided in Section 8.2 of this Article VIII, the Corporation shall indemnify any such person seeking indemnity in connection with a proceeding (or part thereof) initiated by such person only if (a) such indemnification is expressly required to be made by law, (b) the proceeding (or part thereof) was authorized by the Board of Directors of the Corporation, (c) such indemnification is provided by the Corporation, in its sole discretion, pursuant to the powers vested in the Corporation under the DGCL, or (d) the proceeding (or part thereof) is brought to establish or enforce a right to indemnification or advancement under an indemnity agreement or any other statute or law or otherwise as required under Section 145 of the DGCL. The rights hereunder shall be contract rights and shall include the right to be paid expenses incurred in defending any such proceeding in advance of its final disposition;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payment of such expenses incurred by a director or officer of the Corporation in his or her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57" w:lineRule="exact"/>
        <w:rPr>
          <w:sz w:val="20"/>
          <w:szCs w:val="20"/>
          <w:color w:val="auto"/>
        </w:rPr>
      </w:pPr>
    </w:p>
    <w:p>
      <w:pPr>
        <w:jc w:val="both"/>
        <w:ind w:right="100" w:firstLine="164"/>
        <w:spacing w:after="0" w:line="264"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Right of Claimant to Bring Suit</w:t>
      </w:r>
      <w:r>
        <w:rPr>
          <w:rFonts w:ascii="Arial" w:cs="Arial" w:eastAsia="Arial" w:hAnsi="Arial"/>
          <w:sz w:val="13"/>
          <w:szCs w:val="13"/>
          <w:color w:val="auto"/>
        </w:rPr>
        <w:t>. If a claim under Section 8.1 is not paid in full by the Corporation within 60 days after a written claim has been received by the Corporation, or 20 days in 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6" w:name="page207"/>
    <w:bookmarkEnd w:id="206"/>
    <w:p>
      <w:pPr>
        <w:spacing w:after="0" w:line="279" w:lineRule="auto"/>
        <w:rPr>
          <w:sz w:val="20"/>
          <w:szCs w:val="20"/>
          <w:color w:val="auto"/>
        </w:rPr>
      </w:pPr>
      <w:r>
        <w:rPr>
          <w:rFonts w:ascii="Arial" w:cs="Arial" w:eastAsia="Arial" w:hAnsi="Arial"/>
          <w:sz w:val="12"/>
          <w:szCs w:val="12"/>
          <w:color w:val="auto"/>
        </w:rPr>
        <w:t>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DGCL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DGCL.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50" w:lineRule="exact"/>
        <w:rPr>
          <w:sz w:val="20"/>
          <w:szCs w:val="20"/>
          <w:color w:val="auto"/>
        </w:rPr>
      </w:pPr>
    </w:p>
    <w:p>
      <w:pPr>
        <w:ind w:right="40" w:firstLine="164"/>
        <w:spacing w:after="0" w:line="371"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Indemnification of Employees and Agents</w:t>
      </w:r>
      <w:r>
        <w:rPr>
          <w:rFonts w:ascii="Arial" w:cs="Arial" w:eastAsia="Arial" w:hAnsi="Arial"/>
          <w:sz w:val="11"/>
          <w:szCs w:val="11"/>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with respect to the indemnification of and advancement of expenses to directors and officers of the Corporation.</w:t>
      </w:r>
    </w:p>
    <w:p>
      <w:pPr>
        <w:spacing w:after="0" w:line="2"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Non-Exclusivity of Rights</w:t>
      </w:r>
      <w:r>
        <w:rPr>
          <w:rFonts w:ascii="Arial" w:cs="Arial" w:eastAsia="Arial" w:hAnsi="Arial"/>
          <w:sz w:val="13"/>
          <w:szCs w:val="13"/>
          <w:color w:val="auto"/>
        </w:rPr>
        <w:t>. The rights conferred on any person in this Article VIII shall not be exclusive of any other right which such persons may have or hereafter acquire under any statute, provision of the Certificate, bylaw, agreement, vote of stockholders or disinterested directors or otherwise.</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Indemnification Contracts</w:t>
      </w:r>
      <w:r>
        <w:rPr>
          <w:rFonts w:ascii="Arial" w:cs="Arial" w:eastAsia="Arial" w:hAnsi="Arial"/>
          <w:sz w:val="13"/>
          <w:szCs w:val="13"/>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VIII.</w:t>
      </w:r>
    </w:p>
    <w:p>
      <w:pPr>
        <w:spacing w:after="0" w:line="57"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Insurance</w:t>
      </w:r>
      <w:r>
        <w:rPr>
          <w:rFonts w:ascii="Arial" w:cs="Arial" w:eastAsia="Arial" w:hAnsi="Arial"/>
          <w:sz w:val="13"/>
          <w:szCs w:val="13"/>
          <w:color w:val="auto"/>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Effect of Amendment</w:t>
      </w:r>
      <w:r>
        <w:rPr>
          <w:rFonts w:ascii="Arial" w:cs="Arial" w:eastAsia="Arial" w:hAnsi="Arial"/>
          <w:sz w:val="13"/>
          <w:szCs w:val="13"/>
          <w:color w:val="auto"/>
        </w:rPr>
        <w:t>. Any amendment, repeal or modification of any provision of this Article VIII shall not adversely affect any right or protection of an indemnitee or his or her successor existing at the time of such amendment, repeal or modification.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721" w:right="219" w:bottom="1440" w:gutter="0" w:footer="0" w:header="0"/>
        </w:sectPr>
      </w:pPr>
    </w:p>
    <w:bookmarkStart w:id="207" w:name="page208"/>
    <w:bookmarkEnd w:id="207"/>
    <w:p>
      <w:pPr>
        <w:ind w:left="9640"/>
        <w:spacing w:after="0"/>
        <w:rPr>
          <w:sz w:val="20"/>
          <w:szCs w:val="20"/>
          <w:color w:val="auto"/>
        </w:rPr>
      </w:pPr>
      <w:r>
        <w:rPr>
          <w:rFonts w:ascii="Arial" w:cs="Arial" w:eastAsia="Arial" w:hAnsi="Arial"/>
          <w:sz w:val="11"/>
          <w:szCs w:val="1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7426960</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27305</wp:posOffset>
            </wp:positionV>
            <wp:extent cx="4194175" cy="64223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194175" cy="642239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1668145</wp:posOffset>
            </wp:positionH>
            <wp:positionV relativeFrom="page">
              <wp:posOffset>463550</wp:posOffset>
            </wp:positionV>
            <wp:extent cx="4206875" cy="6653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4206875" cy="665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right"/>
        <w:ind w:right="20"/>
        <w:spacing w:after="0"/>
        <w:rPr>
          <w:sz w:val="20"/>
          <w:szCs w:val="20"/>
          <w:color w:val="auto"/>
        </w:rPr>
      </w:pPr>
      <w:r>
        <w:rPr>
          <w:rFonts w:ascii="Arial" w:cs="Arial" w:eastAsia="Arial" w:hAnsi="Arial"/>
          <w:sz w:val="13"/>
          <w:szCs w:val="13"/>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66040</wp:posOffset>
            </wp:positionV>
            <wp:extent cx="7331710" cy="4206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31710" cy="4206875"/>
                    </a:xfrm>
                    <a:prstGeom prst="rect">
                      <a:avLst/>
                    </a:prstGeom>
                    <a:noFill/>
                  </pic:spPr>
                </pic:pic>
              </a:graphicData>
            </a:graphic>
          </wp:anchor>
        </w:drawing>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Copy</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INVESTOR RIGHTS AGREEMENT</w:t>
      </w:r>
    </w:p>
    <w:p>
      <w:pPr>
        <w:spacing w:after="0" w:line="86"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DATED: SEPTEMBER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3486150</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540" w:type="dxa"/>
            <w:vAlign w:val="bottom"/>
          </w:tcPr>
          <w:p>
            <w:pPr>
              <w:jc w:val="right"/>
              <w:ind w:right="4955"/>
              <w:spacing w:after="0"/>
              <w:rPr>
                <w:sz w:val="20"/>
                <w:szCs w:val="20"/>
                <w:color w:val="auto"/>
              </w:rPr>
            </w:pPr>
            <w:r>
              <w:rPr>
                <w:rFonts w:ascii="Arial" w:cs="Arial" w:eastAsia="Arial" w:hAnsi="Arial"/>
                <w:sz w:val="13"/>
                <w:szCs w:val="13"/>
                <w:b w:val="1"/>
                <w:bCs w:val="1"/>
                <w:color w:val="auto"/>
              </w:rPr>
              <w:t>TABLE OF CONTENTS</w:t>
            </w:r>
          </w:p>
        </w:tc>
      </w:tr>
      <w:tr>
        <w:trPr>
          <w:trHeight w:val="258"/>
        </w:trPr>
        <w:tc>
          <w:tcPr>
            <w:tcW w:w="3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540" w:type="dxa"/>
            <w:vAlign w:val="bottom"/>
          </w:tcPr>
          <w:p>
            <w:pPr>
              <w:jc w:val="right"/>
              <w:ind w:right="35"/>
              <w:spacing w:after="0"/>
              <w:rPr>
                <w:sz w:val="20"/>
                <w:szCs w:val="20"/>
                <w:color w:val="auto"/>
              </w:rPr>
            </w:pPr>
            <w:r>
              <w:rPr>
                <w:rFonts w:ascii="Arial" w:cs="Arial" w:eastAsia="Arial" w:hAnsi="Arial"/>
                <w:sz w:val="10"/>
                <w:szCs w:val="10"/>
                <w:b w:val="1"/>
                <w:bCs w:val="1"/>
                <w:color w:val="auto"/>
              </w:rPr>
              <w:t>Page</w:t>
            </w:r>
          </w:p>
        </w:tc>
      </w:tr>
      <w:tr>
        <w:trPr>
          <w:trHeight w:val="165"/>
        </w:trPr>
        <w:tc>
          <w:tcPr>
            <w:tcW w:w="3920" w:type="dxa"/>
            <w:vAlign w:val="bottom"/>
            <w:gridSpan w:val="2"/>
          </w:tcPr>
          <w:p>
            <w:pPr>
              <w:spacing w:after="0"/>
              <w:rPr>
                <w:sz w:val="20"/>
                <w:szCs w:val="20"/>
                <w:color w:val="auto"/>
              </w:rPr>
            </w:pPr>
            <w:r>
              <w:rPr>
                <w:rFonts w:ascii="Arial" w:cs="Arial" w:eastAsia="Arial" w:hAnsi="Arial"/>
                <w:sz w:val="13"/>
                <w:szCs w:val="13"/>
                <w:color w:val="auto"/>
              </w:rPr>
              <w:t>SECTION 1 AGREEMENT GENERAL</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1.1</w:t>
            </w:r>
          </w:p>
        </w:tc>
        <w:tc>
          <w:tcPr>
            <w:tcW w:w="3600" w:type="dxa"/>
            <w:vAlign w:val="bottom"/>
          </w:tcPr>
          <w:p>
            <w:pPr>
              <w:ind w:left="20"/>
              <w:spacing w:after="0"/>
              <w:rPr>
                <w:sz w:val="20"/>
                <w:szCs w:val="20"/>
                <w:color w:val="auto"/>
              </w:rPr>
            </w:pPr>
            <w:r>
              <w:rPr>
                <w:rFonts w:ascii="Arial" w:cs="Arial" w:eastAsia="Arial" w:hAnsi="Arial"/>
                <w:sz w:val="13"/>
                <w:szCs w:val="13"/>
                <w:color w:val="auto"/>
              </w:rPr>
              <w:t>Definitions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315"/>
        </w:trPr>
        <w:tc>
          <w:tcPr>
            <w:tcW w:w="3920" w:type="dxa"/>
            <w:vAlign w:val="bottom"/>
            <w:gridSpan w:val="2"/>
          </w:tcPr>
          <w:p>
            <w:pPr>
              <w:spacing w:after="0"/>
              <w:rPr>
                <w:sz w:val="20"/>
                <w:szCs w:val="20"/>
                <w:color w:val="auto"/>
              </w:rPr>
            </w:pPr>
            <w:r>
              <w:rPr>
                <w:rFonts w:ascii="Arial" w:cs="Arial" w:eastAsia="Arial" w:hAnsi="Arial"/>
                <w:sz w:val="13"/>
                <w:szCs w:val="13"/>
                <w:color w:val="auto"/>
              </w:rPr>
              <w:t>SECTION 2 REGISTRATION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3</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2.1</w:t>
            </w:r>
          </w:p>
        </w:tc>
        <w:tc>
          <w:tcPr>
            <w:tcW w:w="3600" w:type="dxa"/>
            <w:vAlign w:val="bottom"/>
          </w:tcPr>
          <w:p>
            <w:pPr>
              <w:ind w:left="20"/>
              <w:spacing w:after="0"/>
              <w:rPr>
                <w:sz w:val="20"/>
                <w:szCs w:val="20"/>
                <w:color w:val="auto"/>
              </w:rPr>
            </w:pPr>
            <w:r>
              <w:rPr>
                <w:rFonts w:ascii="Arial" w:cs="Arial" w:eastAsia="Arial" w:hAnsi="Arial"/>
                <w:sz w:val="13"/>
                <w:szCs w:val="13"/>
                <w:color w:val="auto"/>
              </w:rPr>
              <w:t>Demand Registration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3</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2.2</w:t>
            </w:r>
          </w:p>
        </w:tc>
        <w:tc>
          <w:tcPr>
            <w:tcW w:w="3600" w:type="dxa"/>
            <w:vAlign w:val="bottom"/>
          </w:tcPr>
          <w:p>
            <w:pPr>
              <w:ind w:left="20"/>
              <w:spacing w:after="0"/>
              <w:rPr>
                <w:sz w:val="20"/>
                <w:szCs w:val="20"/>
                <w:color w:val="auto"/>
              </w:rPr>
            </w:pPr>
            <w:r>
              <w:rPr>
                <w:rFonts w:ascii="Arial" w:cs="Arial" w:eastAsia="Arial" w:hAnsi="Arial"/>
                <w:sz w:val="13"/>
                <w:szCs w:val="13"/>
                <w:color w:val="auto"/>
              </w:rPr>
              <w:t>Piggyback Registrations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2.3</w:t>
            </w:r>
          </w:p>
        </w:tc>
        <w:tc>
          <w:tcPr>
            <w:tcW w:w="3600" w:type="dxa"/>
            <w:vAlign w:val="bottom"/>
          </w:tcPr>
          <w:p>
            <w:pPr>
              <w:ind w:left="20"/>
              <w:spacing w:after="0"/>
              <w:rPr>
                <w:sz w:val="20"/>
                <w:szCs w:val="20"/>
                <w:color w:val="auto"/>
              </w:rPr>
            </w:pPr>
            <w:r>
              <w:rPr>
                <w:rFonts w:ascii="Arial" w:cs="Arial" w:eastAsia="Arial" w:hAnsi="Arial"/>
                <w:sz w:val="13"/>
                <w:szCs w:val="13"/>
                <w:color w:val="auto"/>
              </w:rPr>
              <w:t>Form S-3 Registration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6</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2.4</w:t>
            </w:r>
          </w:p>
        </w:tc>
        <w:tc>
          <w:tcPr>
            <w:tcW w:w="3600" w:type="dxa"/>
            <w:vAlign w:val="bottom"/>
          </w:tcPr>
          <w:p>
            <w:pPr>
              <w:ind w:left="20"/>
              <w:spacing w:after="0"/>
              <w:rPr>
                <w:sz w:val="20"/>
                <w:szCs w:val="20"/>
                <w:color w:val="auto"/>
              </w:rPr>
            </w:pPr>
            <w:r>
              <w:rPr>
                <w:rFonts w:ascii="Arial" w:cs="Arial" w:eastAsia="Arial" w:hAnsi="Arial"/>
                <w:sz w:val="13"/>
                <w:szCs w:val="13"/>
                <w:color w:val="auto"/>
              </w:rPr>
              <w:t>Expenses of Registration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7</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2.5</w:t>
            </w:r>
          </w:p>
        </w:tc>
        <w:tc>
          <w:tcPr>
            <w:tcW w:w="3600" w:type="dxa"/>
            <w:vAlign w:val="bottom"/>
          </w:tcPr>
          <w:p>
            <w:pPr>
              <w:ind w:left="20"/>
              <w:spacing w:after="0"/>
              <w:rPr>
                <w:sz w:val="20"/>
                <w:szCs w:val="20"/>
                <w:color w:val="auto"/>
              </w:rPr>
            </w:pPr>
            <w:r>
              <w:rPr>
                <w:rFonts w:ascii="Arial" w:cs="Arial" w:eastAsia="Arial" w:hAnsi="Arial"/>
                <w:sz w:val="13"/>
                <w:szCs w:val="13"/>
                <w:color w:val="auto"/>
              </w:rPr>
              <w:t>Obligations of the Company</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7</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2.6</w:t>
            </w:r>
          </w:p>
        </w:tc>
        <w:tc>
          <w:tcPr>
            <w:tcW w:w="3600" w:type="dxa"/>
            <w:vAlign w:val="bottom"/>
          </w:tcPr>
          <w:p>
            <w:pPr>
              <w:ind w:left="20"/>
              <w:spacing w:after="0"/>
              <w:rPr>
                <w:sz w:val="20"/>
                <w:szCs w:val="20"/>
                <w:color w:val="auto"/>
              </w:rPr>
            </w:pPr>
            <w:r>
              <w:rPr>
                <w:rFonts w:ascii="Arial" w:cs="Arial" w:eastAsia="Arial" w:hAnsi="Arial"/>
                <w:sz w:val="13"/>
                <w:szCs w:val="13"/>
                <w:color w:val="auto"/>
              </w:rPr>
              <w:t>Termination of Registration Rights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8</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2.7</w:t>
            </w:r>
          </w:p>
        </w:tc>
        <w:tc>
          <w:tcPr>
            <w:tcW w:w="3600" w:type="dxa"/>
            <w:vAlign w:val="bottom"/>
          </w:tcPr>
          <w:p>
            <w:pPr>
              <w:ind w:left="20"/>
              <w:spacing w:after="0"/>
              <w:rPr>
                <w:sz w:val="20"/>
                <w:szCs w:val="20"/>
                <w:color w:val="auto"/>
              </w:rPr>
            </w:pPr>
            <w:r>
              <w:rPr>
                <w:rFonts w:ascii="Arial" w:cs="Arial" w:eastAsia="Arial" w:hAnsi="Arial"/>
                <w:sz w:val="13"/>
                <w:szCs w:val="13"/>
                <w:color w:val="auto"/>
              </w:rPr>
              <w:t>Delay of Registration; Furnishing Information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8</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2.8</w:t>
            </w:r>
          </w:p>
        </w:tc>
        <w:tc>
          <w:tcPr>
            <w:tcW w:w="3600" w:type="dxa"/>
            <w:vAlign w:val="bottom"/>
          </w:tcPr>
          <w:p>
            <w:pPr>
              <w:ind w:left="20"/>
              <w:spacing w:after="0"/>
              <w:rPr>
                <w:sz w:val="20"/>
                <w:szCs w:val="20"/>
                <w:color w:val="auto"/>
              </w:rPr>
            </w:pPr>
            <w:r>
              <w:rPr>
                <w:rFonts w:ascii="Arial" w:cs="Arial" w:eastAsia="Arial" w:hAnsi="Arial"/>
                <w:sz w:val="13"/>
                <w:szCs w:val="13"/>
                <w:color w:val="auto"/>
              </w:rPr>
              <w:t>Indemnification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9</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2.9</w:t>
            </w:r>
          </w:p>
        </w:tc>
        <w:tc>
          <w:tcPr>
            <w:tcW w:w="3600" w:type="dxa"/>
            <w:vAlign w:val="bottom"/>
          </w:tcPr>
          <w:p>
            <w:pPr>
              <w:ind w:left="20"/>
              <w:spacing w:after="0"/>
              <w:rPr>
                <w:sz w:val="20"/>
                <w:szCs w:val="20"/>
                <w:color w:val="auto"/>
              </w:rPr>
            </w:pPr>
            <w:r>
              <w:rPr>
                <w:rFonts w:ascii="Arial" w:cs="Arial" w:eastAsia="Arial" w:hAnsi="Arial"/>
                <w:sz w:val="13"/>
                <w:szCs w:val="13"/>
                <w:color w:val="auto"/>
              </w:rPr>
              <w:t>Assignment of Registration Rights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11</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2.10 Limitation on Subsequent Registration Rights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11</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2.11 “Market Stand-Off” Agreement</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11</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2.12 SEC Compliance</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12</w:t>
            </w:r>
          </w:p>
        </w:tc>
      </w:tr>
      <w:tr>
        <w:trPr>
          <w:trHeight w:val="315"/>
        </w:trPr>
        <w:tc>
          <w:tcPr>
            <w:tcW w:w="3920" w:type="dxa"/>
            <w:vAlign w:val="bottom"/>
            <w:gridSpan w:val="2"/>
          </w:tcPr>
          <w:p>
            <w:pPr>
              <w:spacing w:after="0"/>
              <w:rPr>
                <w:sz w:val="20"/>
                <w:szCs w:val="20"/>
                <w:color w:val="auto"/>
              </w:rPr>
            </w:pPr>
            <w:r>
              <w:rPr>
                <w:rFonts w:ascii="Arial" w:cs="Arial" w:eastAsia="Arial" w:hAnsi="Arial"/>
                <w:sz w:val="13"/>
                <w:szCs w:val="13"/>
                <w:color w:val="auto"/>
              </w:rPr>
              <w:t>SECTION 3 COVENANTS OF THE COMPANY</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12</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3.1</w:t>
            </w:r>
          </w:p>
        </w:tc>
        <w:tc>
          <w:tcPr>
            <w:tcW w:w="3600" w:type="dxa"/>
            <w:vAlign w:val="bottom"/>
          </w:tcPr>
          <w:p>
            <w:pPr>
              <w:ind w:left="20"/>
              <w:spacing w:after="0"/>
              <w:rPr>
                <w:sz w:val="20"/>
                <w:szCs w:val="20"/>
                <w:color w:val="auto"/>
              </w:rPr>
            </w:pPr>
            <w:r>
              <w:rPr>
                <w:rFonts w:ascii="Arial" w:cs="Arial" w:eastAsia="Arial" w:hAnsi="Arial"/>
                <w:sz w:val="13"/>
                <w:szCs w:val="13"/>
                <w:color w:val="auto"/>
              </w:rPr>
              <w:t>Basic Financial Information and Reporting</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12</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3.2</w:t>
            </w:r>
          </w:p>
        </w:tc>
        <w:tc>
          <w:tcPr>
            <w:tcW w:w="3600" w:type="dxa"/>
            <w:vAlign w:val="bottom"/>
          </w:tcPr>
          <w:p>
            <w:pPr>
              <w:ind w:left="20"/>
              <w:spacing w:after="0"/>
              <w:rPr>
                <w:sz w:val="20"/>
                <w:szCs w:val="20"/>
                <w:color w:val="auto"/>
              </w:rPr>
            </w:pPr>
            <w:r>
              <w:rPr>
                <w:rFonts w:ascii="Arial" w:cs="Arial" w:eastAsia="Arial" w:hAnsi="Arial"/>
                <w:sz w:val="13"/>
                <w:szCs w:val="13"/>
                <w:color w:val="auto"/>
              </w:rPr>
              <w:t>Inspection Rights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14</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3.3</w:t>
            </w:r>
          </w:p>
        </w:tc>
        <w:tc>
          <w:tcPr>
            <w:tcW w:w="3600" w:type="dxa"/>
            <w:vAlign w:val="bottom"/>
          </w:tcPr>
          <w:p>
            <w:pPr>
              <w:ind w:left="20"/>
              <w:spacing w:after="0"/>
              <w:rPr>
                <w:sz w:val="20"/>
                <w:szCs w:val="20"/>
                <w:color w:val="auto"/>
              </w:rPr>
            </w:pPr>
            <w:r>
              <w:rPr>
                <w:rFonts w:ascii="Arial" w:cs="Arial" w:eastAsia="Arial" w:hAnsi="Arial"/>
                <w:sz w:val="13"/>
                <w:szCs w:val="13"/>
                <w:color w:val="auto"/>
              </w:rPr>
              <w:t>Taxes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14</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3.4</w:t>
            </w:r>
          </w:p>
        </w:tc>
        <w:tc>
          <w:tcPr>
            <w:tcW w:w="3600" w:type="dxa"/>
            <w:vAlign w:val="bottom"/>
          </w:tcPr>
          <w:p>
            <w:pPr>
              <w:ind w:left="20"/>
              <w:spacing w:after="0"/>
              <w:rPr>
                <w:sz w:val="20"/>
                <w:szCs w:val="20"/>
                <w:color w:val="auto"/>
              </w:rPr>
            </w:pPr>
            <w:r>
              <w:rPr>
                <w:rFonts w:ascii="Arial" w:cs="Arial" w:eastAsia="Arial" w:hAnsi="Arial"/>
                <w:sz w:val="13"/>
                <w:szCs w:val="13"/>
                <w:color w:val="auto"/>
              </w:rPr>
              <w:t>Insurance</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3.5</w:t>
            </w:r>
          </w:p>
        </w:tc>
        <w:tc>
          <w:tcPr>
            <w:tcW w:w="3600" w:type="dxa"/>
            <w:vAlign w:val="bottom"/>
          </w:tcPr>
          <w:p>
            <w:pPr>
              <w:ind w:left="20"/>
              <w:spacing w:after="0"/>
              <w:rPr>
                <w:sz w:val="20"/>
                <w:szCs w:val="20"/>
                <w:color w:val="auto"/>
              </w:rPr>
            </w:pPr>
            <w:r>
              <w:rPr>
                <w:rFonts w:ascii="Arial" w:cs="Arial" w:eastAsia="Arial" w:hAnsi="Arial"/>
                <w:sz w:val="13"/>
                <w:szCs w:val="13"/>
                <w:color w:val="auto"/>
              </w:rPr>
              <w:t>Compliance With Laws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3.6</w:t>
            </w:r>
          </w:p>
        </w:tc>
        <w:tc>
          <w:tcPr>
            <w:tcW w:w="3600" w:type="dxa"/>
            <w:vAlign w:val="bottom"/>
          </w:tcPr>
          <w:p>
            <w:pPr>
              <w:ind w:left="20"/>
              <w:spacing w:after="0"/>
              <w:rPr>
                <w:sz w:val="20"/>
                <w:szCs w:val="20"/>
                <w:color w:val="auto"/>
              </w:rPr>
            </w:pPr>
            <w:r>
              <w:rPr>
                <w:rFonts w:ascii="Arial" w:cs="Arial" w:eastAsia="Arial" w:hAnsi="Arial"/>
                <w:sz w:val="13"/>
                <w:szCs w:val="13"/>
                <w:color w:val="auto"/>
              </w:rPr>
              <w:t>Corporate Existence</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3.7</w:t>
            </w:r>
          </w:p>
        </w:tc>
        <w:tc>
          <w:tcPr>
            <w:tcW w:w="3600" w:type="dxa"/>
            <w:vAlign w:val="bottom"/>
          </w:tcPr>
          <w:p>
            <w:pPr>
              <w:ind w:left="20"/>
              <w:spacing w:after="0"/>
              <w:rPr>
                <w:sz w:val="20"/>
                <w:szCs w:val="20"/>
                <w:color w:val="auto"/>
              </w:rPr>
            </w:pPr>
            <w:r>
              <w:rPr>
                <w:rFonts w:ascii="Arial" w:cs="Arial" w:eastAsia="Arial" w:hAnsi="Arial"/>
                <w:sz w:val="13"/>
                <w:szCs w:val="13"/>
                <w:color w:val="auto"/>
              </w:rPr>
              <w:t>Business Plan</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3.8</w:t>
            </w:r>
          </w:p>
        </w:tc>
        <w:tc>
          <w:tcPr>
            <w:tcW w:w="3600" w:type="dxa"/>
            <w:vAlign w:val="bottom"/>
          </w:tcPr>
          <w:p>
            <w:pPr>
              <w:ind w:left="20"/>
              <w:spacing w:after="0"/>
              <w:rPr>
                <w:sz w:val="20"/>
                <w:szCs w:val="20"/>
                <w:color w:val="auto"/>
              </w:rPr>
            </w:pPr>
            <w:r>
              <w:rPr>
                <w:rFonts w:ascii="Arial" w:cs="Arial" w:eastAsia="Arial" w:hAnsi="Arial"/>
                <w:sz w:val="13"/>
                <w:szCs w:val="13"/>
                <w:color w:val="auto"/>
              </w:rPr>
              <w:t>Meetings of the Board of Directors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3.9</w:t>
            </w:r>
          </w:p>
        </w:tc>
        <w:tc>
          <w:tcPr>
            <w:tcW w:w="3600" w:type="dxa"/>
            <w:vAlign w:val="bottom"/>
          </w:tcPr>
          <w:p>
            <w:pPr>
              <w:ind w:left="20"/>
              <w:spacing w:after="0"/>
              <w:rPr>
                <w:sz w:val="20"/>
                <w:szCs w:val="20"/>
                <w:color w:val="auto"/>
              </w:rPr>
            </w:pPr>
            <w:r>
              <w:rPr>
                <w:rFonts w:ascii="Arial" w:cs="Arial" w:eastAsia="Arial" w:hAnsi="Arial"/>
                <w:sz w:val="13"/>
                <w:szCs w:val="13"/>
                <w:color w:val="auto"/>
              </w:rPr>
              <w:t>Confidentiality of Records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3.10 Reservation of Common Stock</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3.11 Negative Covenants of the Company</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15</w:t>
            </w:r>
          </w:p>
        </w:tc>
      </w:tr>
      <w:tr>
        <w:trPr>
          <w:trHeight w:val="315"/>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3.12 Termination of Covenants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18</w:t>
            </w:r>
          </w:p>
        </w:tc>
      </w:tr>
      <w:tr>
        <w:trPr>
          <w:trHeight w:val="315"/>
        </w:trPr>
        <w:tc>
          <w:tcPr>
            <w:tcW w:w="3920" w:type="dxa"/>
            <w:vAlign w:val="bottom"/>
            <w:gridSpan w:val="2"/>
          </w:tcPr>
          <w:p>
            <w:pPr>
              <w:spacing w:after="0"/>
              <w:rPr>
                <w:sz w:val="20"/>
                <w:szCs w:val="20"/>
                <w:color w:val="auto"/>
              </w:rPr>
            </w:pPr>
            <w:r>
              <w:rPr>
                <w:rFonts w:ascii="Arial" w:cs="Arial" w:eastAsia="Arial" w:hAnsi="Arial"/>
                <w:sz w:val="13"/>
                <w:szCs w:val="13"/>
                <w:color w:val="auto"/>
              </w:rPr>
              <w:t>SECTION 4 MISCELLANEOUS</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18</w:t>
            </w:r>
          </w:p>
        </w:tc>
      </w:tr>
      <w:tr>
        <w:trPr>
          <w:trHeight w:val="315"/>
        </w:trPr>
        <w:tc>
          <w:tcPr>
            <w:tcW w:w="320" w:type="dxa"/>
            <w:vAlign w:val="bottom"/>
          </w:tcPr>
          <w:p>
            <w:pPr>
              <w:ind w:left="140"/>
              <w:spacing w:after="0"/>
              <w:rPr>
                <w:sz w:val="20"/>
                <w:szCs w:val="20"/>
                <w:color w:val="auto"/>
              </w:rPr>
            </w:pPr>
            <w:r>
              <w:rPr>
                <w:rFonts w:ascii="Arial" w:cs="Arial" w:eastAsia="Arial" w:hAnsi="Arial"/>
                <w:sz w:val="13"/>
                <w:szCs w:val="13"/>
                <w:color w:val="auto"/>
                <w:w w:val="88"/>
              </w:rPr>
              <w:t>4.1</w:t>
            </w:r>
          </w:p>
        </w:tc>
        <w:tc>
          <w:tcPr>
            <w:tcW w:w="3600" w:type="dxa"/>
            <w:vAlign w:val="bottom"/>
          </w:tcPr>
          <w:p>
            <w:pPr>
              <w:ind w:left="20"/>
              <w:spacing w:after="0"/>
              <w:rPr>
                <w:sz w:val="20"/>
                <w:szCs w:val="20"/>
                <w:color w:val="auto"/>
              </w:rPr>
            </w:pPr>
            <w:r>
              <w:rPr>
                <w:rFonts w:ascii="Arial" w:cs="Arial" w:eastAsia="Arial" w:hAnsi="Arial"/>
                <w:sz w:val="13"/>
                <w:szCs w:val="13"/>
                <w:color w:val="auto"/>
              </w:rPr>
              <w:t>Governing Law; Venue</w:t>
            </w:r>
          </w:p>
        </w:tc>
        <w:tc>
          <w:tcPr>
            <w:tcW w:w="7540" w:type="dxa"/>
            <w:vAlign w:val="bottom"/>
          </w:tcPr>
          <w:p>
            <w:pPr>
              <w:jc w:val="right"/>
              <w:ind w:right="35"/>
              <w:spacing w:after="0"/>
              <w:rPr>
                <w:sz w:val="20"/>
                <w:szCs w:val="20"/>
                <w:color w:val="auto"/>
              </w:rPr>
            </w:pPr>
            <w:r>
              <w:rPr>
                <w:rFonts w:ascii="Arial" w:cs="Arial" w:eastAsia="Arial" w:hAnsi="Arial"/>
                <w:sz w:val="13"/>
                <w:szCs w:val="13"/>
                <w:color w:val="auto"/>
              </w:rPr>
              <w:t>18</w:t>
            </w:r>
          </w:p>
        </w:tc>
      </w:tr>
      <w:tr>
        <w:trPr>
          <w:trHeight w:val="295"/>
        </w:trPr>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540" w:type="dxa"/>
            <w:vAlign w:val="bottom"/>
          </w:tcPr>
          <w:p>
            <w:pPr>
              <w:jc w:val="right"/>
              <w:ind w:right="5595"/>
              <w:spacing w:after="0"/>
              <w:rPr>
                <w:sz w:val="20"/>
                <w:szCs w:val="20"/>
                <w:color w:val="auto"/>
              </w:rPr>
            </w:pPr>
            <w:r>
              <w:rPr>
                <w:rFonts w:ascii="Arial" w:cs="Arial" w:eastAsia="Arial" w:hAnsi="Arial"/>
                <w:sz w:val="13"/>
                <w:szCs w:val="13"/>
                <w:color w:val="auto"/>
              </w:rPr>
              <w:t>-i-</w:t>
            </w:r>
          </w:p>
        </w:tc>
      </w:tr>
      <w:tr>
        <w:trPr>
          <w:trHeight w:val="163"/>
        </w:trPr>
        <w:tc>
          <w:tcPr>
            <w:tcW w:w="3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75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20" w:type="dxa"/>
            <w:vAlign w:val="bottom"/>
          </w:tcPr>
          <w:p>
            <w:pPr>
              <w:jc w:val="center"/>
              <w:ind w:right="3356"/>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20" w:type="dxa"/>
            <w:vAlign w:val="bottom"/>
          </w:tcPr>
          <w:p>
            <w:pPr>
              <w:jc w:val="center"/>
              <w:ind w:right="3356"/>
              <w:spacing w:after="0"/>
              <w:rPr>
                <w:sz w:val="20"/>
                <w:szCs w:val="20"/>
                <w:color w:val="auto"/>
              </w:rPr>
            </w:pPr>
            <w:r>
              <w:rPr>
                <w:rFonts w:ascii="Arial" w:cs="Arial" w:eastAsia="Arial" w:hAnsi="Arial"/>
                <w:sz w:val="13"/>
                <w:szCs w:val="13"/>
                <w:color w:val="auto"/>
                <w:w w:val="92"/>
              </w:rPr>
              <w:t>(continued)</w:t>
            </w:r>
          </w:p>
        </w:tc>
      </w:tr>
      <w:tr>
        <w:trPr>
          <w:trHeight w:val="258"/>
        </w:trPr>
        <w:tc>
          <w:tcPr>
            <w:tcW w:w="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8020" w:type="dxa"/>
            <w:vAlign w:val="bottom"/>
          </w:tcPr>
          <w:p>
            <w:pPr>
              <w:jc w:val="right"/>
              <w:ind w:right="36"/>
              <w:spacing w:after="0"/>
              <w:rPr>
                <w:sz w:val="20"/>
                <w:szCs w:val="20"/>
                <w:color w:val="auto"/>
              </w:rPr>
            </w:pPr>
            <w:r>
              <w:rPr>
                <w:rFonts w:ascii="Arial" w:cs="Arial" w:eastAsia="Arial" w:hAnsi="Arial"/>
                <w:sz w:val="10"/>
                <w:szCs w:val="10"/>
                <w:b w:val="1"/>
                <w:bCs w:val="1"/>
                <w:color w:val="auto"/>
              </w:rPr>
              <w:t>Page</w:t>
            </w:r>
          </w:p>
        </w:tc>
      </w:tr>
      <w:tr>
        <w:trPr>
          <w:trHeight w:val="165"/>
        </w:trPr>
        <w:tc>
          <w:tcPr>
            <w:tcW w:w="180" w:type="dxa"/>
            <w:vAlign w:val="bottom"/>
          </w:tcPr>
          <w:p>
            <w:pPr>
              <w:jc w:val="right"/>
              <w:spacing w:after="0"/>
              <w:rPr>
                <w:sz w:val="20"/>
                <w:szCs w:val="20"/>
                <w:color w:val="auto"/>
              </w:rPr>
            </w:pPr>
            <w:r>
              <w:rPr>
                <w:rFonts w:ascii="Arial" w:cs="Arial" w:eastAsia="Arial" w:hAnsi="Arial"/>
                <w:sz w:val="13"/>
                <w:szCs w:val="13"/>
                <w:color w:val="auto"/>
                <w:w w:val="77"/>
              </w:rPr>
              <w:t>4.2</w:t>
            </w:r>
          </w:p>
        </w:tc>
        <w:tc>
          <w:tcPr>
            <w:tcW w:w="3260" w:type="dxa"/>
            <w:vAlign w:val="bottom"/>
          </w:tcPr>
          <w:p>
            <w:pPr>
              <w:ind w:left="20"/>
              <w:spacing w:after="0"/>
              <w:rPr>
                <w:sz w:val="20"/>
                <w:szCs w:val="20"/>
                <w:color w:val="auto"/>
              </w:rPr>
            </w:pPr>
            <w:r>
              <w:rPr>
                <w:rFonts w:ascii="Arial" w:cs="Arial" w:eastAsia="Arial" w:hAnsi="Arial"/>
                <w:sz w:val="13"/>
                <w:szCs w:val="13"/>
                <w:color w:val="auto"/>
              </w:rPr>
              <w:t>Successors and Assigns</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18</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4.3</w:t>
            </w:r>
          </w:p>
        </w:tc>
        <w:tc>
          <w:tcPr>
            <w:tcW w:w="3260" w:type="dxa"/>
            <w:vAlign w:val="bottom"/>
          </w:tcPr>
          <w:p>
            <w:pPr>
              <w:ind w:left="20"/>
              <w:spacing w:after="0"/>
              <w:rPr>
                <w:sz w:val="20"/>
                <w:szCs w:val="20"/>
                <w:color w:val="auto"/>
              </w:rPr>
            </w:pPr>
            <w:r>
              <w:rPr>
                <w:rFonts w:ascii="Arial" w:cs="Arial" w:eastAsia="Arial" w:hAnsi="Arial"/>
                <w:sz w:val="13"/>
                <w:szCs w:val="13"/>
                <w:color w:val="auto"/>
              </w:rPr>
              <w:t>Severability</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18</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4.4</w:t>
            </w:r>
          </w:p>
        </w:tc>
        <w:tc>
          <w:tcPr>
            <w:tcW w:w="3260" w:type="dxa"/>
            <w:vAlign w:val="bottom"/>
          </w:tcPr>
          <w:p>
            <w:pPr>
              <w:ind w:left="20"/>
              <w:spacing w:after="0"/>
              <w:rPr>
                <w:sz w:val="20"/>
                <w:szCs w:val="20"/>
                <w:color w:val="auto"/>
              </w:rPr>
            </w:pPr>
            <w:r>
              <w:rPr>
                <w:rFonts w:ascii="Arial" w:cs="Arial" w:eastAsia="Arial" w:hAnsi="Arial"/>
                <w:sz w:val="13"/>
                <w:szCs w:val="13"/>
                <w:color w:val="auto"/>
              </w:rPr>
              <w:t>Amendment and Waiver</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18</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4.5</w:t>
            </w:r>
          </w:p>
        </w:tc>
        <w:tc>
          <w:tcPr>
            <w:tcW w:w="3260" w:type="dxa"/>
            <w:vAlign w:val="bottom"/>
          </w:tcPr>
          <w:p>
            <w:pPr>
              <w:ind w:left="20"/>
              <w:spacing w:after="0"/>
              <w:rPr>
                <w:sz w:val="20"/>
                <w:szCs w:val="20"/>
                <w:color w:val="auto"/>
              </w:rPr>
            </w:pPr>
            <w:r>
              <w:rPr>
                <w:rFonts w:ascii="Arial" w:cs="Arial" w:eastAsia="Arial" w:hAnsi="Arial"/>
                <w:sz w:val="13"/>
                <w:szCs w:val="13"/>
                <w:color w:val="auto"/>
              </w:rPr>
              <w:t>Delays or Omissions</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18</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4.6</w:t>
            </w:r>
          </w:p>
        </w:tc>
        <w:tc>
          <w:tcPr>
            <w:tcW w:w="3260" w:type="dxa"/>
            <w:vAlign w:val="bottom"/>
          </w:tcPr>
          <w:p>
            <w:pPr>
              <w:ind w:left="20"/>
              <w:spacing w:after="0"/>
              <w:rPr>
                <w:sz w:val="20"/>
                <w:szCs w:val="20"/>
                <w:color w:val="auto"/>
              </w:rPr>
            </w:pPr>
            <w:r>
              <w:rPr>
                <w:rFonts w:ascii="Arial" w:cs="Arial" w:eastAsia="Arial" w:hAnsi="Arial"/>
                <w:sz w:val="13"/>
                <w:szCs w:val="13"/>
                <w:color w:val="auto"/>
              </w:rPr>
              <w:t>Notices</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19</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4.7</w:t>
            </w:r>
          </w:p>
        </w:tc>
        <w:tc>
          <w:tcPr>
            <w:tcW w:w="3260" w:type="dxa"/>
            <w:vAlign w:val="bottom"/>
          </w:tcPr>
          <w:p>
            <w:pPr>
              <w:ind w:left="20"/>
              <w:spacing w:after="0"/>
              <w:rPr>
                <w:sz w:val="20"/>
                <w:szCs w:val="20"/>
                <w:color w:val="auto"/>
              </w:rPr>
            </w:pPr>
            <w:r>
              <w:rPr>
                <w:rFonts w:ascii="Arial" w:cs="Arial" w:eastAsia="Arial" w:hAnsi="Arial"/>
                <w:sz w:val="13"/>
                <w:szCs w:val="13"/>
                <w:color w:val="auto"/>
              </w:rPr>
              <w:t>Headings</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19</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4.8</w:t>
            </w:r>
          </w:p>
        </w:tc>
        <w:tc>
          <w:tcPr>
            <w:tcW w:w="3260" w:type="dxa"/>
            <w:vAlign w:val="bottom"/>
          </w:tcPr>
          <w:p>
            <w:pPr>
              <w:ind w:left="20"/>
              <w:spacing w:after="0"/>
              <w:rPr>
                <w:sz w:val="20"/>
                <w:szCs w:val="20"/>
                <w:color w:val="auto"/>
              </w:rPr>
            </w:pPr>
            <w:r>
              <w:rPr>
                <w:rFonts w:ascii="Arial" w:cs="Arial" w:eastAsia="Arial" w:hAnsi="Arial"/>
                <w:sz w:val="13"/>
                <w:szCs w:val="13"/>
                <w:color w:val="auto"/>
              </w:rPr>
              <w:t>Complete Agreement</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19</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77"/>
              </w:rPr>
              <w:t>4.9</w:t>
            </w:r>
          </w:p>
        </w:tc>
        <w:tc>
          <w:tcPr>
            <w:tcW w:w="3260" w:type="dxa"/>
            <w:vAlign w:val="bottom"/>
          </w:tcPr>
          <w:p>
            <w:pPr>
              <w:ind w:left="20"/>
              <w:spacing w:after="0"/>
              <w:rPr>
                <w:sz w:val="20"/>
                <w:szCs w:val="20"/>
                <w:color w:val="auto"/>
              </w:rPr>
            </w:pPr>
            <w:r>
              <w:rPr>
                <w:rFonts w:ascii="Arial" w:cs="Arial" w:eastAsia="Arial" w:hAnsi="Arial"/>
                <w:sz w:val="13"/>
                <w:szCs w:val="13"/>
                <w:color w:val="auto"/>
              </w:rPr>
              <w:t>Counterparts; Facsimile Copies</w:t>
            </w:r>
          </w:p>
        </w:tc>
        <w:tc>
          <w:tcPr>
            <w:tcW w:w="8020" w:type="dxa"/>
            <w:vAlign w:val="bottom"/>
          </w:tcPr>
          <w:p>
            <w:pPr>
              <w:jc w:val="right"/>
              <w:ind w:right="36"/>
              <w:spacing w:after="0"/>
              <w:rPr>
                <w:sz w:val="20"/>
                <w:szCs w:val="20"/>
                <w:color w:val="auto"/>
              </w:rPr>
            </w:pPr>
            <w:r>
              <w:rPr>
                <w:rFonts w:ascii="Arial" w:cs="Arial" w:eastAsia="Arial" w:hAnsi="Arial"/>
                <w:sz w:val="13"/>
                <w:szCs w:val="13"/>
                <w:color w:val="auto"/>
              </w:rPr>
              <w:t>19</w:t>
            </w:r>
          </w:p>
        </w:tc>
      </w:tr>
      <w:tr>
        <w:trPr>
          <w:trHeight w:val="295"/>
        </w:trPr>
        <w:tc>
          <w:tcPr>
            <w:tcW w:w="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20" w:type="dxa"/>
            <w:vAlign w:val="bottom"/>
          </w:tcPr>
          <w:p>
            <w:pPr>
              <w:jc w:val="center"/>
              <w:ind w:right="3356"/>
              <w:spacing w:after="0"/>
              <w:rPr>
                <w:sz w:val="20"/>
                <w:szCs w:val="20"/>
                <w:color w:val="auto"/>
              </w:rPr>
            </w:pPr>
            <w:r>
              <w:rPr>
                <w:rFonts w:ascii="Arial" w:cs="Arial" w:eastAsia="Arial" w:hAnsi="Arial"/>
                <w:sz w:val="13"/>
                <w:szCs w:val="13"/>
                <w:color w:val="auto"/>
              </w:rPr>
              <w:t>-ii-</w:t>
            </w:r>
          </w:p>
        </w:tc>
      </w:tr>
      <w:tr>
        <w:trPr>
          <w:trHeight w:val="163"/>
        </w:trPr>
        <w:tc>
          <w:tcPr>
            <w:tcW w:w="1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8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13"/>
          <w:szCs w:val="13"/>
          <w:b w:val="1"/>
          <w:bCs w:val="1"/>
          <w:color w:val="auto"/>
        </w:rPr>
        <w:t>AMENDED AND RESTATED INVESTOR RIGHTS AGREEMENT</w:t>
      </w:r>
    </w:p>
    <w:p>
      <w:pPr>
        <w:spacing w:after="0" w:line="90"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This AMENDED AND RESTATED INVESTOR RIGHTS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as of September 17, 2008, by and among GRAND CANYON EDUCATION, INC., a Delaware corporation formerly known as Significant Education, Inc. (the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each person listed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hereto as an “Investor” (the “</w:t>
      </w:r>
      <w:r>
        <w:rPr>
          <w:rFonts w:ascii="Arial" w:cs="Arial" w:eastAsia="Arial" w:hAnsi="Arial"/>
          <w:sz w:val="13"/>
          <w:szCs w:val="13"/>
          <w:u w:val="single" w:color="auto"/>
          <w:color w:val="auto"/>
        </w:rPr>
        <w:t>Investors</w:t>
      </w:r>
      <w:r>
        <w:rPr>
          <w:rFonts w:ascii="Arial" w:cs="Arial" w:eastAsia="Arial" w:hAnsi="Arial"/>
          <w:sz w:val="13"/>
          <w:szCs w:val="13"/>
          <w:color w:val="auto"/>
        </w:rPr>
        <w:t xml:space="preserve">”); each holder of Common Stock set listed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hereto as a “Common Stockholder” (the “</w:t>
      </w:r>
      <w:r>
        <w:rPr>
          <w:rFonts w:ascii="Arial" w:cs="Arial" w:eastAsia="Arial" w:hAnsi="Arial"/>
          <w:sz w:val="13"/>
          <w:szCs w:val="13"/>
          <w:u w:val="single" w:color="auto"/>
          <w:color w:val="auto"/>
        </w:rPr>
        <w:t>Common Stockholders</w:t>
      </w:r>
      <w:r>
        <w:rPr>
          <w:rFonts w:ascii="Arial" w:cs="Arial" w:eastAsia="Arial" w:hAnsi="Arial"/>
          <w:sz w:val="13"/>
          <w:szCs w:val="13"/>
          <w:color w:val="auto"/>
        </w:rPr>
        <w:t>”); and SPIRIT MANAGEMENT COMPANY, a Maryland corporation (“</w:t>
      </w:r>
      <w:r>
        <w:rPr>
          <w:rFonts w:ascii="Arial" w:cs="Arial" w:eastAsia="Arial" w:hAnsi="Arial"/>
          <w:sz w:val="13"/>
          <w:szCs w:val="13"/>
          <w:u w:val="single" w:color="auto"/>
          <w:color w:val="auto"/>
        </w:rPr>
        <w:t>Spirit</w:t>
      </w:r>
      <w:r>
        <w:rPr>
          <w:rFonts w:ascii="Arial" w:cs="Arial" w:eastAsia="Arial" w:hAnsi="Arial"/>
          <w:sz w:val="13"/>
          <w:szCs w:val="13"/>
          <w:color w:val="auto"/>
        </w:rPr>
        <w:t>”).</w:t>
      </w:r>
    </w:p>
    <w:p>
      <w:pPr>
        <w:spacing w:after="0" w:line="210"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RECITALS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has agreed to provide to the Investors, the Common Stockholders and Spirit registration rights, information rights, and other rights as set forth herein.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promises, representations, warranties, covenants and conditions set forth in this Agreement, the parties mutually agree as follows: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SECTION 1</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AGREEMENT GENERAL</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Definitions</w:t>
      </w:r>
      <w:r>
        <w:rPr>
          <w:rFonts w:ascii="Arial" w:cs="Arial" w:eastAsia="Arial" w:hAnsi="Arial"/>
          <w:sz w:val="13"/>
          <w:szCs w:val="13"/>
          <w:color w:val="auto"/>
        </w:rPr>
        <w:t>. As used in this Agreement the following terms shall have the following respective meanings: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of a Holder means any member, manager, general or limited partner of such Holder or any other person, entity or investment fund controlling, controlled by or under common control with such Holder.</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Plan”</w:t>
      </w:r>
      <w:r>
        <w:rPr>
          <w:rFonts w:ascii="Arial" w:cs="Arial" w:eastAsia="Arial" w:hAnsi="Arial"/>
          <w:sz w:val="13"/>
          <w:szCs w:val="13"/>
          <w:color w:val="auto"/>
        </w:rPr>
        <w:t xml:space="preserve"> has the meaning specified in Section 3.7 hereof.</w:t>
      </w:r>
    </w:p>
    <w:p>
      <w:pPr>
        <w:spacing w:after="0" w:line="86"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Company’s Common Stock, par value $.01 per share, and any other common equity securities issued by the Company,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DOE</w:t>
      </w:r>
      <w:r>
        <w:rPr>
          <w:rFonts w:ascii="Arial" w:cs="Arial" w:eastAsia="Arial" w:hAnsi="Arial"/>
          <w:sz w:val="13"/>
          <w:szCs w:val="13"/>
          <w:color w:val="auto"/>
        </w:rPr>
        <w:t>” shall mean the United States Department of Education.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Endeavour Directors</w:t>
      </w:r>
      <w:r>
        <w:rPr>
          <w:rFonts w:ascii="Arial" w:cs="Arial" w:eastAsia="Arial" w:hAnsi="Arial"/>
          <w:sz w:val="12"/>
          <w:szCs w:val="12"/>
          <w:color w:val="auto"/>
        </w:rPr>
        <w:t>” shall have the meaning specified in the Amended and Restated Stockholders Agreement dated the date hereof by and among the Company and the other parties named therein.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Securities Exchange Act of 1934,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Form S-3</w:t>
      </w:r>
      <w:r>
        <w:rPr>
          <w:rFonts w:ascii="Arial" w:cs="Arial" w:eastAsia="Arial" w:hAnsi="Arial"/>
          <w:sz w:val="13"/>
          <w:szCs w:val="13"/>
          <w:color w:val="auto"/>
        </w:rPr>
        <w:t>” means such form under the Securities Act as in effect on the date hereof or any successor registration form under the Securities Act subsequently adopted by the SEC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color w:val="auto"/>
        </w:rPr>
        <w:t>permits inclusion or incorporation of substantial information by reference to other documents filed by the Company with the SEC.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HLC</w:t>
      </w:r>
      <w:r>
        <w:rPr>
          <w:rFonts w:ascii="Arial" w:cs="Arial" w:eastAsia="Arial" w:hAnsi="Arial"/>
          <w:sz w:val="13"/>
          <w:szCs w:val="13"/>
          <w:color w:val="auto"/>
        </w:rPr>
        <w:t>” means the Higher Learning Commission of the North Central Association of Colleges and Schools.</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Holder</w:t>
      </w:r>
      <w:r>
        <w:rPr>
          <w:rFonts w:ascii="Arial" w:cs="Arial" w:eastAsia="Arial" w:hAnsi="Arial"/>
          <w:sz w:val="13"/>
          <w:szCs w:val="13"/>
          <w:color w:val="auto"/>
        </w:rPr>
        <w:t>” means any Common Stockholder, any Investor, Spirit or any holder of Registrable Securities to whom the registration rights conferred by this Agreement to a Common Stockholder or Spirit have been transferred in compliance with Section 2.9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Offering</w:t>
      </w:r>
      <w:r>
        <w:rPr>
          <w:rFonts w:ascii="Arial" w:cs="Arial" w:eastAsia="Arial" w:hAnsi="Arial"/>
          <w:sz w:val="13"/>
          <w:szCs w:val="13"/>
          <w:color w:val="auto"/>
        </w:rPr>
        <w:t>” means the Company’s first firm commitment underwritten public offering of its Common Stock registered under the Securities Act.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Initiating Holders</w:t>
      </w:r>
      <w:r>
        <w:rPr>
          <w:rFonts w:ascii="Arial" w:cs="Arial" w:eastAsia="Arial" w:hAnsi="Arial"/>
          <w:sz w:val="13"/>
          <w:szCs w:val="13"/>
          <w:color w:val="auto"/>
        </w:rPr>
        <w:t>” has the meaning specified in Section 2.1 hereof.</w:t>
      </w:r>
    </w:p>
    <w:p>
      <w:pPr>
        <w:spacing w:after="0" w:line="86" w:lineRule="exact"/>
        <w:rPr>
          <w:sz w:val="20"/>
          <w:szCs w:val="20"/>
          <w:color w:val="auto"/>
        </w:rPr>
      </w:pPr>
    </w:p>
    <w:p>
      <w:pPr>
        <w:ind w:right="20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when used in connection with the Company or any other person, any event, circumstance, change or effect that is or is reasonably likely to be materially adverse to the business (including, but not limited to, governmental and student relations and their effect thereon), condition (financial or otherwise), assets, liabilities, or result of operations of such person.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Public Offering</w:t>
      </w:r>
      <w:r>
        <w:rPr>
          <w:rFonts w:ascii="Arial" w:cs="Arial" w:eastAsia="Arial" w:hAnsi="Arial"/>
          <w:sz w:val="13"/>
          <w:szCs w:val="13"/>
          <w:color w:val="auto"/>
        </w:rPr>
        <w:t>” has the meaning specified in Section 2.1 hereof.</w:t>
      </w:r>
    </w:p>
    <w:p>
      <w:pPr>
        <w:spacing w:after="0" w:line="86"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Registrable Securities</w:t>
      </w:r>
      <w:r>
        <w:rPr>
          <w:rFonts w:ascii="Arial" w:cs="Arial" w:eastAsia="Arial" w:hAnsi="Arial"/>
          <w:sz w:val="13"/>
          <w:szCs w:val="13"/>
          <w:color w:val="auto"/>
        </w:rPr>
        <w:t>” means (i) shares of Common Stock held by any Holder as of the date of this Agreement, (ii) shares of Common Stock issued or issuable upon conversion of the Shares, (iii) shares of Common Stock issued or issuable pursuant to the exercise of the Warrant, and (iv) shares of Common Stock issued or issuable upon any stock split, stock dividend, recapitalization or similar event with respect to the Common Stock covered by (i), (ii) and (iii) above and any other securities issued in exchange of or replacement of such Common Stock. As to any particular Registrable Securities, such securities shall cease to be Registrable Securities when they have been distributed to the public pursuant to a public offering registered under the Securities Act or sold to the public through a broker, dealer or market maker in compliance with Rule 144 under the Securities Act (or any similar rule then in force).</w:t>
      </w:r>
    </w:p>
    <w:p>
      <w:pPr>
        <w:spacing w:after="0" w:line="61"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Expenses</w:t>
      </w:r>
      <w:r>
        <w:rPr>
          <w:rFonts w:ascii="Arial" w:cs="Arial" w:eastAsia="Arial" w:hAnsi="Arial"/>
          <w:sz w:val="12"/>
          <w:szCs w:val="12"/>
          <w:color w:val="auto"/>
        </w:rPr>
        <w:t>” shall mean all expenses incurred by the Company in complying with Sections 2.1, 2.2 and 2.3, hereof, including, without limitation, all registration and filing fees (exclusive of underwriting discounts and commissions), printing expenses, fees and disbursements of counsel for the Company, reasonable fees and disbursements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40" w:lineRule="exact"/>
        <w:rPr>
          <w:sz w:val="20"/>
          <w:szCs w:val="20"/>
          <w:color w:val="auto"/>
        </w:rPr>
      </w:pPr>
    </w:p>
    <w:p>
      <w:pPr>
        <w:ind w:left="160" w:right="860"/>
        <w:spacing w:after="0" w:line="4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Regulatory Approvals</w:t>
      </w:r>
      <w:r>
        <w:rPr>
          <w:rFonts w:ascii="Arial" w:cs="Arial" w:eastAsia="Arial" w:hAnsi="Arial"/>
          <w:sz w:val="12"/>
          <w:szCs w:val="12"/>
          <w:color w:val="auto"/>
        </w:rPr>
        <w:t>” shall mean any licenses, permits, authorizations, approvals, clearances, consents, certificates and other evidences of approvals or authority issued by any Regulatory Entities. “</w:t>
      </w:r>
      <w:r>
        <w:rPr>
          <w:rFonts w:ascii="Arial" w:cs="Arial" w:eastAsia="Arial" w:hAnsi="Arial"/>
          <w:sz w:val="12"/>
          <w:szCs w:val="12"/>
          <w:u w:val="single" w:color="auto"/>
          <w:color w:val="auto"/>
        </w:rPr>
        <w:t>Regulatory Entities</w:t>
      </w:r>
      <w:r>
        <w:rPr>
          <w:rFonts w:ascii="Arial" w:cs="Arial" w:eastAsia="Arial" w:hAnsi="Arial"/>
          <w:sz w:val="12"/>
          <w:szCs w:val="12"/>
          <w:color w:val="auto"/>
        </w:rPr>
        <w:t>” shall mean any person, entity or organization, whether governmental, government chartered, private, or quasi-private, that engages in granting or</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14" w:name="page215"/>
    <w:bookmarkEnd w:id="214"/>
    <w:p>
      <w:pPr>
        <w:spacing w:after="0" w:line="320" w:lineRule="auto"/>
        <w:rPr>
          <w:sz w:val="20"/>
          <w:szCs w:val="20"/>
          <w:color w:val="auto"/>
        </w:rPr>
      </w:pPr>
      <w:r>
        <w:rPr>
          <w:rFonts w:ascii="Arial" w:cs="Arial" w:eastAsia="Arial" w:hAnsi="Arial"/>
          <w:sz w:val="12"/>
          <w:szCs w:val="12"/>
          <w:color w:val="auto"/>
        </w:rPr>
        <w:t>withholding Regulatory Approvals for and regulates post-secondary schools, their agents, or employees in accordance with standards relating to the performance, operation, financial condition, or academic standards of such schools, and the provision of financial assistance by and to such schools, including but not limited to the DOE, the HLC, and any other approval, licensing, or accrediting authority.</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School</w:t>
      </w:r>
      <w:r>
        <w:rPr>
          <w:rFonts w:ascii="Arial" w:cs="Arial" w:eastAsia="Arial" w:hAnsi="Arial"/>
          <w:sz w:val="13"/>
          <w:szCs w:val="13"/>
          <w:color w:val="auto"/>
        </w:rPr>
        <w:t>” shall mean the single institution, with the Office of Postsecondary Identification Number 00107400, including all of its locations and educational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Securities Act of 1933, as amended.</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Selling Expenses</w:t>
      </w:r>
      <w:r>
        <w:rPr>
          <w:rFonts w:ascii="Arial" w:cs="Arial" w:eastAsia="Arial" w:hAnsi="Arial"/>
          <w:sz w:val="13"/>
          <w:szCs w:val="13"/>
          <w:color w:val="auto"/>
        </w:rPr>
        <w:t>” shall mean all underwriting discounts, selling commissions and stock transfer taxes applicable to the sale of Registrable Securities and fees and disbursements of counsel for any Holder (other than the fees and disbursements of counsel included in the Registration Expenses).</w:t>
      </w:r>
    </w:p>
    <w:p>
      <w:pPr>
        <w:spacing w:after="0" w:line="49"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A Preferred Stock</w:t>
      </w:r>
      <w:r>
        <w:rPr>
          <w:rFonts w:ascii="Arial" w:cs="Arial" w:eastAsia="Arial" w:hAnsi="Arial"/>
          <w:sz w:val="12"/>
          <w:szCs w:val="12"/>
          <w:color w:val="auto"/>
        </w:rPr>
        <w:t>” shall mean the Company’s Series A Convertible Preferred Stock, par value $0.01 per share,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25"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C Preferred Stock</w:t>
      </w:r>
      <w:r>
        <w:rPr>
          <w:rFonts w:ascii="Arial" w:cs="Arial" w:eastAsia="Arial" w:hAnsi="Arial"/>
          <w:sz w:val="12"/>
          <w:szCs w:val="12"/>
          <w:color w:val="auto"/>
        </w:rPr>
        <w:t>” shall mean the Company’s Series C Preferred Stock, par value $0.01 per share,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Shares</w:t>
      </w:r>
      <w:r>
        <w:rPr>
          <w:rFonts w:ascii="Arial" w:cs="Arial" w:eastAsia="Arial" w:hAnsi="Arial"/>
          <w:sz w:val="13"/>
          <w:szCs w:val="13"/>
          <w:color w:val="auto"/>
        </w:rPr>
        <w:t>” shall mean shares of the Company’s Series A Preferred Stock and Series C Preferred Stock.</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Warrant</w:t>
      </w:r>
      <w:r>
        <w:rPr>
          <w:rFonts w:ascii="Arial" w:cs="Arial" w:eastAsia="Arial" w:hAnsi="Arial"/>
          <w:sz w:val="13"/>
          <w:szCs w:val="13"/>
          <w:color w:val="auto"/>
        </w:rPr>
        <w:t>” means the warrant to purchase Common Stock of the Company issued to Spirit, dated June 2004, as amended and/or amended and restated from time to time and as adjusted in accordance with that certain Notice of Adjustment dated August 12, 2005.</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2</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Demand Registration</w:t>
      </w: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64" w:lineRule="auto"/>
        <w:tabs>
          <w:tab w:leader="none" w:pos="50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Subject to the conditions of this Section 2.1, if the Company shall receive a written request from the Investors holding at least a majority of the Registrable Securities held by Investors that the Company file a registration statement under the Securities Act covering the registration of Registrable Securities and the aggregate offering price to the public of any such offering would exceed $10,000,000 (a “</w:t>
      </w:r>
      <w:r>
        <w:rPr>
          <w:rFonts w:ascii="Arial" w:cs="Arial" w:eastAsia="Arial" w:hAnsi="Arial"/>
          <w:sz w:val="13"/>
          <w:szCs w:val="13"/>
          <w:u w:val="single" w:color="auto"/>
          <w:color w:val="auto"/>
        </w:rPr>
        <w:t>Qualified Public</w:t>
      </w:r>
      <w:r>
        <w:rPr>
          <w:rFonts w:ascii="Arial" w:cs="Arial" w:eastAsia="Arial" w:hAnsi="Arial"/>
          <w:sz w:val="13"/>
          <w:szCs w:val="13"/>
          <w:color w:val="auto"/>
        </w:rPr>
        <w:t xml:space="preserve"> </w:t>
      </w:r>
      <w:r>
        <w:rPr>
          <w:rFonts w:ascii="Arial" w:cs="Arial" w:eastAsia="Arial" w:hAnsi="Arial"/>
          <w:sz w:val="13"/>
          <w:szCs w:val="13"/>
          <w:u w:val="single" w:color="auto"/>
          <w:color w:val="auto"/>
        </w:rPr>
        <w:t>Offering</w:t>
      </w:r>
      <w:r>
        <w:rPr>
          <w:rFonts w:ascii="Arial" w:cs="Arial" w:eastAsia="Arial" w:hAnsi="Arial"/>
          <w:sz w:val="13"/>
          <w:szCs w:val="13"/>
          <w:color w:val="auto"/>
        </w:rPr>
        <w:t>”), then the Company shall, within thirty (30) days of the receipt thereof, give written notice of such request to all Investors,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15" w:name="page216"/>
    <w:bookmarkEnd w:id="215"/>
    <w:p>
      <w:pPr>
        <w:ind w:right="20"/>
        <w:spacing w:after="0" w:line="276" w:lineRule="auto"/>
        <w:rPr>
          <w:sz w:val="20"/>
          <w:szCs w:val="20"/>
          <w:color w:val="auto"/>
        </w:rPr>
      </w:pPr>
      <w:r>
        <w:rPr>
          <w:rFonts w:ascii="Arial" w:cs="Arial" w:eastAsia="Arial" w:hAnsi="Arial"/>
          <w:sz w:val="13"/>
          <w:szCs w:val="13"/>
          <w:color w:val="auto"/>
        </w:rPr>
        <w:t>and subject to the limitations of this Section 2.1, use its reasonable commercial efforts to effect, as soon as practicable, the registration under the Securities Act of all Registrable Securities that the Investors request to be registered. The Investors requesting registration pursuant to this Section 2.1 shall be referred to as the “</w:t>
      </w:r>
      <w:r>
        <w:rPr>
          <w:rFonts w:ascii="Arial" w:cs="Arial" w:eastAsia="Arial" w:hAnsi="Arial"/>
          <w:sz w:val="13"/>
          <w:szCs w:val="13"/>
          <w:u w:val="single" w:color="auto"/>
          <w:color w:val="auto"/>
        </w:rPr>
        <w:t>Initiating Holders</w:t>
      </w:r>
      <w:r>
        <w:rPr>
          <w:rFonts w:ascii="Arial" w:cs="Arial" w:eastAsia="Arial" w:hAnsi="Arial"/>
          <w:sz w:val="13"/>
          <w:szCs w:val="13"/>
          <w:color w:val="auto"/>
        </w:rPr>
        <w:t>.”</w:t>
      </w:r>
    </w:p>
    <w:p>
      <w:pPr>
        <w:spacing w:after="0" w:line="49" w:lineRule="exact"/>
        <w:rPr>
          <w:sz w:val="20"/>
          <w:szCs w:val="20"/>
          <w:color w:val="auto"/>
        </w:rPr>
      </w:pPr>
    </w:p>
    <w:p>
      <w:pPr>
        <w:ind w:firstLine="326"/>
        <w:spacing w:after="0" w:line="255" w:lineRule="auto"/>
        <w:tabs>
          <w:tab w:leader="none" w:pos="51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xml:space="preserve">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Investor to include its Registrable Securities in such registration shall be conditioned upon such Investor’s participation in such underwriting and the inclusion of such Investor’s Registrable Securities in the underwriting (unless otherwise mutually agreed by a majority in interest of the Initiating Holders and such Investor) to the extent provided herein. All Investors proposing to distribute their securities through such underwriting shall enter into an underwriting agreement in customary form with the underwriter or underwriters selected for such underwriting by a majority in interest of the Initiating Holders (which underwriter or underwriters shall be reasonably acceptable to the Company). Notwithstanding any other provision of this Section 2.1, if the underwriter advises the Company that marketing factors require a limitation of the number of securities to be underwritten (including Registrable Securities), then the Company shall so advise all Investors whose Registrable Securities would otherwise be underwritten pursuant hereto, and the number of shares that may be included in the underwriting shall be allocated to such Investors on a </w:t>
      </w:r>
      <w:r>
        <w:rPr>
          <w:rFonts w:ascii="Arial" w:cs="Arial" w:eastAsia="Arial" w:hAnsi="Arial"/>
          <w:sz w:val="13"/>
          <w:szCs w:val="13"/>
          <w:i w:val="1"/>
          <w:iCs w:val="1"/>
          <w:color w:val="auto"/>
        </w:rPr>
        <w:t>pro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rata </w:t>
      </w:r>
      <w:r>
        <w:rPr>
          <w:rFonts w:ascii="Arial" w:cs="Arial" w:eastAsia="Arial" w:hAnsi="Arial"/>
          <w:sz w:val="13"/>
          <w:szCs w:val="13"/>
          <w:color w:val="auto"/>
        </w:rPr>
        <w:t>basis based on the number of Registrable Securities held by all such Investors (including the Initiating Holders). Any Registrable Securities excluded or withdrawn from such underwriting shall be withdrawn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 registration.</w:t>
      </w:r>
    </w:p>
    <w:p>
      <w:pPr>
        <w:spacing w:after="0" w:line="64" w:lineRule="exact"/>
        <w:rPr>
          <w:rFonts w:ascii="Arial" w:cs="Arial" w:eastAsia="Arial" w:hAnsi="Arial"/>
          <w:sz w:val="13"/>
          <w:szCs w:val="13"/>
          <w:color w:val="auto"/>
        </w:rPr>
      </w:pPr>
    </w:p>
    <w:p>
      <w:pPr>
        <w:ind w:left="500" w:hanging="174"/>
        <w:spacing w:after="0"/>
        <w:tabs>
          <w:tab w:leader="none" w:pos="5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 shall not be required to effect a registration pursuant to this Section 2.1:</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after the Company has effected two (2) such registrations, and such registrations have been declared or ordered effective;</w:t>
      </w:r>
    </w:p>
    <w:p>
      <w:pPr>
        <w:spacing w:after="0" w:line="86" w:lineRule="exact"/>
        <w:rPr>
          <w:rFonts w:ascii="Arial" w:cs="Arial" w:eastAsia="Arial" w:hAnsi="Arial"/>
          <w:sz w:val="13"/>
          <w:szCs w:val="13"/>
          <w:color w:val="auto"/>
        </w:rPr>
      </w:pPr>
    </w:p>
    <w:p>
      <w:pPr>
        <w:ind w:left="220" w:right="280" w:firstLine="335"/>
        <w:spacing w:after="0" w:line="276" w:lineRule="auto"/>
        <w:tabs>
          <w:tab w:leader="none" w:pos="74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during the period starting with the date of filing of, and ending on the date ninety (90) days following the effective date of the registration statement pertaining to the Initial Offering; provided that the Company makes reasonable good faith efforts to cause such registration statement to become effective;</w:t>
      </w:r>
    </w:p>
    <w:p>
      <w:pPr>
        <w:spacing w:after="0" w:line="49" w:lineRule="exact"/>
        <w:rPr>
          <w:rFonts w:ascii="Arial" w:cs="Arial" w:eastAsia="Arial" w:hAnsi="Arial"/>
          <w:sz w:val="13"/>
          <w:szCs w:val="13"/>
          <w:color w:val="auto"/>
        </w:rPr>
      </w:pPr>
    </w:p>
    <w:p>
      <w:pPr>
        <w:ind w:left="220" w:right="340" w:firstLine="335"/>
        <w:spacing w:after="0" w:line="276" w:lineRule="auto"/>
        <w:tabs>
          <w:tab w:leader="none" w:pos="777" w:val="left"/>
        </w:tabs>
        <w:numPr>
          <w:ilvl w:val="1"/>
          <w:numId w:val="118"/>
        </w:numPr>
        <w:rPr>
          <w:rFonts w:ascii="Arial" w:cs="Arial" w:eastAsia="Arial" w:hAnsi="Arial"/>
          <w:sz w:val="13"/>
          <w:szCs w:val="13"/>
          <w:color w:val="auto"/>
        </w:rPr>
      </w:pPr>
      <w:r>
        <w:rPr>
          <w:rFonts w:ascii="Arial" w:cs="Arial" w:eastAsia="Arial" w:hAnsi="Arial"/>
          <w:sz w:val="13"/>
          <w:szCs w:val="13"/>
          <w:color w:val="auto"/>
        </w:rPr>
        <w:t>if, within thirty (30) days of receipt of a written request from Initiating Holders pursuant to Section 2.1(a), the Company gives notice to the Investors of the Company’s intention to make a Qualified Public Offering within ninety (90) days;</w:t>
      </w:r>
    </w:p>
    <w:p>
      <w:pPr>
        <w:spacing w:after="0" w:line="49" w:lineRule="exact"/>
        <w:rPr>
          <w:rFonts w:ascii="Arial" w:cs="Arial" w:eastAsia="Arial" w:hAnsi="Arial"/>
          <w:sz w:val="13"/>
          <w:szCs w:val="13"/>
          <w:color w:val="auto"/>
        </w:rPr>
      </w:pPr>
    </w:p>
    <w:p>
      <w:pPr>
        <w:jc w:val="both"/>
        <w:ind w:left="220" w:right="140" w:firstLine="335"/>
        <w:spacing w:after="0" w:line="264" w:lineRule="auto"/>
        <w:tabs>
          <w:tab w:leader="none" w:pos="769" w:val="left"/>
        </w:tabs>
        <w:numPr>
          <w:ilvl w:val="1"/>
          <w:numId w:val="118"/>
        </w:numPr>
        <w:rPr>
          <w:rFonts w:ascii="Arial" w:cs="Arial" w:eastAsia="Arial" w:hAnsi="Arial"/>
          <w:sz w:val="13"/>
          <w:szCs w:val="13"/>
          <w:color w:val="auto"/>
        </w:rPr>
      </w:pPr>
      <w:r>
        <w:rPr>
          <w:rFonts w:ascii="Arial" w:cs="Arial" w:eastAsia="Arial" w:hAnsi="Arial"/>
          <w:sz w:val="13"/>
          <w:szCs w:val="13"/>
          <w:color w:val="auto"/>
        </w:rPr>
        <w:t>if the Company shall furnish to the Investors requesting a registration statement pursuant to this Section 2.1 a certificate signed by the Chairman of the Board stating that, in the good faith judgment of a majority of the Directors of the Company, it would be seriously detrimental to the Company and its stockholders for such registration statement to be effected at such time, in which event the Company shall have the right to defer such filing for a period of not more than sixty (60) days after receipt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6" w:name="page217"/>
    <w:bookmarkEnd w:id="216"/>
    <w:p>
      <w:pPr>
        <w:ind w:left="160"/>
        <w:spacing w:after="0"/>
        <w:rPr>
          <w:sz w:val="20"/>
          <w:szCs w:val="20"/>
          <w:color w:val="auto"/>
        </w:rPr>
      </w:pPr>
      <w:r>
        <w:rPr>
          <w:rFonts w:ascii="Arial" w:cs="Arial" w:eastAsia="Arial" w:hAnsi="Arial"/>
          <w:sz w:val="13"/>
          <w:szCs w:val="13"/>
          <w:color w:val="auto"/>
        </w:rPr>
        <w:t>the request of the Initiating Holders; provided that such right to delay a request shall be exercised by the Company not more than once in any twelve (12) month period; or</w:t>
      </w:r>
    </w:p>
    <w:p>
      <w:pPr>
        <w:spacing w:after="0" w:line="86" w:lineRule="exact"/>
        <w:rPr>
          <w:sz w:val="20"/>
          <w:szCs w:val="20"/>
          <w:color w:val="auto"/>
        </w:rPr>
      </w:pPr>
    </w:p>
    <w:p>
      <w:pPr>
        <w:ind w:left="100" w:right="5720" w:firstLine="395"/>
        <w:spacing w:after="0" w:line="378" w:lineRule="auto"/>
        <w:tabs>
          <w:tab w:leader="none" w:pos="679" w:val="left"/>
        </w:tabs>
        <w:numPr>
          <w:ilvl w:val="1"/>
          <w:numId w:val="119"/>
        </w:numPr>
        <w:rPr>
          <w:rFonts w:ascii="Arial" w:cs="Arial" w:eastAsia="Arial" w:hAnsi="Arial"/>
          <w:sz w:val="13"/>
          <w:szCs w:val="13"/>
          <w:color w:val="auto"/>
        </w:rPr>
      </w:pPr>
      <w:r>
        <w:rPr>
          <w:rFonts w:ascii="Arial" w:cs="Arial" w:eastAsia="Arial" w:hAnsi="Arial"/>
          <w:sz w:val="13"/>
          <w:szCs w:val="13"/>
          <w:color w:val="auto"/>
        </w:rPr>
        <w:t xml:space="preserve">Until the Company has completed its Initial Offering or August 24, 2009, whichever is sooner. 2.2 </w:t>
      </w:r>
      <w:r>
        <w:rPr>
          <w:rFonts w:ascii="Arial" w:cs="Arial" w:eastAsia="Arial" w:hAnsi="Arial"/>
          <w:sz w:val="13"/>
          <w:szCs w:val="13"/>
          <w:u w:val="single" w:color="auto"/>
          <w:color w:val="auto"/>
        </w:rPr>
        <w:t>Piggyback Registrations</w:t>
      </w:r>
      <w:r>
        <w:rPr>
          <w:rFonts w:ascii="Arial" w:cs="Arial" w:eastAsia="Arial" w:hAnsi="Arial"/>
          <w:sz w:val="13"/>
          <w:szCs w:val="13"/>
          <w:color w:val="auto"/>
        </w:rPr>
        <w:t>.</w:t>
      </w:r>
    </w:p>
    <w:p>
      <w:pPr>
        <w:ind w:left="-60" w:right="20" w:firstLine="326"/>
        <w:spacing w:after="0" w:line="281" w:lineRule="auto"/>
        <w:tabs>
          <w:tab w:leader="none" w:pos="443"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Company shall notify all Holders of Registrable Securities in writing at least thirty (30) days prior to the filing of any registration statement under the Securities Act for purposes of a public offering of securities of the Company (including, but not limited to, registration statements relating to secondary offerings of securities of the Company, but excluding registration statements relating to employee benefit plans or with respect to corporate reorganizations or other transactions under Rule 145 of the Securities Act) and will afford each such Holder an opportunity to include in such registration statement all or part of the Registrable Securities held by such Holder. Each Holder desiring to include in any such registration statement all or any part of the Registrable Securities held by it shall, within twenty (20) days after the receipt of the above-described notice from the Company, so notify the Company in writing. Such notice shall state the intended method of disposition of the Registrable Securities held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 of its securities, all upon the terms and conditions set forth herein.</w:t>
      </w:r>
    </w:p>
    <w:p>
      <w:pPr>
        <w:spacing w:after="0" w:line="48" w:lineRule="exact"/>
        <w:rPr>
          <w:rFonts w:ascii="Arial" w:cs="Arial" w:eastAsia="Arial" w:hAnsi="Arial"/>
          <w:sz w:val="12"/>
          <w:szCs w:val="12"/>
          <w:color w:val="auto"/>
        </w:rPr>
      </w:pPr>
    </w:p>
    <w:p>
      <w:pPr>
        <w:ind w:left="-60" w:firstLine="326"/>
        <w:spacing w:after="0" w:line="278" w:lineRule="auto"/>
        <w:tabs>
          <w:tab w:leader="none" w:pos="453" w:val="left"/>
        </w:tabs>
        <w:numPr>
          <w:ilvl w:val="0"/>
          <w:numId w:val="120"/>
        </w:numPr>
        <w:rPr>
          <w:rFonts w:ascii="Arial" w:cs="Arial" w:eastAsia="Arial" w:hAnsi="Arial"/>
          <w:sz w:val="12"/>
          <w:szCs w:val="12"/>
          <w:color w:val="auto"/>
        </w:rPr>
      </w:pPr>
      <w:r>
        <w:rPr>
          <w:rFonts w:ascii="Arial" w:cs="Arial" w:eastAsia="Arial" w:hAnsi="Arial"/>
          <w:sz w:val="12"/>
          <w:szCs w:val="12"/>
          <w:color w:val="auto"/>
        </w:rPr>
        <w:t xml:space="preserve">If the registration statement under which the Company gives notice under this Section 2.2 is for an underwritten offering, the Company shall so advise the Holders of Registrable Securities. In such event, the right of any such Holder to be included in a registration pursuant to this Section 2.2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the Agreement, if the underwriter and/or the Company determine in good faith that marketing factors require a limitation of the number of shares to be underwritten, the number of shares that may be included in the underwriting shall be allocated first, among the Investors, if any, seeking registration under Section 2.1 hereof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based on the total number of Registrable Securities held by the Investors and second, to the Common Stockholders and Spirit, if any, seeking registration under this Section 2.2 hereof on a </w:t>
      </w:r>
      <w:r>
        <w:rPr>
          <w:rFonts w:ascii="Arial" w:cs="Arial" w:eastAsia="Arial" w:hAnsi="Arial"/>
          <w:sz w:val="12"/>
          <w:szCs w:val="12"/>
          <w:i w:val="1"/>
          <w:iCs w:val="1"/>
          <w:color w:val="auto"/>
        </w:rPr>
        <w:t>pro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rata </w:t>
      </w:r>
      <w:r>
        <w:rPr>
          <w:rFonts w:ascii="Arial" w:cs="Arial" w:eastAsia="Arial" w:hAnsi="Arial"/>
          <w:sz w:val="12"/>
          <w:szCs w:val="12"/>
          <w:color w:val="auto"/>
        </w:rPr>
        <w:t>basis based on the total number of Registrable Securities held by the Common Stockholders and Spirit. No such reduction shall reduce the securities being offered by the Company for its own account to be</w:t>
      </w:r>
      <w:r>
        <w:rPr>
          <w:rFonts w:ascii="Arial" w:cs="Arial" w:eastAsia="Arial" w:hAnsi="Arial"/>
          <w:sz w:val="12"/>
          <w:szCs w:val="12"/>
          <w:i w:val="1"/>
          <w:iCs w:val="1"/>
          <w:color w:val="auto"/>
        </w:rPr>
        <w:t xml:space="preserve"> </w:t>
      </w:r>
      <w:r>
        <w:rPr>
          <w:rFonts w:ascii="Arial" w:cs="Arial" w:eastAsia="Arial" w:hAnsi="Arial"/>
          <w:sz w:val="12"/>
          <w:szCs w:val="12"/>
          <w:color w:val="auto"/>
        </w:rPr>
        <w:t>included in the registration and underwriting, and in no event shall the amount of securities of the selling Holders included in the registration be reduced below thirty percent (30%) of the total amount of securities included in such registration, unless such offering is the Initial Offering and such registration does not include shares of any other selling stockholder (other than the stockholder(s), if any, invoking the demand registration), in which event any or all of the Registrable Securities of the Investors may be excluded. In no event will shares of 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20" w:right="259" w:bottom="1440" w:gutter="0" w:footer="0" w:header="0"/>
        </w:sectPr>
      </w:pPr>
    </w:p>
    <w:bookmarkStart w:id="217" w:name="page218"/>
    <w:bookmarkEnd w:id="217"/>
    <w:p>
      <w:pPr>
        <w:spacing w:after="0" w:line="276" w:lineRule="auto"/>
        <w:rPr>
          <w:sz w:val="20"/>
          <w:szCs w:val="20"/>
          <w:color w:val="auto"/>
        </w:rPr>
      </w:pPr>
      <w:r>
        <w:rPr>
          <w:rFonts w:ascii="Arial" w:cs="Arial" w:eastAsia="Arial" w:hAnsi="Arial"/>
          <w:sz w:val="13"/>
          <w:szCs w:val="13"/>
          <w:color w:val="auto"/>
        </w:rPr>
        <w:t>other selling stockholder be included in such registration that would reduce the number of shares that may be included by Holders without the prior written consent of Holders of not less than seventy-five percent (75%) of the Registrable Securities on an as-converted basis proposed to be sold in the offering.</w:t>
      </w:r>
    </w:p>
    <w:p>
      <w:pPr>
        <w:spacing w:after="0" w:line="49" w:lineRule="exact"/>
        <w:rPr>
          <w:sz w:val="20"/>
          <w:szCs w:val="20"/>
          <w:color w:val="auto"/>
        </w:rPr>
      </w:pPr>
    </w:p>
    <w:p>
      <w:pPr>
        <w:ind w:firstLine="326"/>
        <w:spacing w:after="0" w:line="264" w:lineRule="auto"/>
        <w:tabs>
          <w:tab w:leader="none" w:pos="50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Upon an affirmative vote of a majority of the directors of the Company, the Company shall have the right to terminate or withdraw any registration initiated by it under this Section 2.2 prior to the effectiveness of such registration whether or not any Holder has elected to include securities in such registration. The Registration Expenses of such withdrawn registration shall be borne by the Company in accordance with Section 2.4 hereof.</w:t>
      </w:r>
    </w:p>
    <w:p>
      <w:pPr>
        <w:spacing w:after="0" w:line="57" w:lineRule="exact"/>
        <w:rPr>
          <w:sz w:val="20"/>
          <w:szCs w:val="20"/>
          <w:color w:val="auto"/>
        </w:rPr>
      </w:pPr>
    </w:p>
    <w:p>
      <w:pPr>
        <w:ind w:right="240" w:firstLine="164"/>
        <w:spacing w:after="0" w:line="264"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Form S-3 Registration</w:t>
      </w:r>
      <w:r>
        <w:rPr>
          <w:rFonts w:ascii="Arial" w:cs="Arial" w:eastAsia="Arial" w:hAnsi="Arial"/>
          <w:sz w:val="13"/>
          <w:szCs w:val="13"/>
          <w:color w:val="auto"/>
        </w:rPr>
        <w:t>. Subject to the conditions of this Section 2.3 and after the Company has completed its Initial Offering, in the event the Company receives from any Holder or Holders of Registrable 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57" w:lineRule="exact"/>
        <w:rPr>
          <w:sz w:val="20"/>
          <w:szCs w:val="20"/>
          <w:color w:val="auto"/>
        </w:rPr>
      </w:pPr>
    </w:p>
    <w:p>
      <w:pPr>
        <w:ind w:left="500" w:hanging="174"/>
        <w:spacing w:after="0"/>
        <w:tabs>
          <w:tab w:leader="none" w:pos="5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and any related qualification or compliance, to all other Holders of Registrable Securities; and</w:t>
      </w:r>
    </w:p>
    <w:p>
      <w:pPr>
        <w:spacing w:after="0" w:line="86" w:lineRule="exact"/>
        <w:rPr>
          <w:rFonts w:ascii="Arial" w:cs="Arial" w:eastAsia="Arial" w:hAnsi="Arial"/>
          <w:sz w:val="13"/>
          <w:szCs w:val="13"/>
          <w:color w:val="auto"/>
        </w:rPr>
      </w:pPr>
    </w:p>
    <w:p>
      <w:pPr>
        <w:ind w:right="20" w:firstLine="326"/>
        <w:spacing w:after="0" w:line="260" w:lineRule="auto"/>
        <w:tabs>
          <w:tab w:leader="none" w:pos="51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as soon as practicable, use its reasonable commercial efforts to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Company shall not be obligated to effect any such registration, qualification or compliance pursuant to this Section 2.3:</w:t>
      </w:r>
    </w:p>
    <w:p>
      <w:pPr>
        <w:spacing w:after="0" w:line="59" w:lineRule="exact"/>
        <w:rPr>
          <w:rFonts w:ascii="Arial" w:cs="Arial" w:eastAsia="Arial" w:hAnsi="Arial"/>
          <w:sz w:val="13"/>
          <w:szCs w:val="13"/>
          <w:color w:val="auto"/>
        </w:rPr>
      </w:pPr>
    </w:p>
    <w:p>
      <w:pPr>
        <w:ind w:left="720" w:hanging="165"/>
        <w:spacing w:after="0"/>
        <w:tabs>
          <w:tab w:leader="none" w:pos="72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if Form S-3 (or any successor or similar form) is not available for such offering by the Holders or if the Company is not eligible to use such form;</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if the Holders propose to sell Registrable Securities and such other securities (if any) at an aggregate price to the public of less than $1,000,000;</w:t>
      </w:r>
    </w:p>
    <w:p>
      <w:pPr>
        <w:spacing w:after="0" w:line="86" w:lineRule="exact"/>
        <w:rPr>
          <w:rFonts w:ascii="Arial" w:cs="Arial" w:eastAsia="Arial" w:hAnsi="Arial"/>
          <w:sz w:val="13"/>
          <w:szCs w:val="13"/>
          <w:color w:val="auto"/>
        </w:rPr>
      </w:pPr>
    </w:p>
    <w:p>
      <w:pPr>
        <w:ind w:left="220" w:right="20" w:firstLine="335"/>
        <w:spacing w:after="0" w:line="260" w:lineRule="auto"/>
        <w:tabs>
          <w:tab w:leader="none" w:pos="777" w:val="left"/>
        </w:tabs>
        <w:numPr>
          <w:ilvl w:val="1"/>
          <w:numId w:val="122"/>
        </w:numPr>
        <w:rPr>
          <w:rFonts w:ascii="Arial" w:cs="Arial" w:eastAsia="Arial" w:hAnsi="Arial"/>
          <w:sz w:val="13"/>
          <w:szCs w:val="13"/>
          <w:color w:val="auto"/>
        </w:rPr>
      </w:pPr>
      <w:r>
        <w:rPr>
          <w:rFonts w:ascii="Arial" w:cs="Arial" w:eastAsia="Arial" w:hAnsi="Arial"/>
          <w:sz w:val="13"/>
          <w:szCs w:val="13"/>
          <w:color w:val="auto"/>
        </w:rPr>
        <w:t>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sixty (60) days after receipt of the request of the Holder or Holders under this Section 2.3; provided, that such right to delay a request shall be exercised by the Company not more than twice in any twelve (12) month period; or</w:t>
      </w:r>
    </w:p>
    <w:p>
      <w:pPr>
        <w:spacing w:after="0" w:line="59" w:lineRule="exact"/>
        <w:rPr>
          <w:rFonts w:ascii="Arial" w:cs="Arial" w:eastAsia="Arial" w:hAnsi="Arial"/>
          <w:sz w:val="13"/>
          <w:szCs w:val="13"/>
          <w:color w:val="auto"/>
        </w:rPr>
      </w:pPr>
    </w:p>
    <w:p>
      <w:pPr>
        <w:ind w:left="780" w:hanging="225"/>
        <w:spacing w:after="0"/>
        <w:tabs>
          <w:tab w:leader="none" w:pos="78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after the Company has effected two (2) such registrations for Investors pursuant to this Section 2.3 and two (2) such registrations for the Common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18" w:name="page219"/>
    <w:bookmarkEnd w:id="218"/>
    <w:p>
      <w:pPr>
        <w:ind w:left="220"/>
        <w:spacing w:after="0"/>
        <w:rPr>
          <w:sz w:val="20"/>
          <w:szCs w:val="20"/>
          <w:color w:val="auto"/>
        </w:rPr>
      </w:pPr>
      <w:r>
        <w:rPr>
          <w:rFonts w:ascii="Arial" w:cs="Arial" w:eastAsia="Arial" w:hAnsi="Arial"/>
          <w:sz w:val="13"/>
          <w:szCs w:val="13"/>
          <w:color w:val="auto"/>
        </w:rPr>
        <w:t>Stockholders and Spirit, collectively, pursuant to this Section 2.3, and such registrations have been declared or ordered effective.</w:t>
      </w:r>
    </w:p>
    <w:p>
      <w:pPr>
        <w:spacing w:after="0" w:line="86" w:lineRule="exact"/>
        <w:rPr>
          <w:sz w:val="20"/>
          <w:szCs w:val="20"/>
          <w:color w:val="auto"/>
        </w:rPr>
      </w:pPr>
    </w:p>
    <w:p>
      <w:pPr>
        <w:ind w:firstLine="326"/>
        <w:spacing w:after="0" w:line="276" w:lineRule="auto"/>
        <w:tabs>
          <w:tab w:leader="none" w:pos="506" w:val="left"/>
        </w:tabs>
        <w:numPr>
          <w:ilvl w:val="0"/>
          <w:numId w:val="123"/>
        </w:numPr>
        <w:rPr>
          <w:rFonts w:ascii="Arial" w:cs="Arial" w:eastAsia="Arial" w:hAnsi="Arial"/>
          <w:sz w:val="13"/>
          <w:szCs w:val="13"/>
          <w:color w:val="auto"/>
        </w:rPr>
      </w:pPr>
      <w:r>
        <w:rPr>
          <w:rFonts w:ascii="Arial" w:cs="Arial" w:eastAsia="Arial" w:hAnsi="Arial"/>
          <w:sz w:val="13"/>
          <w:szCs w:val="13"/>
          <w:color w:val="auto"/>
        </w:rPr>
        <w:t>Subject to the foregoing, the Company shall file a Form S-3 registration statement covering the Registrable Securities and other securities so requested to be registered as soon as practicable after receipt of the request or requests of the Holders.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Expenses of Registration</w:t>
      </w:r>
      <w:r>
        <w:rPr>
          <w:rFonts w:ascii="Arial" w:cs="Arial" w:eastAsia="Arial" w:hAnsi="Arial"/>
          <w:sz w:val="13"/>
          <w:szCs w:val="13"/>
          <w:color w:val="auto"/>
        </w:rPr>
        <w:t xml:space="preserve">. All Registration Expenses incurred in connection with any registration, qualification or compliance pursuant to Section 2.1 or any registration under Section 2.2 or Section 2.3 herein shall be borne by the Company. All Selling Expenses incurred in connection with any registrations hereunder, shall be borne by the Holders of the securities so registered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on the basis of the number of shares so registered.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Obligations of the Company</w:t>
      </w:r>
      <w:r>
        <w:rPr>
          <w:rFonts w:ascii="Arial" w:cs="Arial" w:eastAsia="Arial" w:hAnsi="Arial"/>
          <w:sz w:val="12"/>
          <w:szCs w:val="12"/>
          <w:color w:val="auto"/>
        </w:rPr>
        <w:t>. Whenever required by the provisions of this Agreement to effect the registration of any Registrable Securities, the Company shall, as expeditiously as reasonably possible:</w:t>
      </w:r>
    </w:p>
    <w:p>
      <w:pPr>
        <w:spacing w:after="0" w:line="98" w:lineRule="exact"/>
        <w:rPr>
          <w:sz w:val="20"/>
          <w:szCs w:val="20"/>
          <w:color w:val="auto"/>
        </w:rPr>
      </w:pPr>
    </w:p>
    <w:p>
      <w:pPr>
        <w:jc w:val="both"/>
        <w:ind w:firstLine="326"/>
        <w:spacing w:after="0" w:line="264"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ninety (90) days or, if earlier, until the Holder or Holders have completed the distribution related thereto.</w:t>
      </w:r>
    </w:p>
    <w:p>
      <w:pPr>
        <w:spacing w:after="0" w:line="57" w:lineRule="exact"/>
        <w:rPr>
          <w:rFonts w:ascii="Arial" w:cs="Arial" w:eastAsia="Arial" w:hAnsi="Arial"/>
          <w:sz w:val="13"/>
          <w:szCs w:val="13"/>
          <w:color w:val="auto"/>
        </w:rPr>
      </w:pPr>
    </w:p>
    <w:p>
      <w:pPr>
        <w:ind w:right="40" w:firstLine="326"/>
        <w:spacing w:after="0" w:line="276" w:lineRule="auto"/>
        <w:tabs>
          <w:tab w:leader="none" w:pos="5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Subject to Section 2.7 hereof,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49" w:lineRule="exact"/>
        <w:rPr>
          <w:rFonts w:ascii="Arial" w:cs="Arial" w:eastAsia="Arial" w:hAnsi="Arial"/>
          <w:sz w:val="13"/>
          <w:szCs w:val="13"/>
          <w:color w:val="auto"/>
        </w:rPr>
      </w:pPr>
    </w:p>
    <w:p>
      <w:pPr>
        <w:ind w:right="60" w:firstLine="326"/>
        <w:spacing w:after="0" w:line="276"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49" w:lineRule="exact"/>
        <w:rPr>
          <w:rFonts w:ascii="Arial" w:cs="Arial" w:eastAsia="Arial" w:hAnsi="Arial"/>
          <w:sz w:val="13"/>
          <w:szCs w:val="13"/>
          <w:color w:val="auto"/>
        </w:rPr>
      </w:pPr>
    </w:p>
    <w:p>
      <w:pPr>
        <w:ind w:right="100" w:firstLine="326"/>
        <w:spacing w:after="0" w:line="371" w:lineRule="auto"/>
        <w:tabs>
          <w:tab w:leader="none" w:pos="513" w:val="left"/>
        </w:tabs>
        <w:numPr>
          <w:ilvl w:val="0"/>
          <w:numId w:val="124"/>
        </w:numPr>
        <w:rPr>
          <w:rFonts w:ascii="Arial" w:cs="Arial" w:eastAsia="Arial" w:hAnsi="Arial"/>
          <w:sz w:val="11"/>
          <w:szCs w:val="11"/>
          <w:color w:val="auto"/>
        </w:rPr>
      </w:pPr>
      <w:r>
        <w:rPr>
          <w:rFonts w:ascii="Arial" w:cs="Arial" w:eastAsia="Arial" w:hAnsi="Arial"/>
          <w:sz w:val="11"/>
          <w:szCs w:val="11"/>
          <w:color w:val="auto"/>
        </w:rPr>
        <w:t>Use all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2" w:lineRule="exact"/>
        <w:rPr>
          <w:rFonts w:ascii="Arial" w:cs="Arial" w:eastAsia="Arial" w:hAnsi="Arial"/>
          <w:sz w:val="11"/>
          <w:szCs w:val="11"/>
          <w:color w:val="auto"/>
        </w:rPr>
      </w:pPr>
    </w:p>
    <w:p>
      <w:pPr>
        <w:ind w:right="60" w:firstLine="326"/>
        <w:spacing w:after="0" w:line="276"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49" w:lineRule="exact"/>
        <w:rPr>
          <w:rFonts w:ascii="Arial" w:cs="Arial" w:eastAsia="Arial" w:hAnsi="Arial"/>
          <w:sz w:val="13"/>
          <w:szCs w:val="13"/>
          <w:color w:val="auto"/>
        </w:rPr>
      </w:pPr>
    </w:p>
    <w:p>
      <w:pPr>
        <w:ind w:right="140" w:firstLine="326"/>
        <w:spacing w:after="0" w:line="276" w:lineRule="auto"/>
        <w:tabs>
          <w:tab w:leader="none" w:pos="49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19" w:name="page220"/>
    <w:bookmarkEnd w:id="219"/>
    <w:p>
      <w:pPr>
        <w:ind w:right="60"/>
        <w:spacing w:after="0" w:line="276" w:lineRule="auto"/>
        <w:rPr>
          <w:sz w:val="20"/>
          <w:szCs w:val="20"/>
          <w:color w:val="auto"/>
        </w:rPr>
      </w:pPr>
      <w:r>
        <w:rPr>
          <w:rFonts w:ascii="Arial" w:cs="Arial" w:eastAsia="Arial" w:hAnsi="Arial"/>
          <w:sz w:val="13"/>
          <w:szCs w:val="13"/>
          <w:color w:val="auto"/>
        </w:rPr>
        <w:t>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49" w:lineRule="exact"/>
        <w:rPr>
          <w:sz w:val="20"/>
          <w:szCs w:val="20"/>
          <w:color w:val="auto"/>
        </w:rPr>
      </w:pPr>
    </w:p>
    <w:p>
      <w:pPr>
        <w:ind w:left="520" w:hanging="194"/>
        <w:spacing w:after="0"/>
        <w:tabs>
          <w:tab w:leader="none" w:pos="5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Cause all such Registrable Securities to be listed on each securities exchange or automated quotation system on which similar securities issued by the Company are then listed.</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Promptly provide a transfer agent and registrar for all such Registrable Securities not later than the effective date of the registration statement.</w:t>
      </w:r>
    </w:p>
    <w:p>
      <w:pPr>
        <w:spacing w:after="0" w:line="86" w:lineRule="exact"/>
        <w:rPr>
          <w:rFonts w:ascii="Arial" w:cs="Arial" w:eastAsia="Arial" w:hAnsi="Arial"/>
          <w:sz w:val="13"/>
          <w:szCs w:val="13"/>
          <w:color w:val="auto"/>
        </w:rPr>
      </w:pPr>
    </w:p>
    <w:p>
      <w:pPr>
        <w:ind w:firstLine="326"/>
        <w:spacing w:after="0" w:line="282" w:lineRule="auto"/>
        <w:tabs>
          <w:tab w:leader="none" w:pos="484" w:val="left"/>
        </w:tabs>
        <w:numPr>
          <w:ilvl w:val="0"/>
          <w:numId w:val="125"/>
        </w:numPr>
        <w:rPr>
          <w:rFonts w:ascii="Arial" w:cs="Arial" w:eastAsia="Arial" w:hAnsi="Arial"/>
          <w:sz w:val="12"/>
          <w:szCs w:val="12"/>
          <w:color w:val="auto"/>
        </w:rPr>
      </w:pPr>
      <w:r>
        <w:rPr>
          <w:rFonts w:ascii="Arial" w:cs="Arial" w:eastAsia="Arial" w:hAnsi="Arial"/>
          <w:sz w:val="12"/>
          <w:szCs w:val="12"/>
          <w:color w:val="auto"/>
        </w:rPr>
        <w:t>Furnish, at the request of a majority of the Holders participating in the registration,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a letter dated as of such date,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if permitted by applicable accounting standards, to the Holders requesting registration of Registrable Securities.</w:t>
      </w:r>
    </w:p>
    <w:p>
      <w:pPr>
        <w:spacing w:after="0" w:line="49" w:lineRule="exact"/>
        <w:rPr>
          <w:rFonts w:ascii="Arial" w:cs="Arial" w:eastAsia="Arial" w:hAnsi="Arial"/>
          <w:sz w:val="12"/>
          <w:szCs w:val="12"/>
          <w:color w:val="auto"/>
        </w:rPr>
      </w:pPr>
    </w:p>
    <w:p>
      <w:pPr>
        <w:ind w:right="240" w:firstLine="326"/>
        <w:spacing w:after="0" w:line="276" w:lineRule="auto"/>
        <w:tabs>
          <w:tab w:leader="none" w:pos="484"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Promptly following the effectiveness of such registration statement, notify each Holder of such Registrable Securities of the effectiveness of such registration statement and thereafter, notify each Holder of such Registrable Securities of any request by the SEC for the amending or supplementing of such registration statement or prospectus.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Termination of Registration Rights</w:t>
      </w:r>
      <w:r>
        <w:rPr>
          <w:rFonts w:ascii="Arial" w:cs="Arial" w:eastAsia="Arial" w:hAnsi="Arial"/>
          <w:sz w:val="12"/>
          <w:szCs w:val="12"/>
          <w:color w:val="auto"/>
        </w:rPr>
        <w:t>. All registration rights granted under this Section 2 shall terminate on, and be of no further force and effect after, August 24, 2015, unless otherwise set forth herein.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Delay of Registration; Furnishing Information</w:t>
      </w:r>
      <w:r>
        <w:rPr>
          <w:rFonts w:ascii="Arial" w:cs="Arial" w:eastAsia="Arial" w:hAnsi="Arial"/>
          <w:sz w:val="13"/>
          <w:szCs w:val="13"/>
          <w:color w:val="auto"/>
        </w:rPr>
        <w:t>.</w:t>
      </w:r>
    </w:p>
    <w:p>
      <w:pPr>
        <w:spacing w:after="0" w:line="86" w:lineRule="exact"/>
        <w:rPr>
          <w:sz w:val="20"/>
          <w:szCs w:val="20"/>
          <w:color w:val="auto"/>
        </w:rPr>
      </w:pPr>
    </w:p>
    <w:p>
      <w:pPr>
        <w:ind w:right="420" w:firstLine="326"/>
        <w:spacing w:after="0" w:line="276" w:lineRule="auto"/>
        <w:tabs>
          <w:tab w:leader="none" w:pos="50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49" w:lineRule="exact"/>
        <w:rPr>
          <w:rFonts w:ascii="Arial" w:cs="Arial" w:eastAsia="Arial" w:hAnsi="Arial"/>
          <w:sz w:val="13"/>
          <w:szCs w:val="13"/>
          <w:color w:val="auto"/>
        </w:rPr>
      </w:pPr>
    </w:p>
    <w:p>
      <w:pPr>
        <w:ind w:right="400" w:firstLine="326"/>
        <w:spacing w:after="0" w:line="320" w:lineRule="auto"/>
        <w:tabs>
          <w:tab w:leader="none" w:pos="513"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It shall be a condition precedent to the obligations of the Company to take any action pursuant to Section 2.1, 2.2 or 2.3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0" w:name="page221"/>
    <w:bookmarkEnd w:id="220"/>
    <w:p>
      <w:pPr>
        <w:jc w:val="both"/>
        <w:ind w:left="-20" w:right="40" w:firstLine="326"/>
        <w:spacing w:after="0" w:line="289" w:lineRule="auto"/>
        <w:tabs>
          <w:tab w:leader="none" w:pos="48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If the Company shall notify a Holder pursuant to Section 2.5(f) of this Agreement that a prospectus required to be delivered includes an untrue statement of material fact or omit to state a material fact required to be stated therein or necessary to make the statements therein not misleading in light of the circumstances then existing, the Holders shall not make any sales of Registrable Securities using such prospectus;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must furnish the Holder with a prospectus that may be used to sell Registrable Securities within thirty (30) days after notifying the Holder pursuant to Section 2.5(f) hereof, and</w:t>
      </w:r>
      <w:r>
        <w:rPr>
          <w:rFonts w:ascii="Arial" w:cs="Arial" w:eastAsia="Arial" w:hAnsi="Arial"/>
          <w:sz w:val="12"/>
          <w:szCs w:val="12"/>
          <w:i w:val="1"/>
          <w:iCs w:val="1"/>
          <w:color w:val="auto"/>
        </w:rPr>
        <w:t xml:space="preserve"> provided further</w:t>
      </w:r>
      <w:r>
        <w:rPr>
          <w:rFonts w:ascii="Arial" w:cs="Arial" w:eastAsia="Arial" w:hAnsi="Arial"/>
          <w:sz w:val="12"/>
          <w:szCs w:val="12"/>
          <w:color w:val="auto"/>
        </w:rPr>
        <w:t>, that the Company may not delay the Holder’s ability to sell Registrable Securities pursuant to this Section 2.7(c) for more than sixty (60) days in any twelve month period.</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Indemnification</w:t>
      </w:r>
      <w:r>
        <w:rPr>
          <w:rFonts w:ascii="Arial" w:cs="Arial" w:eastAsia="Arial" w:hAnsi="Arial"/>
          <w:sz w:val="13"/>
          <w:szCs w:val="13"/>
          <w:color w:val="auto"/>
        </w:rPr>
        <w:t>. In the event any Registrable Securities are included in a registration statement under Sections 2.1, 2.2 or 2.3:</w:t>
      </w:r>
    </w:p>
    <w:p>
      <w:pPr>
        <w:spacing w:after="0" w:line="86" w:lineRule="exact"/>
        <w:rPr>
          <w:sz w:val="20"/>
          <w:szCs w:val="20"/>
          <w:color w:val="auto"/>
        </w:rPr>
      </w:pPr>
    </w:p>
    <w:p>
      <w:pPr>
        <w:ind w:left="-20" w:right="40" w:firstLine="326"/>
        <w:spacing w:after="0" w:line="306" w:lineRule="auto"/>
        <w:tabs>
          <w:tab w:leader="none" w:pos="483" w:val="left"/>
        </w:tabs>
        <w:numPr>
          <w:ilvl w:val="0"/>
          <w:numId w:val="128"/>
        </w:numPr>
        <w:rPr>
          <w:rFonts w:ascii="Arial" w:cs="Arial" w:eastAsia="Arial" w:hAnsi="Arial"/>
          <w:sz w:val="11"/>
          <w:szCs w:val="11"/>
          <w:color w:val="auto"/>
        </w:rPr>
      </w:pPr>
      <w:r>
        <w:rPr>
          <w:rFonts w:ascii="Arial" w:cs="Arial" w:eastAsia="Arial" w:hAnsi="Arial"/>
          <w:sz w:val="11"/>
          <w:szCs w:val="11"/>
          <w:color w:val="auto"/>
        </w:rPr>
        <w:t>To the extent permitted by law, the Company will indemnify and hold harmless each Holder, the partners, managers, officers, directors and legal counsel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(each a “</w:t>
      </w:r>
      <w:r>
        <w:rPr>
          <w:rFonts w:ascii="Arial" w:cs="Arial" w:eastAsia="Arial" w:hAnsi="Arial"/>
          <w:sz w:val="11"/>
          <w:szCs w:val="11"/>
          <w:u w:val="single" w:color="auto"/>
          <w:color w:val="auto"/>
        </w:rPr>
        <w:t>Violation</w:t>
      </w:r>
      <w:r>
        <w:rPr>
          <w:rFonts w:ascii="Arial" w:cs="Arial" w:eastAsia="Arial" w:hAnsi="Arial"/>
          <w:sz w:val="11"/>
          <w:szCs w:val="11"/>
          <w:color w:val="auto"/>
        </w:rPr>
        <w:t xml:space="preserve">”)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officer or director, underwriter or controlling person for any legal or other expenses reasonably incurred by them in connection with investigating or defending any such loss, claim, damage, liability or action;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Company shall not be liable in any such case for any such loss, claim, damage, liability or action to the extent that it arises solely out of or is based solely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38" w:lineRule="exact"/>
        <w:rPr>
          <w:rFonts w:ascii="Arial" w:cs="Arial" w:eastAsia="Arial" w:hAnsi="Arial"/>
          <w:sz w:val="11"/>
          <w:szCs w:val="11"/>
          <w:color w:val="auto"/>
        </w:rPr>
      </w:pPr>
    </w:p>
    <w:p>
      <w:pPr>
        <w:ind w:left="-20" w:firstLine="326"/>
        <w:spacing w:after="0" w:line="289" w:lineRule="auto"/>
        <w:tabs>
          <w:tab w:leader="none" w:pos="491"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legal counsel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221" w:name="page222"/>
    <w:bookmarkEnd w:id="221"/>
    <w:p>
      <w:pPr>
        <w:ind w:right="40"/>
        <w:spacing w:after="0" w:line="316" w:lineRule="auto"/>
        <w:rPr>
          <w:sz w:val="20"/>
          <w:szCs w:val="20"/>
          <w:color w:val="auto"/>
        </w:rPr>
      </w:pPr>
      <w:r>
        <w:rPr>
          <w:rFonts w:ascii="Arial" w:cs="Arial" w:eastAsia="Arial" w:hAnsi="Arial"/>
          <w:sz w:val="11"/>
          <w:szCs w:val="11"/>
          <w:color w:val="auto"/>
        </w:rPr>
        <w:t xml:space="preserve">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(or its authorized agent)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finally judicially determined that there was such a Violation; </w:t>
      </w:r>
      <w:r>
        <w:rPr>
          <w:rFonts w:ascii="Arial" w:cs="Arial" w:eastAsia="Arial" w:hAnsi="Arial"/>
          <w:sz w:val="11"/>
          <w:szCs w:val="11"/>
          <w:i w:val="1"/>
          <w:iCs w:val="1"/>
          <w:color w:val="auto"/>
        </w:rPr>
        <w:t>provided, however</w:t>
      </w:r>
      <w:r>
        <w:rPr>
          <w:rFonts w:ascii="Arial" w:cs="Arial" w:eastAsia="Arial" w:hAnsi="Arial"/>
          <w:sz w:val="11"/>
          <w:szCs w:val="11"/>
          <w:color w:val="auto"/>
        </w:rPr>
        <w:t>, in no event shall any indemnity under this Section 2.8 exceed the net proceeds from the offering received by such Holder.</w:t>
      </w:r>
    </w:p>
    <w:p>
      <w:pPr>
        <w:spacing w:after="0" w:line="32" w:lineRule="exact"/>
        <w:rPr>
          <w:sz w:val="20"/>
          <w:szCs w:val="20"/>
          <w:color w:val="auto"/>
        </w:rPr>
      </w:pPr>
    </w:p>
    <w:p>
      <w:pPr>
        <w:ind w:firstLine="326"/>
        <w:spacing w:after="0" w:line="255" w:lineRule="auto"/>
        <w:tabs>
          <w:tab w:leader="none" w:pos="506"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3"/>
          <w:szCs w:val="13"/>
          <w:i w:val="1"/>
          <w:iCs w:val="1"/>
          <w:color w:val="auto"/>
        </w:rPr>
        <w:t>provided, however</w:t>
      </w:r>
      <w:r>
        <w:rPr>
          <w:rFonts w:ascii="Arial" w:cs="Arial" w:eastAsia="Arial" w:hAnsi="Arial"/>
          <w:sz w:val="13"/>
          <w:szCs w:val="13"/>
          <w:color w:val="auto"/>
        </w:rPr>
        <w:t>,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any liability to the indemnified party under this Section 2.8, but the omission so to deliver written notice to the indemnifying party will not relieve it of any liability that it may have to any indemnified party otherwise than under this Section 2.8.</w:t>
      </w:r>
    </w:p>
    <w:p>
      <w:pPr>
        <w:spacing w:after="0" w:line="66" w:lineRule="exact"/>
        <w:rPr>
          <w:rFonts w:ascii="Arial" w:cs="Arial" w:eastAsia="Arial" w:hAnsi="Arial"/>
          <w:sz w:val="13"/>
          <w:szCs w:val="13"/>
          <w:color w:val="auto"/>
        </w:rPr>
      </w:pPr>
    </w:p>
    <w:p>
      <w:pPr>
        <w:ind w:right="20" w:firstLine="326"/>
        <w:spacing w:after="0" w:line="256" w:lineRule="auto"/>
        <w:tabs>
          <w:tab w:leader="none" w:pos="513"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provided, that in no event shall any contribution by a Holder hereunder exceed the proceeds from the offering received by such Holder.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2" w:name="page223"/>
    <w:bookmarkEnd w:id="222"/>
    <w:p>
      <w:pPr>
        <w:jc w:val="both"/>
        <w:ind w:right="120" w:firstLine="326"/>
        <w:spacing w:after="0" w:line="260" w:lineRule="auto"/>
        <w:tabs>
          <w:tab w:leader="none" w:pos="50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obligations of the Company and Holders under this Section 2.8 shall survive completion of any offering of Registrable Securities in a registration statement.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indemnifying party shall be liable to any indemnified party in respect of any amounts due in settlement of any claim or litigation without the prior written consent of the indemnifying party, which consent shall not be unreasonably withheld.</w:t>
      </w:r>
    </w:p>
    <w:p>
      <w:pPr>
        <w:spacing w:after="0" w:line="60"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Assignment of Registration Rights</w:t>
      </w:r>
      <w:r>
        <w:rPr>
          <w:rFonts w:ascii="Arial" w:cs="Arial" w:eastAsia="Arial" w:hAnsi="Arial"/>
          <w:sz w:val="12"/>
          <w:szCs w:val="12"/>
          <w:color w:val="auto"/>
        </w:rPr>
        <w:t xml:space="preserve">. The rights to cause the Company to register Registrable Securities pursuant to this Section 2 may be assigned by a Investor to a transferee or assignee of Registrable Securities; </w:t>
      </w:r>
      <w:r>
        <w:rPr>
          <w:rFonts w:ascii="Arial" w:cs="Arial" w:eastAsia="Arial" w:hAnsi="Arial"/>
          <w:sz w:val="12"/>
          <w:szCs w:val="12"/>
          <w:i w:val="1"/>
          <w:iCs w:val="1"/>
          <w:color w:val="auto"/>
        </w:rPr>
        <w:t>provided, however</w:t>
      </w:r>
      <w:r>
        <w:rPr>
          <w:rFonts w:ascii="Arial" w:cs="Arial" w:eastAsia="Arial" w:hAnsi="Arial"/>
          <w:sz w:val="12"/>
          <w:szCs w:val="12"/>
          <w:color w:val="auto"/>
        </w:rPr>
        <w:t>, (a) the transferor shall, within fifteen (15) days after such transfer, furnish to the Company written notice of the name and address of such transferee or assignee and the securities with respect to</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which such registration rights are being assigned, and (b) such transferee shall agree in writing to be subject to all rights and restrictions applicable to Investors set forth in this Agreement, and such transferee or assignee shall thereby become an “Investor” for purposes of this Agreement. The rights to cause the Company to register Registrable Securities pursuant to this Section 2 may not be assigned by any Common Stockholder or Spirit to a transferee or assignee of Registrable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 Common Stockholder or Spirit may elect to transfer its rights pursuant to this Section 2 to any other Common Stockholder or an Affiliate of such Common Stockholder or Spirit, if (a) the transferor shall, within fifteen (15) days after such transfer, furnish to the Company written notice of the name and address of such transferee or assignee and the securities with respect to which such registration rights are being assigned, and (b) such transferee shall agree in writing to remain subject to all rights and restrictions applicable to the Common Stockholders set forth in this Agreement, and such transferee or assignee shall thereby become a “Common Stockholder” for purposes of this Agreement.</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Limitation on Subsequent Registration Rights</w:t>
      </w:r>
      <w:r>
        <w:rPr>
          <w:rFonts w:ascii="Arial" w:cs="Arial" w:eastAsia="Arial" w:hAnsi="Arial"/>
          <w:sz w:val="13"/>
          <w:szCs w:val="13"/>
          <w:color w:val="auto"/>
        </w:rPr>
        <w:t>. After the date of this Agreement, the Company shall not, without the prior written consent of the Investors of at least fifty percent (50%) of the Registrable Securities held by Investors and the prior written consent of the Holders of at least fifty percent (50%) of the Registrable Securities held by Holders, enter into any agreement with any holder or prospective holder of any securities of the Company that would grant such holder registration rights senior to those granted to the Investors hereunder.</w:t>
      </w:r>
    </w:p>
    <w:p>
      <w:pPr>
        <w:spacing w:after="0" w:line="57"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“Market Stand-Off” Agreement</w:t>
      </w:r>
      <w:r>
        <w:rPr>
          <w:rFonts w:ascii="Arial" w:cs="Arial" w:eastAsia="Arial" w:hAnsi="Arial"/>
          <w:sz w:val="13"/>
          <w:szCs w:val="13"/>
          <w:color w:val="auto"/>
        </w:rPr>
        <w:t>. If requested by the Company or the representative of the underwriters of Common Stock (or other securities) of the Company, each Holder shall not sell or otherwise transfer or dispose of any Common Stock (or other securities) of the Company held by such Holder (other than those included in the registration) for a period specified by the representative of the underwriters not to exceed one hundred eighty (180) days following the effective date of a registration statement of the Company filed under the Securities Act, provided that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such agreement shall apply only to the Company’s Initial Offering;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3" w:name="page224"/>
    <w:bookmarkEnd w:id="223"/>
    <w:p>
      <w:pPr>
        <w:ind w:left="320"/>
        <w:spacing w:after="0"/>
        <w:rPr>
          <w:sz w:val="20"/>
          <w:szCs w:val="20"/>
          <w:color w:val="auto"/>
        </w:rPr>
      </w:pPr>
      <w:r>
        <w:rPr>
          <w:rFonts w:ascii="Arial" w:cs="Arial" w:eastAsia="Arial" w:hAnsi="Arial"/>
          <w:sz w:val="13"/>
          <w:szCs w:val="13"/>
          <w:color w:val="auto"/>
        </w:rPr>
        <w:t>(b) all officers and directors of the Company and holders of at least one percent (1%) of the Company’s voting securities enter into similar agreements.</w:t>
      </w:r>
    </w:p>
    <w:p>
      <w:pPr>
        <w:spacing w:after="0" w:line="86" w:lineRule="exact"/>
        <w:rPr>
          <w:sz w:val="20"/>
          <w:szCs w:val="20"/>
          <w:color w:val="auto"/>
        </w:rPr>
      </w:pPr>
    </w:p>
    <w:p>
      <w:pPr>
        <w:ind w:right="300" w:firstLine="161"/>
        <w:spacing w:after="0" w:line="264" w:lineRule="auto"/>
        <w:rPr>
          <w:sz w:val="20"/>
          <w:szCs w:val="20"/>
          <w:color w:val="auto"/>
        </w:rPr>
      </w:pPr>
      <w:r>
        <w:rPr>
          <w:rFonts w:ascii="Arial" w:cs="Arial" w:eastAsia="Arial" w:hAnsi="Arial"/>
          <w:sz w:val="13"/>
          <w:szCs w:val="13"/>
          <w:color w:val="auto"/>
        </w:rPr>
        <w:t>The obligations described in this Section 2.11 shall not apply to a registration relating solely to employee benefit plans on Form S-1 or Form S-8 or similar forms that may be promulgated in the future, or a registration relating solely to a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SEC Compliance</w:t>
      </w:r>
      <w:r>
        <w:rPr>
          <w:rFonts w:ascii="Arial" w:cs="Arial" w:eastAsia="Arial" w:hAnsi="Arial"/>
          <w:sz w:val="13"/>
          <w:szCs w:val="13"/>
          <w:color w:val="auto"/>
        </w:rPr>
        <w:t>. After the earliest of (i) the closing of the sale of securities of the Company pursuant to a registration statement, (ii) the registration by the Company of a class of securities under Section 12 of the Exchange Act, or (iii) the issuance by the Company of an offering circular pursuant to Regulation A under the Securities Act, the Company agrees to:</w:t>
      </w:r>
    </w:p>
    <w:p>
      <w:pPr>
        <w:spacing w:after="0" w:line="49" w:lineRule="exact"/>
        <w:rPr>
          <w:sz w:val="20"/>
          <w:szCs w:val="20"/>
          <w:color w:val="auto"/>
        </w:rPr>
      </w:pPr>
    </w:p>
    <w:p>
      <w:pPr>
        <w:ind w:left="500" w:hanging="174"/>
        <w:spacing w:after="0"/>
        <w:tabs>
          <w:tab w:leader="none" w:pos="50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make and keep current public information about the Company available, as those terms are understood and defined in Rule 144 promulgated under the Securities Act;</w:t>
      </w:r>
    </w:p>
    <w:p>
      <w:pPr>
        <w:spacing w:after="0" w:line="86" w:lineRule="exact"/>
        <w:rPr>
          <w:rFonts w:ascii="Arial" w:cs="Arial" w:eastAsia="Arial" w:hAnsi="Arial"/>
          <w:sz w:val="13"/>
          <w:szCs w:val="13"/>
          <w:color w:val="auto"/>
        </w:rPr>
      </w:pPr>
    </w:p>
    <w:p>
      <w:pPr>
        <w:ind w:right="160" w:firstLine="326"/>
        <w:spacing w:after="0" w:line="276" w:lineRule="auto"/>
        <w:tabs>
          <w:tab w:leader="none" w:pos="51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use its best efforts to file with the SEC in a timely manner all reports and other documents required of the Company under the Securities Act and the Exchange Act (at any time after it has become subject to such reporting requirements); and</w:t>
      </w:r>
    </w:p>
    <w:p>
      <w:pPr>
        <w:spacing w:after="0" w:line="49" w:lineRule="exact"/>
        <w:rPr>
          <w:rFonts w:ascii="Arial" w:cs="Arial" w:eastAsia="Arial" w:hAnsi="Arial"/>
          <w:sz w:val="13"/>
          <w:szCs w:val="13"/>
          <w:color w:val="auto"/>
        </w:rPr>
      </w:pPr>
    </w:p>
    <w:p>
      <w:pPr>
        <w:ind w:firstLine="326"/>
        <w:spacing w:after="0" w:line="264" w:lineRule="auto"/>
        <w:tabs>
          <w:tab w:leader="none" w:pos="506"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furnish to any Holder of Registrable Securities upon request (i) a written statement by the Company as to its compliance with the reporting requirements of Rule 144 and of the Securities Act and the Exchange Act (at any time after it has become subject to such reporting requirements), (ii) a copy of the most recent annual or quarterly report of the Company, and (iii) such other reports and documents of the Company as such holder may reasonably request to avail itself of any similar rule or regulation of the SEC allowing it to sell any such securities without registration.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3</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COVENANTS OF THE COMPANY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Basic Financial Information and Reporting</w:t>
      </w:r>
      <w:r>
        <w:rPr>
          <w:rFonts w:ascii="Arial" w:cs="Arial" w:eastAsia="Arial" w:hAnsi="Arial"/>
          <w:sz w:val="13"/>
          <w:szCs w:val="13"/>
          <w:color w:val="auto"/>
        </w:rPr>
        <w:t>.</w:t>
      </w:r>
    </w:p>
    <w:p>
      <w:pPr>
        <w:spacing w:after="0" w:line="86" w:lineRule="exact"/>
        <w:rPr>
          <w:sz w:val="20"/>
          <w:szCs w:val="20"/>
          <w:color w:val="auto"/>
        </w:rPr>
      </w:pPr>
    </w:p>
    <w:p>
      <w:pPr>
        <w:ind w:right="120" w:firstLine="326"/>
        <w:spacing w:after="0" w:line="264" w:lineRule="auto"/>
        <w:tabs>
          <w:tab w:leader="none" w:pos="50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and which shall be true and correct in all material respects and will set aside on its books all such proper accruals and reserves as shall be required under generally accepted accounting principles.</w:t>
      </w:r>
    </w:p>
    <w:p>
      <w:pPr>
        <w:spacing w:after="0" w:line="57" w:lineRule="exact"/>
        <w:rPr>
          <w:rFonts w:ascii="Arial" w:cs="Arial" w:eastAsia="Arial" w:hAnsi="Arial"/>
          <w:sz w:val="13"/>
          <w:szCs w:val="13"/>
          <w:color w:val="auto"/>
        </w:rPr>
      </w:pPr>
    </w:p>
    <w:p>
      <w:pPr>
        <w:ind w:right="60" w:firstLine="326"/>
        <w:spacing w:after="0" w:line="264" w:lineRule="auto"/>
        <w:tabs>
          <w:tab w:leader="none" w:pos="51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as soon as practicable after the end of each fiscal year of the Company, and in any event within ninety (90) days thereafter, the Company will furnish the Investors a consolidated balance sheet of the Company, as at the end of such fiscal year, and a consolidated statement of income and a consolidated statement of cash flows of the Company, for such year, all prepared in accordance with generally accepted accounting principles and setting forth in each case in comparative form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24" w:name="page225"/>
    <w:bookmarkEnd w:id="224"/>
    <w:p>
      <w:pPr>
        <w:ind w:right="260"/>
        <w:spacing w:after="0" w:line="276" w:lineRule="auto"/>
        <w:rPr>
          <w:sz w:val="20"/>
          <w:szCs w:val="20"/>
          <w:color w:val="auto"/>
        </w:rPr>
      </w:pPr>
      <w:r>
        <w:rPr>
          <w:rFonts w:ascii="Arial" w:cs="Arial" w:eastAsia="Arial" w:hAnsi="Arial"/>
          <w:sz w:val="13"/>
          <w:szCs w:val="13"/>
          <w:color w:val="auto"/>
        </w:rPr>
        <w:t>the figures for the previous fiscal year, all in reasonable detail. Such financial statements shall be accompanied by a report and opinion thereon by independent public accountants of regional standing that is familiar with DOE regulatory and audit issues selected by the Company’s Board of Directors, and a Company-prepared comparison to the Company’s operating plan for such year.</w:t>
      </w:r>
    </w:p>
    <w:p>
      <w:pPr>
        <w:spacing w:after="0" w:line="49" w:lineRule="exact"/>
        <w:rPr>
          <w:sz w:val="20"/>
          <w:szCs w:val="20"/>
          <w:color w:val="auto"/>
        </w:rPr>
      </w:pPr>
    </w:p>
    <w:p>
      <w:pPr>
        <w:ind w:firstLine="326"/>
        <w:spacing w:after="0" w:line="258" w:lineRule="auto"/>
        <w:tabs>
          <w:tab w:leader="none" w:pos="506" w:val="left"/>
        </w:tabs>
        <w:numPr>
          <w:ilvl w:val="0"/>
          <w:numId w:val="133"/>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the Investors, as soon as practicable after the end of each calendar month and in any event within thirty (30) days thereafter, (i) historical financial statements of the Company, including a consolidated balance sheet of the Company as of the end of each month, and a consolidated statement of income and a consolidated statement of cash flows of the Company for such month and for the current fiscal year to date prepared in accordance with generally accepted accounting principles, and (ii) a projected statement of cash flows of the Company for the next twelve (12) months prepared in accordance with generally accepted accounting principles, with the exception that no notes need be attached to such statements and year-end audit adjustments may not have been made.</w:t>
      </w:r>
    </w:p>
    <w:p>
      <w:pPr>
        <w:spacing w:after="0" w:line="61" w:lineRule="exact"/>
        <w:rPr>
          <w:rFonts w:ascii="Arial" w:cs="Arial" w:eastAsia="Arial" w:hAnsi="Arial"/>
          <w:sz w:val="13"/>
          <w:szCs w:val="13"/>
          <w:color w:val="auto"/>
        </w:rPr>
      </w:pPr>
    </w:p>
    <w:p>
      <w:pPr>
        <w:ind w:right="20" w:firstLine="326"/>
        <w:spacing w:after="0" w:line="285" w:lineRule="auto"/>
        <w:tabs>
          <w:tab w:leader="none" w:pos="51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So long as any Investor or its Affiliates shall own any Shares, the Company will furnish to the Investors (i) no later than thirty (30) days prior to the beginning of each fiscal year, a copy of the Business Plan, and as soon as available, any subsequent revisions or supplements thereto, (ii) all material correspondence with the Company’s lenders within ten (10) business days after the date of such correspondence, and (iii) as soon as practicable after the end of each month, and in any event within thirty (30) days thereafter, a consolidated balance sheet of the Company as of the end of each such month, and a consolidated statement of income and a consolidated statement of cash flows of the Company for such month and for the current fiscal year to date, including a comparison to plan figures for such period, prepared in accordance with generally accepted accounting principles consistently applied, with the exception that no notes need be attached to such statements and year-end audit adjustments may not have been made.</w:t>
      </w:r>
    </w:p>
    <w:p>
      <w:pPr>
        <w:spacing w:after="0" w:line="45" w:lineRule="exact"/>
        <w:rPr>
          <w:rFonts w:ascii="Arial" w:cs="Arial" w:eastAsia="Arial" w:hAnsi="Arial"/>
          <w:sz w:val="12"/>
          <w:szCs w:val="12"/>
          <w:color w:val="auto"/>
        </w:rPr>
      </w:pPr>
    </w:p>
    <w:p>
      <w:pPr>
        <w:ind w:right="360" w:firstLine="326"/>
        <w:spacing w:after="0" w:line="276" w:lineRule="auto"/>
        <w:tabs>
          <w:tab w:leader="none" w:pos="506" w:val="left"/>
        </w:tabs>
        <w:numPr>
          <w:ilvl w:val="0"/>
          <w:numId w:val="133"/>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to the Investors, reasonably promptly in advance of any meeting of the Board of Directors, copies of the materials provided to the Board members for any such meeting.</w:t>
      </w:r>
    </w:p>
    <w:p>
      <w:pPr>
        <w:spacing w:after="0" w:line="49" w:lineRule="exact"/>
        <w:rPr>
          <w:rFonts w:ascii="Arial" w:cs="Arial" w:eastAsia="Arial" w:hAnsi="Arial"/>
          <w:sz w:val="13"/>
          <w:szCs w:val="13"/>
          <w:color w:val="auto"/>
        </w:rPr>
      </w:pPr>
    </w:p>
    <w:p>
      <w:pPr>
        <w:ind w:right="300" w:firstLine="326"/>
        <w:spacing w:after="0" w:line="276" w:lineRule="auto"/>
        <w:tabs>
          <w:tab w:leader="none" w:pos="49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to the Investors, promptly upon receipt thereof, any written report, so-called “management letter,” and any material written communication submitted to the Company by its independent public accountants relating to the business, prospects or financial condition of the Company.</w:t>
      </w:r>
    </w:p>
    <w:p>
      <w:pPr>
        <w:spacing w:after="0" w:line="49" w:lineRule="exact"/>
        <w:rPr>
          <w:rFonts w:ascii="Arial" w:cs="Arial" w:eastAsia="Arial" w:hAnsi="Arial"/>
          <w:sz w:val="13"/>
          <w:szCs w:val="13"/>
          <w:color w:val="auto"/>
        </w:rPr>
      </w:pPr>
    </w:p>
    <w:p>
      <w:pPr>
        <w:ind w:right="20" w:firstLine="326"/>
        <w:spacing w:after="0" w:line="264" w:lineRule="auto"/>
        <w:tabs>
          <w:tab w:leader="none" w:pos="51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to the Investors, promptly upon receipt thereof, any written report and any material written communication submitted to the Company by any Regulatory Entity, including, but not limited to, any assertion by any Regulatory Entity that the Company or the School is not in material compliance with the terms of its Regulatory Approval or with any laws, regulations or requirements administered by such Regulatory Entity.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5" w:name="page226"/>
    <w:bookmarkEnd w:id="225"/>
    <w:p>
      <w:pPr>
        <w:ind w:firstLine="326"/>
        <w:spacing w:after="0" w:line="289" w:lineRule="auto"/>
        <w:tabs>
          <w:tab w:leader="none" w:pos="51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So long as any Investor or its Affiliates shall own any Shares, the Company will furnish to the Investors, promptly upon the occurrence or commencement thereof, notice of (i) all actions, suits and proceedings before any court or governmental department, commission, board, bureau, agency or instrumentality, domestic or foreign, affecting the Company which, if successful, could have a Material Adverse Effect on the Company; (ii) all material defaults by the Company (whether or not declared) under any agreement for money borrowed (unless waived or cured within applicable grace periods); (iii) all material defaults by the Company or third party under any contract, agreement or arrangement which are material to the Company and its subsidiaries, taken as a whole, or to the business or operations of the Company.</w:t>
      </w:r>
    </w:p>
    <w:p>
      <w:pPr>
        <w:spacing w:after="0" w:line="43" w:lineRule="exact"/>
        <w:rPr>
          <w:rFonts w:ascii="Arial" w:cs="Arial" w:eastAsia="Arial" w:hAnsi="Arial"/>
          <w:sz w:val="12"/>
          <w:szCs w:val="12"/>
          <w:color w:val="auto"/>
        </w:rPr>
      </w:pPr>
    </w:p>
    <w:p>
      <w:pPr>
        <w:ind w:right="80" w:firstLine="326"/>
        <w:spacing w:after="0" w:line="276" w:lineRule="auto"/>
        <w:tabs>
          <w:tab w:leader="none" w:pos="48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to the Investors, promptly upon sending, making available or filing the same, all reports and financial statements as the Company shall send or make available generally to the stockholders of the Company as such.</w:t>
      </w:r>
    </w:p>
    <w:p>
      <w:pPr>
        <w:spacing w:after="0" w:line="49" w:lineRule="exact"/>
        <w:rPr>
          <w:rFonts w:ascii="Arial" w:cs="Arial" w:eastAsia="Arial" w:hAnsi="Arial"/>
          <w:sz w:val="13"/>
          <w:szCs w:val="13"/>
          <w:color w:val="auto"/>
        </w:rPr>
      </w:pPr>
    </w:p>
    <w:p>
      <w:pPr>
        <w:ind w:right="240" w:firstLine="326"/>
        <w:spacing w:after="0" w:line="276" w:lineRule="auto"/>
        <w:tabs>
          <w:tab w:leader="none" w:pos="48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furnish to the Investors as soon as reasonably practicable, (but in any event at least one (1) Business Day prior to release), a draft of any press release of the Company pertaining to any significant development with regard to the Company’s operations, management or financial condition.</w:t>
      </w:r>
    </w:p>
    <w:p>
      <w:pPr>
        <w:spacing w:after="0" w:line="49" w:lineRule="exact"/>
        <w:rPr>
          <w:rFonts w:ascii="Arial" w:cs="Arial" w:eastAsia="Arial" w:hAnsi="Arial"/>
          <w:sz w:val="13"/>
          <w:szCs w:val="13"/>
          <w:color w:val="auto"/>
        </w:rPr>
      </w:pPr>
    </w:p>
    <w:p>
      <w:pPr>
        <w:ind w:right="100" w:firstLine="326"/>
        <w:spacing w:after="0" w:line="276" w:lineRule="auto"/>
        <w:tabs>
          <w:tab w:leader="none" w:pos="513"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So long as any Investor or its Affiliates shall own any Shares, the Company will provide to the Investors such other information with regard to the business, properties or the condition or operations, financial or otherwise, of the Company, as Endeavour may from time to time reasonably request.</w:t>
      </w:r>
    </w:p>
    <w:p>
      <w:pPr>
        <w:spacing w:after="0" w:line="49" w:lineRule="exact"/>
        <w:rPr>
          <w:rFonts w:ascii="Arial" w:cs="Arial" w:eastAsia="Arial" w:hAnsi="Arial"/>
          <w:sz w:val="13"/>
          <w:szCs w:val="13"/>
          <w:color w:val="auto"/>
        </w:rPr>
      </w:pPr>
    </w:p>
    <w:p>
      <w:pPr>
        <w:ind w:right="140" w:firstLine="326"/>
        <w:spacing w:after="0" w:line="276" w:lineRule="auto"/>
        <w:tabs>
          <w:tab w:leader="none" w:pos="48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So long as any Common Stockholder or its Affiliates shall own any shares of Common Stock, the Company will provide to the Common Stockholders copies of information provided to the Investors or their Affiliates under this Section 3.1.</w:t>
      </w:r>
    </w:p>
    <w:p>
      <w:pPr>
        <w:spacing w:after="0" w:line="4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Inspection Rights</w:t>
      </w:r>
      <w:r>
        <w:rPr>
          <w:rFonts w:ascii="Arial" w:cs="Arial" w:eastAsia="Arial" w:hAnsi="Arial"/>
          <w:sz w:val="13"/>
          <w:szCs w:val="13"/>
          <w:color w:val="auto"/>
        </w:rPr>
        <w:t>. The Investors shall have the right to visit and inspect any of the properties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w:t>
      </w:r>
    </w:p>
    <w:p>
      <w:pPr>
        <w:spacing w:after="0" w:line="49" w:lineRule="exact"/>
        <w:rPr>
          <w:sz w:val="20"/>
          <w:szCs w:val="20"/>
          <w:color w:val="auto"/>
        </w:rPr>
      </w:pPr>
    </w:p>
    <w:p>
      <w:pPr>
        <w:ind w:right="200" w:firstLine="164"/>
        <w:spacing w:after="0" w:line="29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Taxes</w:t>
      </w:r>
      <w:r>
        <w:rPr>
          <w:rFonts w:ascii="Arial" w:cs="Arial" w:eastAsia="Arial" w:hAnsi="Arial"/>
          <w:sz w:val="12"/>
          <w:szCs w:val="12"/>
          <w:color w:val="auto"/>
        </w:rPr>
        <w:t>. The Company will pay and discharge all taxes, assessments and governmental charges or levies imposed upon it or upon its income or profits, or upon any properties belonging to it, prior to the date on which penalties attach thereto, and all lawful claims which, if unpaid, might become a lien or charge upon any properties of the Company, provided that the Company shall not be required to pay any such tax, assessment, charge, levy or claim which is being contested in good faith and by proper proceedings if the Company shall have set aside on its books adequate reserves with respect thereto.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26" w:name="page227"/>
    <w:bookmarkEnd w:id="226"/>
    <w:p>
      <w:pPr>
        <w:ind w:left="160"/>
        <w:spacing w:after="0"/>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Insurance</w:t>
      </w:r>
      <w:r>
        <w:rPr>
          <w:rFonts w:ascii="Arial" w:cs="Arial" w:eastAsia="Arial" w:hAnsi="Arial"/>
          <w:sz w:val="12"/>
          <w:szCs w:val="12"/>
          <w:color w:val="auto"/>
        </w:rPr>
        <w:t>. The Company will obtain and maintain with financially sound and reputable insurers directors and officers’ liability insurance in a reasonable amount determined by the Board of Directors.</w:t>
      </w:r>
    </w:p>
    <w:p>
      <w:pPr>
        <w:spacing w:after="0" w:line="98" w:lineRule="exact"/>
        <w:rPr>
          <w:sz w:val="20"/>
          <w:szCs w:val="20"/>
          <w:color w:val="auto"/>
        </w:rPr>
      </w:pPr>
    </w:p>
    <w:p>
      <w:pPr>
        <w:jc w:val="both"/>
        <w:ind w:right="60" w:firstLine="164"/>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will comply with all applicable laws, rules, regulations and orders of any governmental authority, the noncompliance with which could have a Material Adverse Effect on the Company.</w:t>
      </w:r>
    </w:p>
    <w:p>
      <w:pPr>
        <w:spacing w:after="0" w:line="4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Corporate Existence</w:t>
      </w:r>
      <w:r>
        <w:rPr>
          <w:rFonts w:ascii="Arial" w:cs="Arial" w:eastAsia="Arial" w:hAnsi="Arial"/>
          <w:sz w:val="13"/>
          <w:szCs w:val="13"/>
          <w:color w:val="auto"/>
        </w:rPr>
        <w:t>. The Company will at all times preserve and keep in full force and effect its corporate existence, and rights and franchises material to the business of the Company, and will qualify to do business as a foreign corporation in any jurisdiction where the failure to do so would have a Material Adverse Effect on the Company.</w:t>
      </w:r>
    </w:p>
    <w:p>
      <w:pPr>
        <w:spacing w:after="0" w:line="4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Business Plan</w:t>
      </w:r>
      <w:r>
        <w:rPr>
          <w:rFonts w:ascii="Arial" w:cs="Arial" w:eastAsia="Arial" w:hAnsi="Arial"/>
          <w:sz w:val="13"/>
          <w:szCs w:val="13"/>
          <w:color w:val="auto"/>
        </w:rPr>
        <w:t>. Prior to the end of each fiscal year, the Company will prepare and submit to its Board of Directors for its approval prior to such year end an operating plan and budget, cash flow projections and profit and loss projections, all itemized in reasonable detail for the immediately following year (collectively referred to herein as the “</w:t>
      </w:r>
      <w:r>
        <w:rPr>
          <w:rFonts w:ascii="Arial" w:cs="Arial" w:eastAsia="Arial" w:hAnsi="Arial"/>
          <w:sz w:val="13"/>
          <w:szCs w:val="13"/>
          <w:u w:val="single" w:color="auto"/>
          <w:color w:val="auto"/>
        </w:rPr>
        <w:t>Business Plan</w:t>
      </w:r>
      <w:r>
        <w:rPr>
          <w:rFonts w:ascii="Arial" w:cs="Arial" w:eastAsia="Arial" w:hAnsi="Arial"/>
          <w:sz w:val="13"/>
          <w:szCs w:val="13"/>
          <w:color w:val="auto"/>
        </w:rPr>
        <w:t>”).</w:t>
      </w:r>
    </w:p>
    <w:p>
      <w:pPr>
        <w:spacing w:after="0" w:line="49" w:lineRule="exact"/>
        <w:rPr>
          <w:sz w:val="20"/>
          <w:szCs w:val="20"/>
          <w:color w:val="auto"/>
        </w:rPr>
      </w:pPr>
    </w:p>
    <w:p>
      <w:pPr>
        <w:jc w:val="both"/>
        <w:ind w:right="80" w:firstLine="164"/>
        <w:spacing w:after="0" w:line="296" w:lineRule="auto"/>
        <w:rPr>
          <w:sz w:val="20"/>
          <w:szCs w:val="20"/>
          <w:color w:val="auto"/>
        </w:rPr>
      </w:pPr>
      <w:r>
        <w:rPr>
          <w:rFonts w:ascii="Arial" w:cs="Arial" w:eastAsia="Arial" w:hAnsi="Arial"/>
          <w:sz w:val="12"/>
          <w:szCs w:val="12"/>
          <w:color w:val="auto"/>
        </w:rPr>
        <w:t xml:space="preserve">3.8 </w:t>
      </w:r>
      <w:r>
        <w:rPr>
          <w:rFonts w:ascii="Arial" w:cs="Arial" w:eastAsia="Arial" w:hAnsi="Arial"/>
          <w:sz w:val="12"/>
          <w:szCs w:val="12"/>
          <w:u w:val="single" w:color="auto"/>
          <w:color w:val="auto"/>
        </w:rPr>
        <w:t>Meetings of the Board of Directors</w:t>
      </w:r>
      <w:r>
        <w:rPr>
          <w:rFonts w:ascii="Arial" w:cs="Arial" w:eastAsia="Arial" w:hAnsi="Arial"/>
          <w:sz w:val="12"/>
          <w:szCs w:val="12"/>
          <w:color w:val="auto"/>
        </w:rPr>
        <w:t xml:space="preserve">. The directors shall schedule regular meetings not less frequently than once every quarter, unless otherwise determined by the Board of Directors,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Endeavour Directors or the holders of a majority of the outstanding shares of Series A Preferred Stock shall have the right to call additional meetings of the Board of Directors by giving at least twenty-four (24) hour notice in the form and manner set forth in the Company’s Bylaws. The Company shall reimburse directors for all reasonable direct out of pocket expenses incurred in attending such meetings.</w:t>
      </w:r>
    </w:p>
    <w:p>
      <w:pPr>
        <w:spacing w:after="0" w:line="40" w:lineRule="exact"/>
        <w:rPr>
          <w:sz w:val="20"/>
          <w:szCs w:val="20"/>
          <w:color w:val="auto"/>
        </w:rPr>
      </w:pPr>
    </w:p>
    <w:p>
      <w:pPr>
        <w:ind w:right="140" w:firstLine="164"/>
        <w:spacing w:after="0" w:line="260"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Confidentiality of Records</w:t>
      </w:r>
      <w:r>
        <w:rPr>
          <w:rFonts w:ascii="Arial" w:cs="Arial" w:eastAsia="Arial" w:hAnsi="Arial"/>
          <w:sz w:val="13"/>
          <w:szCs w:val="13"/>
          <w:color w:val="auto"/>
        </w:rPr>
        <w:t>. The Investors each agree to use, and to use its best efforts to ensure that its authorized representatives use, the same degree of care as each uses to protect its own confidential information to keep confidential any information furnished to it which the Company identifies as being confidential or proprietary (so long as such information is not in the public domain), except that each of the Investors may disclose such proprietary or confidential information to any partner, subsidiary or parent of it for the purpose of evaluating its investment in the Company as long as such partner, subsidiary or parent is advised of the confidentiality provisions of this Section 3.9 and agrees to comply with this Section 3.9.</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Reservation of Common Stock</w:t>
      </w:r>
      <w:r>
        <w:rPr>
          <w:rFonts w:ascii="Arial" w:cs="Arial" w:eastAsia="Arial" w:hAnsi="Arial"/>
          <w:sz w:val="13"/>
          <w:szCs w:val="13"/>
          <w:color w:val="auto"/>
        </w:rPr>
        <w:t>. The Company will at all times reserve and keep available, solely for issuance and delivery upon the conversion of the Shares, all Common Stock issuable from time to time upon such conversion.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Negative Covenants of the Company</w:t>
      </w:r>
      <w:r>
        <w:rPr>
          <w:rFonts w:ascii="Arial" w:cs="Arial" w:eastAsia="Arial" w:hAnsi="Arial"/>
          <w:sz w:val="13"/>
          <w:szCs w:val="13"/>
          <w:color w:val="auto"/>
        </w:rPr>
        <w:t>.</w:t>
      </w:r>
    </w:p>
    <w:p>
      <w:pPr>
        <w:spacing w:after="0" w:line="86" w:lineRule="exact"/>
        <w:rPr>
          <w:sz w:val="20"/>
          <w:szCs w:val="20"/>
          <w:color w:val="auto"/>
        </w:rPr>
      </w:pPr>
    </w:p>
    <w:p>
      <w:pPr>
        <w:ind w:right="220" w:firstLine="326"/>
        <w:spacing w:after="0" w:line="320" w:lineRule="auto"/>
        <w:tabs>
          <w:tab w:leader="none" w:pos="503" w:val="left"/>
        </w:tabs>
        <w:numPr>
          <w:ilvl w:val="0"/>
          <w:numId w:val="135"/>
        </w:numPr>
        <w:rPr>
          <w:rFonts w:ascii="Arial" w:cs="Arial" w:eastAsia="Arial" w:hAnsi="Arial"/>
          <w:sz w:val="12"/>
          <w:szCs w:val="12"/>
          <w:color w:val="auto"/>
        </w:rPr>
      </w:pPr>
      <w:r>
        <w:rPr>
          <w:rFonts w:ascii="Arial" w:cs="Arial" w:eastAsia="Arial" w:hAnsi="Arial"/>
          <w:sz w:val="12"/>
          <w:szCs w:val="12"/>
          <w:color w:val="auto"/>
        </w:rPr>
        <w:t>Without limiting any other covenants and provisions hereof, the Company covenants and agrees that it shall comply with each of the provisions of this Section 3.11(a) until the consummation of the Initial Offering unless failure to comply with any such covenant is waived by at least a majority of the then outstanding shares of Series A Preferred Stock, voting as a separate class: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27" w:name="page228"/>
    <w:bookmarkEnd w:id="227"/>
    <w:p>
      <w:pPr>
        <w:ind w:right="120" w:firstLine="335"/>
        <w:spacing w:after="0" w:line="264" w:lineRule="auto"/>
        <w:tabs>
          <w:tab w:leader="none" w:pos="48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redeem, purchase or otherwise acquire for value (or pay into or set aside for a sinking fund for such purpose) or declare and pay or set aside funds for the payment of any dividend with respect to, any share or shares of capital stock, purchase, redeem, retire, or otherwise acquire for value any of its capital stock (or rights, options or warrants to purchase capital stock) now or hereafter outstanding, return any capital to its stockholders as such, or make any distribution of assets to is stockholders as such.</w:t>
      </w:r>
    </w:p>
    <w:p>
      <w:pPr>
        <w:spacing w:after="0" w:line="57" w:lineRule="exact"/>
        <w:rPr>
          <w:rFonts w:ascii="Arial" w:cs="Arial" w:eastAsia="Arial" w:hAnsi="Arial"/>
          <w:sz w:val="13"/>
          <w:szCs w:val="13"/>
          <w:color w:val="auto"/>
        </w:rPr>
      </w:pPr>
    </w:p>
    <w:p>
      <w:pPr>
        <w:ind w:right="100" w:firstLine="335"/>
        <w:spacing w:after="0" w:line="289" w:lineRule="auto"/>
        <w:tabs>
          <w:tab w:leader="none" w:pos="52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Company shall not authorize or issue, or obligate itself to authorize or issue, (A) additional shares of Series A Preferred Stock or Series C Preferred Stock, (B) any new class or series of stock, or any other securities convertible into equity securities of the Company, ranking on parity with or senior to the Series A Preferred Stock and Series C Preferred Stock in right of redemption, liquidation preference, dividends, or right of voting; or (C) any shares of Common Stock (or rights, options or warrants to purchase Common Stock) if such issuance (or exercise of such right, option or warrant) would result in the Company having more than 18,000 shares of Common Stock issued and outstanding (such number to be adjusted in respect of any stock split, stock dividend, combination, recapitalization or the like).</w:t>
      </w:r>
    </w:p>
    <w:p>
      <w:pPr>
        <w:spacing w:after="0" w:line="43" w:lineRule="exact"/>
        <w:rPr>
          <w:rFonts w:ascii="Arial" w:cs="Arial" w:eastAsia="Arial" w:hAnsi="Arial"/>
          <w:sz w:val="12"/>
          <w:szCs w:val="12"/>
          <w:color w:val="auto"/>
        </w:rPr>
      </w:pPr>
    </w:p>
    <w:p>
      <w:pPr>
        <w:ind w:left="560" w:hanging="225"/>
        <w:spacing w:after="0"/>
        <w:tabs>
          <w:tab w:leader="none" w:pos="5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amend, restate, modify or alter the rights, preferences and privileges of the Series A Preferred Stock or Series C Preferred Stock.</w:t>
      </w:r>
    </w:p>
    <w:p>
      <w:pPr>
        <w:spacing w:after="0" w:line="86" w:lineRule="exact"/>
        <w:rPr>
          <w:rFonts w:ascii="Arial" w:cs="Arial" w:eastAsia="Arial" w:hAnsi="Arial"/>
          <w:sz w:val="13"/>
          <w:szCs w:val="13"/>
          <w:color w:val="auto"/>
        </w:rPr>
      </w:pPr>
    </w:p>
    <w:p>
      <w:pPr>
        <w:ind w:firstLine="335"/>
        <w:spacing w:after="0" w:line="260" w:lineRule="auto"/>
        <w:tabs>
          <w:tab w:leader="none" w:pos="54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merge or consolidate with any other corporation, or sell, assign, license, lease or otherwise dispose of or voluntarily part with the control of (whether in one transaction or in a series of transactions) all, or any significant portion, of its assets (whether now owned or hereinafter acquired), including without limitation sales of the Company’s intellectual property and technology, or consent to any liquidation, dissolution or winding up of the Company, or effect any transaction or series of transactions in which the holders of the Company’s voting interests prior to such transaction or series of transactions hold less than 50% of the voting interests of the Company following such transaction or series of transactions.</w:t>
      </w:r>
    </w:p>
    <w:p>
      <w:pPr>
        <w:spacing w:after="0" w:line="59" w:lineRule="exact"/>
        <w:rPr>
          <w:rFonts w:ascii="Arial" w:cs="Arial" w:eastAsia="Arial" w:hAnsi="Arial"/>
          <w:sz w:val="13"/>
          <w:szCs w:val="13"/>
          <w:color w:val="auto"/>
        </w:rPr>
      </w:pPr>
    </w:p>
    <w:p>
      <w:pPr>
        <w:ind w:left="520" w:hanging="185"/>
        <w:spacing w:after="0"/>
        <w:tabs>
          <w:tab w:leader="none" w:pos="5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increase or decrease the number of directors constituting the Company’s Board of Directors.</w:t>
      </w:r>
    </w:p>
    <w:p>
      <w:pPr>
        <w:spacing w:after="0" w:line="86" w:lineRule="exact"/>
        <w:rPr>
          <w:rFonts w:ascii="Arial" w:cs="Arial" w:eastAsia="Arial" w:hAnsi="Arial"/>
          <w:sz w:val="13"/>
          <w:szCs w:val="13"/>
          <w:color w:val="auto"/>
        </w:rPr>
      </w:pPr>
    </w:p>
    <w:p>
      <w:pPr>
        <w:ind w:right="140" w:firstLine="335"/>
        <w:spacing w:after="0" w:line="276" w:lineRule="auto"/>
        <w:tabs>
          <w:tab w:leader="none" w:pos="54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amend, restate, modify or alter the bylaws or the Certificate of Incorporation of the Company in a manner which adversely affects the rights and preferences of the holders of the Series A Preferred Stock and Series C Preferred Stock.</w:t>
      </w:r>
    </w:p>
    <w:p>
      <w:pPr>
        <w:spacing w:after="0" w:line="49" w:lineRule="exact"/>
        <w:rPr>
          <w:rFonts w:ascii="Arial" w:cs="Arial" w:eastAsia="Arial" w:hAnsi="Arial"/>
          <w:sz w:val="13"/>
          <w:szCs w:val="13"/>
          <w:color w:val="auto"/>
        </w:rPr>
      </w:pPr>
    </w:p>
    <w:p>
      <w:pPr>
        <w:ind w:right="20" w:firstLine="335"/>
        <w:spacing w:after="0" w:line="264" w:lineRule="auto"/>
        <w:tabs>
          <w:tab w:leader="none" w:pos="586"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shall not enter into any transaction or amend any existing agreement with any officer or director of the Company or holder of any shares of capital stock of the Company, or any member of their respective immediate families or any corporation or other entity directly or indirectly controlled by one or more of such officers, directors or stockholders or members of their immediate families except for compensation arrangements approved by the Board of Directors and entered into in the ordinary course of business and consistent with past practice.</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28" w:name="page229"/>
    <w:bookmarkEnd w:id="228"/>
    <w:p>
      <w:pPr>
        <w:ind w:left="180" w:right="260" w:firstLine="335"/>
        <w:spacing w:after="0" w:line="320" w:lineRule="auto"/>
        <w:tabs>
          <w:tab w:leader="none" w:pos="802" w:val="left"/>
        </w:tabs>
        <w:numPr>
          <w:ilvl w:val="1"/>
          <w:numId w:val="137"/>
        </w:numPr>
        <w:rPr>
          <w:rFonts w:ascii="Arial" w:cs="Arial" w:eastAsia="Arial" w:hAnsi="Arial"/>
          <w:sz w:val="12"/>
          <w:szCs w:val="12"/>
          <w:color w:val="auto"/>
        </w:rPr>
      </w:pPr>
      <w:r>
        <w:rPr>
          <w:rFonts w:ascii="Arial" w:cs="Arial" w:eastAsia="Arial" w:hAnsi="Arial"/>
          <w:sz w:val="12"/>
          <w:szCs w:val="12"/>
          <w:color w:val="auto"/>
        </w:rPr>
        <w:t>The Company shall not enter into a line of business that does not relate to its operation of a regionally accredited higher or post-secondary education business or enact material changes to its current programs or operations, unless such material changes are described in the Business Plan, or an amendment or supplement thereto, and approved by the Board of Directors.</w:t>
      </w:r>
    </w:p>
    <w:p>
      <w:pPr>
        <w:spacing w:after="0" w:line="25" w:lineRule="exact"/>
        <w:rPr>
          <w:rFonts w:ascii="Arial" w:cs="Arial" w:eastAsia="Arial" w:hAnsi="Arial"/>
          <w:sz w:val="12"/>
          <w:szCs w:val="12"/>
          <w:color w:val="auto"/>
        </w:rPr>
      </w:pPr>
    </w:p>
    <w:p>
      <w:pPr>
        <w:ind w:left="-40" w:right="160" w:firstLine="326"/>
        <w:spacing w:after="0" w:line="276" w:lineRule="auto"/>
        <w:tabs>
          <w:tab w:leader="none" w:pos="47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Without limiting any other covenants and provisions hereof, the Company covenants and agrees until the consummation of the Initial Offering, that unless the following action is approved by the Endeavour Directors, the Company shall not:</w:t>
      </w:r>
    </w:p>
    <w:p>
      <w:pPr>
        <w:spacing w:after="0" w:line="49" w:lineRule="exact"/>
        <w:rPr>
          <w:rFonts w:ascii="Arial" w:cs="Arial" w:eastAsia="Arial" w:hAnsi="Arial"/>
          <w:sz w:val="13"/>
          <w:szCs w:val="13"/>
          <w:color w:val="auto"/>
        </w:rPr>
      </w:pPr>
    </w:p>
    <w:p>
      <w:pPr>
        <w:ind w:left="180" w:firstLine="335"/>
        <w:spacing w:after="0" w:line="276" w:lineRule="auto"/>
        <w:tabs>
          <w:tab w:leader="none" w:pos="664" w:val="left"/>
        </w:tabs>
        <w:numPr>
          <w:ilvl w:val="1"/>
          <w:numId w:val="138"/>
        </w:numPr>
        <w:rPr>
          <w:rFonts w:ascii="Arial" w:cs="Arial" w:eastAsia="Arial" w:hAnsi="Arial"/>
          <w:sz w:val="13"/>
          <w:szCs w:val="13"/>
          <w:color w:val="auto"/>
        </w:rPr>
      </w:pPr>
      <w:r>
        <w:rPr>
          <w:rFonts w:ascii="Arial" w:cs="Arial" w:eastAsia="Arial" w:hAnsi="Arial"/>
          <w:sz w:val="13"/>
          <w:szCs w:val="13"/>
          <w:color w:val="auto"/>
        </w:rPr>
        <w:t>Enter into or amend, restate, modify or alter any agreement or arrangement with any governmental authority or any contract, agreement or arrangement valued at more than $250,000 or which obligates the Company to make aggregate expenditures in excess of $250,0000 (each, a “</w:t>
      </w:r>
      <w:r>
        <w:rPr>
          <w:rFonts w:ascii="Arial" w:cs="Arial" w:eastAsia="Arial" w:hAnsi="Arial"/>
          <w:sz w:val="13"/>
          <w:szCs w:val="13"/>
          <w:u w:val="single" w:color="auto"/>
          <w:color w:val="auto"/>
        </w:rPr>
        <w:t>Material Contract</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180" w:right="320" w:firstLine="335"/>
        <w:spacing w:after="0" w:line="276" w:lineRule="auto"/>
        <w:tabs>
          <w:tab w:leader="none" w:pos="70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Make, enter into or amend any contract, agreement or arrangement which obligates the Company to make, any capital expenditure in any single transaction in excess of $250,000, or in the aggregate amount per year in excess of $500,000;</w:t>
      </w:r>
    </w:p>
    <w:p>
      <w:pPr>
        <w:spacing w:after="0" w:line="49" w:lineRule="exact"/>
        <w:rPr>
          <w:rFonts w:ascii="Arial" w:cs="Arial" w:eastAsia="Arial" w:hAnsi="Arial"/>
          <w:sz w:val="13"/>
          <w:szCs w:val="13"/>
          <w:color w:val="auto"/>
        </w:rPr>
      </w:pPr>
    </w:p>
    <w:p>
      <w:pPr>
        <w:ind w:left="180" w:right="180" w:firstLine="335"/>
        <w:spacing w:after="0" w:line="276" w:lineRule="auto"/>
        <w:tabs>
          <w:tab w:leader="none" w:pos="737" w:val="left"/>
        </w:tabs>
        <w:numPr>
          <w:ilvl w:val="1"/>
          <w:numId w:val="138"/>
        </w:numPr>
        <w:rPr>
          <w:rFonts w:ascii="Arial" w:cs="Arial" w:eastAsia="Arial" w:hAnsi="Arial"/>
          <w:sz w:val="13"/>
          <w:szCs w:val="13"/>
          <w:color w:val="auto"/>
        </w:rPr>
      </w:pPr>
      <w:r>
        <w:rPr>
          <w:rFonts w:ascii="Arial" w:cs="Arial" w:eastAsia="Arial" w:hAnsi="Arial"/>
          <w:sz w:val="13"/>
          <w:szCs w:val="13"/>
          <w:color w:val="auto"/>
        </w:rPr>
        <w:t>Incur indebtedness for borrowed money (excluding trade debt, debt pursuant to revolving credit facilities approved by the Board, or other debt incurred in the ordinary course of business) in any single transaction in excess of $250,000, or in the aggregate amount per year in excess of $500,000;</w:t>
      </w:r>
    </w:p>
    <w:p>
      <w:pPr>
        <w:spacing w:after="0" w:line="49" w:lineRule="exact"/>
        <w:rPr>
          <w:rFonts w:ascii="Arial" w:cs="Arial" w:eastAsia="Arial" w:hAnsi="Arial"/>
          <w:sz w:val="13"/>
          <w:szCs w:val="13"/>
          <w:color w:val="auto"/>
        </w:rPr>
      </w:pPr>
    </w:p>
    <w:p>
      <w:pPr>
        <w:ind w:left="740" w:hanging="225"/>
        <w:spacing w:after="0"/>
        <w:tabs>
          <w:tab w:leader="none" w:pos="74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Acquire or sell, or enter into or amend any contract, agreement or arrangement which obligates the Company to acquire or sell, any equity interest in any subsidiary;</w:t>
      </w:r>
    </w:p>
    <w:p>
      <w:pPr>
        <w:spacing w:after="0" w:line="86" w:lineRule="exact"/>
        <w:rPr>
          <w:rFonts w:ascii="Arial" w:cs="Arial" w:eastAsia="Arial" w:hAnsi="Arial"/>
          <w:sz w:val="13"/>
          <w:szCs w:val="13"/>
          <w:color w:val="auto"/>
        </w:rPr>
      </w:pPr>
    </w:p>
    <w:p>
      <w:pPr>
        <w:ind w:left="700" w:hanging="185"/>
        <w:spacing w:after="0"/>
        <w:tabs>
          <w:tab w:leader="none" w:pos="70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Grant, enter into or amend any contract, agreement or arrangement which obligates the Company to grant, any lien or security interest on any material asset of the Company;</w:t>
      </w:r>
    </w:p>
    <w:p>
      <w:pPr>
        <w:spacing w:after="0" w:line="86" w:lineRule="exact"/>
        <w:rPr>
          <w:rFonts w:ascii="Arial" w:cs="Arial" w:eastAsia="Arial" w:hAnsi="Arial"/>
          <w:sz w:val="13"/>
          <w:szCs w:val="13"/>
          <w:color w:val="auto"/>
        </w:rPr>
      </w:pPr>
    </w:p>
    <w:p>
      <w:pPr>
        <w:ind w:left="180" w:right="180" w:firstLine="335"/>
        <w:spacing w:after="0" w:line="371" w:lineRule="auto"/>
        <w:tabs>
          <w:tab w:leader="none" w:pos="729" w:val="left"/>
        </w:tabs>
        <w:numPr>
          <w:ilvl w:val="1"/>
          <w:numId w:val="138"/>
        </w:numPr>
        <w:rPr>
          <w:rFonts w:ascii="Arial" w:cs="Arial" w:eastAsia="Arial" w:hAnsi="Arial"/>
          <w:sz w:val="11"/>
          <w:szCs w:val="11"/>
          <w:color w:val="auto"/>
        </w:rPr>
      </w:pPr>
      <w:r>
        <w:rPr>
          <w:rFonts w:ascii="Arial" w:cs="Arial" w:eastAsia="Arial" w:hAnsi="Arial"/>
          <w:sz w:val="11"/>
          <w:szCs w:val="11"/>
          <w:color w:val="auto"/>
        </w:rPr>
        <w:t>Hire or terminate any officer of the Company or any other employee or consultant with gross annual compensation in excess of $150,000 or increase the compensation of any such officer, employee or consultant in excess of that compensation customarily paid to management in companies of similar size, or similar maturity, and in similar business, all as reasonably determined by the Endeavour Directors;</w:t>
      </w:r>
    </w:p>
    <w:p>
      <w:pPr>
        <w:spacing w:after="0" w:line="2" w:lineRule="exact"/>
        <w:rPr>
          <w:rFonts w:ascii="Arial" w:cs="Arial" w:eastAsia="Arial" w:hAnsi="Arial"/>
          <w:sz w:val="11"/>
          <w:szCs w:val="11"/>
          <w:color w:val="auto"/>
        </w:rPr>
      </w:pPr>
    </w:p>
    <w:p>
      <w:pPr>
        <w:ind w:left="780" w:hanging="265"/>
        <w:spacing w:after="0"/>
        <w:tabs>
          <w:tab w:leader="none" w:pos="78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Retain or terminate the Company’s auditor;</w:t>
      </w:r>
    </w:p>
    <w:p>
      <w:pPr>
        <w:spacing w:after="0" w:line="86" w:lineRule="exact"/>
        <w:rPr>
          <w:rFonts w:ascii="Arial" w:cs="Arial" w:eastAsia="Arial" w:hAnsi="Arial"/>
          <w:sz w:val="13"/>
          <w:szCs w:val="13"/>
          <w:color w:val="auto"/>
        </w:rPr>
      </w:pPr>
    </w:p>
    <w:p>
      <w:pPr>
        <w:ind w:left="820" w:hanging="305"/>
        <w:spacing w:after="0"/>
        <w:tabs>
          <w:tab w:leader="none" w:pos="82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Retain or terminate any accounting, legal or lobbying organization providing services to the Company;</w:t>
      </w:r>
    </w:p>
    <w:p>
      <w:pPr>
        <w:spacing w:after="0" w:line="86" w:lineRule="exact"/>
        <w:rPr>
          <w:rFonts w:ascii="Arial" w:cs="Arial" w:eastAsia="Arial" w:hAnsi="Arial"/>
          <w:sz w:val="13"/>
          <w:szCs w:val="13"/>
          <w:color w:val="auto"/>
        </w:rPr>
      </w:pPr>
    </w:p>
    <w:p>
      <w:pPr>
        <w:ind w:left="740" w:hanging="225"/>
        <w:spacing w:after="0"/>
        <w:tabs>
          <w:tab w:leader="none" w:pos="74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Approve any Business Plan; or</w:t>
      </w:r>
    </w:p>
    <w:p>
      <w:pPr>
        <w:spacing w:after="0" w:line="86" w:lineRule="exact"/>
        <w:rPr>
          <w:rFonts w:ascii="Arial" w:cs="Arial" w:eastAsia="Arial" w:hAnsi="Arial"/>
          <w:sz w:val="13"/>
          <w:szCs w:val="13"/>
          <w:color w:val="auto"/>
        </w:rPr>
      </w:pPr>
    </w:p>
    <w:p>
      <w:pPr>
        <w:ind w:left="700" w:hanging="185"/>
        <w:spacing w:after="0"/>
        <w:tabs>
          <w:tab w:leader="none" w:pos="70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Issue any press release pertaining to any significant development with regard to the Company’s operations, management or financial condition.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229" w:name="page230"/>
    <w:bookmarkEnd w:id="229"/>
    <w:p>
      <w:pPr>
        <w:ind w:left="160"/>
        <w:spacing w:after="0"/>
        <w:rPr>
          <w:sz w:val="20"/>
          <w:szCs w:val="20"/>
          <w:color w:val="auto"/>
        </w:rPr>
      </w:pPr>
      <w:r>
        <w:rPr>
          <w:rFonts w:ascii="Arial" w:cs="Arial" w:eastAsia="Arial" w:hAnsi="Arial"/>
          <w:sz w:val="12"/>
          <w:szCs w:val="12"/>
          <w:color w:val="auto"/>
        </w:rPr>
        <w:t xml:space="preserve">3.12 </w:t>
      </w:r>
      <w:r>
        <w:rPr>
          <w:rFonts w:ascii="Arial" w:cs="Arial" w:eastAsia="Arial" w:hAnsi="Arial"/>
          <w:sz w:val="12"/>
          <w:szCs w:val="12"/>
          <w:u w:val="single" w:color="auto"/>
          <w:color w:val="auto"/>
        </w:rPr>
        <w:t>Termination of Covenants</w:t>
      </w:r>
      <w:r>
        <w:rPr>
          <w:rFonts w:ascii="Arial" w:cs="Arial" w:eastAsia="Arial" w:hAnsi="Arial"/>
          <w:sz w:val="12"/>
          <w:szCs w:val="12"/>
          <w:color w:val="auto"/>
        </w:rPr>
        <w:t>. All covenants of the Company contained in this Section 3 shall expire and terminate on the effective date of the registration statement pertaining to the Initial Offering.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MISCELLANEOUS</w:t>
      </w:r>
    </w:p>
    <w:p>
      <w:pPr>
        <w:spacing w:after="0" w:line="75" w:lineRule="exact"/>
        <w:rPr>
          <w:sz w:val="20"/>
          <w:szCs w:val="20"/>
          <w:color w:val="auto"/>
        </w:rPr>
      </w:pPr>
    </w:p>
    <w:p>
      <w:pPr>
        <w:ind w:firstLine="164"/>
        <w:spacing w:after="0" w:line="300"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Governing Law; Venue</w:t>
      </w:r>
      <w:r>
        <w:rPr>
          <w:rFonts w:ascii="Arial" w:cs="Arial" w:eastAsia="Arial" w:hAnsi="Arial"/>
          <w:sz w:val="12"/>
          <w:szCs w:val="12"/>
          <w:b w:val="1"/>
          <w:bCs w:val="1"/>
          <w:color w:val="auto"/>
        </w:rPr>
        <w:t>.</w:t>
      </w:r>
      <w:r>
        <w:rPr>
          <w:rFonts w:ascii="Arial" w:cs="Arial" w:eastAsia="Arial" w:hAnsi="Arial"/>
          <w:sz w:val="12"/>
          <w:szCs w:val="12"/>
          <w:color w:val="auto"/>
        </w:rPr>
        <w:t xml:space="preserve"> This Agreement shall be governed by and construed under the laws of the State of Delaware (without regard to the conflicts of laws rules of such State). The parties agree and consent to the jurisdiction of the state and federal courts located in Delaware and acknowledge that such courts shall constitute proper and convenient forums for the resolution of any actions between the parties hereto with respect to the subject matter hereof, and agree that such courts shall be the sole and exclusive forums for the resolution of any actions between the parties hereto with respect to the subject matter hereof.</w:t>
      </w:r>
    </w:p>
    <w:p>
      <w:pPr>
        <w:spacing w:after="0" w:line="3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xml:space="preserve">. Except as otherwise expressly provided herein, the provisions hereof shall inure to the benefit of, and be binding upon, the successors, assigns, heirs, executors, and administrators of the parties hereto and shall inure to the benefit of and be enforceable by each person who shall be a holder of Registrable Securities from time to time; </w:t>
      </w:r>
      <w:r>
        <w:rPr>
          <w:rFonts w:ascii="Arial" w:cs="Arial" w:eastAsia="Arial" w:hAnsi="Arial"/>
          <w:sz w:val="13"/>
          <w:szCs w:val="13"/>
          <w:i w:val="1"/>
          <w:iCs w:val="1"/>
          <w:color w:val="auto"/>
        </w:rPr>
        <w:t>provided, however</w:t>
      </w:r>
      <w:r>
        <w:rPr>
          <w:rFonts w:ascii="Arial" w:cs="Arial" w:eastAsia="Arial" w:hAnsi="Arial"/>
          <w:sz w:val="13"/>
          <w:szCs w:val="13"/>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60" w:lineRule="exact"/>
        <w:rPr>
          <w:sz w:val="20"/>
          <w:szCs w:val="20"/>
          <w:color w:val="auto"/>
        </w:rPr>
      </w:pPr>
    </w:p>
    <w:p>
      <w:pPr>
        <w:ind w:right="120" w:firstLine="164"/>
        <w:spacing w:after="0" w:line="289"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Severability</w:t>
      </w:r>
      <w:r>
        <w:rPr>
          <w:rFonts w:ascii="Arial" w:cs="Arial" w:eastAsia="Arial" w:hAnsi="Arial"/>
          <w:sz w:val="12"/>
          <w:szCs w:val="12"/>
          <w:color w:val="auto"/>
        </w:rPr>
        <w:t xml:space="preserve">. If any provision of this Agreement is deemed or held to be illegal, invalid or unenforceable, this Agreement shall be considered divisible and inoperative as to such provision to the extent it is deemed to be illegal, invalid or unenforceable, and in all other respects this Agreement shall remain in full force and effect;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any provision of this Agreement is deemed or held to be illegal, invalid or unenforceable there shall be added hereto automatically a provision as similar as possible to such illegal, invalid or unenforceable provision and be legal, valid and enforceable. Further, should any provision contained in this Agreement ever be reformed or rewritten by any judicial body of competent jurisdiction, such provision as so reformed or rewritten shall be binding upon all parties hereto.</w:t>
      </w:r>
    </w:p>
    <w:p>
      <w:pPr>
        <w:spacing w:after="0" w:line="43" w:lineRule="exact"/>
        <w:rPr>
          <w:sz w:val="20"/>
          <w:szCs w:val="20"/>
          <w:color w:val="auto"/>
        </w:rPr>
      </w:pPr>
    </w:p>
    <w:p>
      <w:pPr>
        <w:jc w:val="both"/>
        <w:ind w:firstLine="164"/>
        <w:spacing w:after="0" w:line="296"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Any amendment, change or modification of this Agreement shall be void unless in writing and signed by all parties hereto. No failure or delay by any party hereto in exercising any right, power or privilege hereunder (and no course of dealing between or among any of the parties) shall operate as a waiver of any such right, power or privilege. No waiver of any default on any one occasion shall constitute a wavier of any subsequent or other default. No single or partial exercise of any such right, power or privilege shall preclude the further or full exercise thereof.</w:t>
      </w:r>
    </w:p>
    <w:p>
      <w:pPr>
        <w:spacing w:after="0" w:line="40" w:lineRule="exact"/>
        <w:rPr>
          <w:sz w:val="20"/>
          <w:szCs w:val="20"/>
          <w:color w:val="auto"/>
        </w:rPr>
      </w:pPr>
    </w:p>
    <w:p>
      <w:pPr>
        <w:jc w:val="both"/>
        <w:ind w:right="20" w:firstLine="164"/>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Delays or Omissions</w:t>
      </w:r>
      <w:r>
        <w:rPr>
          <w:rFonts w:ascii="Arial" w:cs="Arial" w:eastAsia="Arial" w:hAnsi="Arial"/>
          <w:sz w:val="13"/>
          <w:szCs w:val="13"/>
          <w:color w:val="auto"/>
        </w:rPr>
        <w:t>. It is agreed that no delay or omission to exercise any right, power, or remedy accruing to any Holder, upon any breach, default or noncompliance of the Company under this Agreement shall impair any such right, power, or remedy, nor shall it be construed to be a waiver of any such breach, default or noncompliance or any acquiescence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0" w:name="page231"/>
    <w:bookmarkEnd w:id="230"/>
    <w:p>
      <w:pPr>
        <w:ind w:right="180"/>
        <w:spacing w:after="0" w:line="264" w:lineRule="auto"/>
        <w:rPr>
          <w:sz w:val="20"/>
          <w:szCs w:val="20"/>
          <w:color w:val="auto"/>
        </w:rPr>
      </w:pPr>
      <w:r>
        <w:rPr>
          <w:rFonts w:ascii="Arial" w:cs="Arial" w:eastAsia="Arial" w:hAnsi="Arial"/>
          <w:sz w:val="13"/>
          <w:szCs w:val="13"/>
          <w:color w:val="auto"/>
        </w:rPr>
        <w:t>therein, or of any similar breach, default or noncompliance thereafter occurring. It is further agreed that any waiver, permit, consent, or approval of any kind or character on any Holder’s part of any breach, default or noncompliance under the Agreement or any waiver on such Holder’s part of any provisions or conditions of this Agreement must be in writing and shall be effective only to the extent specifically set forth in such writing. All remedies, either under this Agreement, by law, or otherwise afforded to Holders, shall be cumulative and not alternative.</w:t>
      </w:r>
    </w:p>
    <w:p>
      <w:pPr>
        <w:spacing w:after="0" w:line="57" w:lineRule="exact"/>
        <w:rPr>
          <w:sz w:val="20"/>
          <w:szCs w:val="20"/>
          <w:color w:val="auto"/>
        </w:rPr>
      </w:pPr>
    </w:p>
    <w:p>
      <w:pPr>
        <w:jc w:val="both"/>
        <w:ind w:right="40" w:firstLine="164"/>
        <w:spacing w:after="0" w:line="296"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hereunder shall be in writing and shall be deemed to have been duly given when personally delivered, or three business days after deposit in the United States mail, first-class, postage prepaid and one business day after deposit with a reputable overnight courier service, or by facsimile (with proof of transmission), upon transmission, addressed to the respective parties hereto at the addresses indicated by the Company’s records, or at such address or to the attention of such other person as the recipient party has specified by prior written notice to the other parties hereto.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Headings</w:t>
      </w:r>
      <w:r>
        <w:rPr>
          <w:rFonts w:ascii="Arial" w:cs="Arial" w:eastAsia="Arial" w:hAnsi="Arial"/>
          <w:sz w:val="13"/>
          <w:szCs w:val="13"/>
          <w:color w:val="auto"/>
        </w:rPr>
        <w:t>. The descriptive section headings are for convenience of reference only and shall not control or affect the meaning or construction of any provision of this Agreement.</w:t>
      </w:r>
    </w:p>
    <w:p>
      <w:pPr>
        <w:spacing w:after="0" w:line="86"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Complete Agreement</w:t>
      </w:r>
      <w:r>
        <w:rPr>
          <w:rFonts w:ascii="Arial" w:cs="Arial" w:eastAsia="Arial" w:hAnsi="Arial"/>
          <w:sz w:val="13"/>
          <w:szCs w:val="13"/>
          <w:color w:val="auto"/>
        </w:rPr>
        <w:t>. This Agreement and the other agreements referred to herein, constitute the entire agreement between the parties hereto and supersede all prior agreements, representations, warranties, statements, promises, information, arrangements and understandings, whether oral or written, express or implied, with respect to the subject matter hereof.</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Counterparts; Facsimile Copies</w:t>
      </w:r>
      <w:r>
        <w:rPr>
          <w:rFonts w:ascii="Arial" w:cs="Arial" w:eastAsia="Arial" w:hAnsi="Arial"/>
          <w:sz w:val="13"/>
          <w:szCs w:val="13"/>
          <w:color w:val="auto"/>
        </w:rPr>
        <w:t>. This Agreement may be executed in any number of counterparts, each of which shall be an original, but all of which together shall constitute one instrument. Signatures sent to the other parties by facsimile shall be binding as evidence of acceptance of the terms hereof by such signatory party.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Investor Rights Agreement as of the date set forth in the first paragraph hereof.</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COMPANY</w:t>
      </w:r>
      <w:r>
        <w:rPr>
          <w:rFonts w:ascii="Arial" w:cs="Arial" w:eastAsia="Arial" w:hAnsi="Arial"/>
          <w:sz w:val="13"/>
          <w:szCs w:val="13"/>
          <w:b w:val="1"/>
          <w:bCs w:val="1"/>
          <w:color w:val="auto"/>
        </w:rPr>
        <w:t>:</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GRAND CANYON EDUCATION, INC.</w:t>
      </w:r>
    </w:p>
    <w:p>
      <w:pPr>
        <w:spacing w:after="0" w:line="169" w:lineRule="exact"/>
        <w:rPr>
          <w:sz w:val="20"/>
          <w:szCs w:val="20"/>
          <w:color w:val="auto"/>
        </w:rPr>
      </w:pPr>
    </w:p>
    <w:tbl>
      <w:tblPr>
        <w:tblLayout w:type="fixed"/>
        <w:tblInd w:w="528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Brent Richardson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Executive Chairman</w:t>
            </w:r>
          </w:p>
        </w:tc>
      </w:tr>
    </w:tbl>
    <w:p>
      <w:pPr>
        <w:spacing w:after="0" w:line="146"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SERIES A PREFERRED STOCKHOLDERS</w:t>
      </w:r>
      <w:r>
        <w:rPr>
          <w:rFonts w:ascii="Arial" w:cs="Arial" w:eastAsia="Arial" w:hAnsi="Arial"/>
          <w:sz w:val="13"/>
          <w:szCs w:val="13"/>
          <w:b w:val="1"/>
          <w:bCs w:val="1"/>
          <w:color w:val="auto"/>
        </w:rPr>
        <w:t>:</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ENDEAVOUR CAPITAL FUND IV, L.P.</w:t>
      </w:r>
    </w:p>
    <w:p>
      <w:pPr>
        <w:spacing w:after="0" w:line="169" w:lineRule="exact"/>
        <w:rPr>
          <w:sz w:val="20"/>
          <w:szCs w:val="20"/>
          <w:color w:val="auto"/>
        </w:rPr>
      </w:pPr>
    </w:p>
    <w:tbl>
      <w:tblPr>
        <w:tblLayout w:type="fixed"/>
        <w:tblInd w:w="528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Endeavour Capital IV,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Mark Dorman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D. Mark Dorman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Principal</w:t>
            </w:r>
          </w:p>
        </w:tc>
      </w:tr>
    </w:tbl>
    <w:p>
      <w:pPr>
        <w:spacing w:after="0" w:line="146"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ENDEAVOUR ASSOCIATES FUND IV, L.P.</w:t>
      </w:r>
    </w:p>
    <w:p>
      <w:pPr>
        <w:spacing w:after="0" w:line="169" w:lineRule="exact"/>
        <w:rPr>
          <w:sz w:val="20"/>
          <w:szCs w:val="20"/>
          <w:color w:val="auto"/>
        </w:rPr>
      </w:pPr>
    </w:p>
    <w:tbl>
      <w:tblPr>
        <w:tblLayout w:type="fixed"/>
        <w:tblInd w:w="528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Endeavour Capital IV,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Mark Dorman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D. Mark Dorman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Principal</w:t>
            </w:r>
          </w:p>
        </w:tc>
      </w:tr>
    </w:tbl>
    <w:p>
      <w:pPr>
        <w:spacing w:after="0" w:line="146" w:lineRule="exact"/>
        <w:rPr>
          <w:sz w:val="20"/>
          <w:szCs w:val="20"/>
          <w:color w:val="auto"/>
        </w:rPr>
      </w:pPr>
    </w:p>
    <w:p>
      <w:pPr>
        <w:jc w:val="right"/>
        <w:ind w:right="1960"/>
        <w:spacing w:after="0"/>
        <w:rPr>
          <w:sz w:val="20"/>
          <w:szCs w:val="20"/>
          <w:color w:val="auto"/>
        </w:rPr>
      </w:pPr>
      <w:r>
        <w:rPr>
          <w:rFonts w:ascii="Arial" w:cs="Arial" w:eastAsia="Arial" w:hAnsi="Arial"/>
          <w:sz w:val="13"/>
          <w:szCs w:val="13"/>
          <w:b w:val="1"/>
          <w:bCs w:val="1"/>
          <w:color w:val="auto"/>
        </w:rPr>
        <w:t>ENDEAVOUR CAPITAL PARALLEL FUND, IV, L.P.</w:t>
      </w:r>
    </w:p>
    <w:p>
      <w:pPr>
        <w:spacing w:after="0" w:line="169" w:lineRule="exact"/>
        <w:rPr>
          <w:sz w:val="20"/>
          <w:szCs w:val="20"/>
          <w:color w:val="auto"/>
        </w:rPr>
      </w:pPr>
    </w:p>
    <w:tbl>
      <w:tblPr>
        <w:tblLayout w:type="fixed"/>
        <w:tblInd w:w="528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Endeavour Capital IV,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Mark Dorman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D. Mark Dorman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Principal</w:t>
            </w:r>
          </w:p>
        </w:tc>
      </w:tr>
    </w:tbl>
    <w:p>
      <w:pPr>
        <w:spacing w:after="0" w:line="228"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80"/>
          </w:cols>
          <w:pgMar w:left="380" w:top="717" w:right="1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3"/>
          <w:szCs w:val="13"/>
          <w:b w:val="1"/>
          <w:bCs w:val="1"/>
          <w:color w:val="auto"/>
        </w:rPr>
        <w:t>220 GCU, L.P.</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220 GCU GP, L.P</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220 Management,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M. Preston III</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Charles M. Preston III</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146" w:lineRule="exact"/>
        <w:rPr>
          <w:sz w:val="20"/>
          <w:szCs w:val="20"/>
          <w:color w:val="auto"/>
        </w:rPr>
      </w:pPr>
    </w:p>
    <w:p>
      <w:pPr>
        <w:ind w:left="4220"/>
        <w:spacing w:after="0"/>
        <w:rPr>
          <w:sz w:val="20"/>
          <w:szCs w:val="20"/>
          <w:color w:val="auto"/>
        </w:rPr>
      </w:pPr>
      <w:r>
        <w:rPr>
          <w:rFonts w:ascii="Arial" w:cs="Arial" w:eastAsia="Arial" w:hAnsi="Arial"/>
          <w:sz w:val="13"/>
          <w:szCs w:val="13"/>
          <w:b w:val="1"/>
          <w:bCs w:val="1"/>
          <w:u w:val="single" w:color="auto"/>
          <w:color w:val="auto"/>
        </w:rPr>
        <w:t>COMMON STOCKHOLDERS</w:t>
      </w:r>
      <w:r>
        <w:rPr>
          <w:rFonts w:ascii="Arial" w:cs="Arial" w:eastAsia="Arial" w:hAnsi="Arial"/>
          <w:sz w:val="13"/>
          <w:szCs w:val="13"/>
          <w:b w:val="1"/>
          <w:bCs w:val="1"/>
          <w:color w:val="auto"/>
        </w:rPr>
        <w:t>:</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RICH CROW LLC</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Brent Richardson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Manager</w:t>
            </w:r>
          </w:p>
        </w:tc>
      </w:tr>
      <w:tr>
        <w:trPr>
          <w:trHeight w:val="315"/>
        </w:trPr>
        <w:tc>
          <w:tcPr>
            <w:tcW w:w="5000" w:type="dxa"/>
            <w:vAlign w:val="bottom"/>
            <w:gridSpan w:val="2"/>
          </w:tcPr>
          <w:p>
            <w:pPr>
              <w:spacing w:after="0"/>
              <w:rPr>
                <w:sz w:val="20"/>
                <w:szCs w:val="20"/>
                <w:color w:val="auto"/>
              </w:rPr>
            </w:pPr>
            <w:r>
              <w:rPr>
                <w:rFonts w:ascii="Arial" w:cs="Arial" w:eastAsia="Arial" w:hAnsi="Arial"/>
                <w:sz w:val="13"/>
                <w:szCs w:val="13"/>
                <w:b w:val="1"/>
                <w:bCs w:val="1"/>
                <w:color w:val="auto"/>
              </w:rPr>
              <w:t>MASTERS ONLINE, LLC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Brent Richardson</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Manager</w:t>
            </w:r>
          </w:p>
        </w:tc>
      </w:tr>
      <w:tr>
        <w:trPr>
          <w:trHeight w:val="315"/>
        </w:trPr>
        <w:tc>
          <w:tcPr>
            <w:tcW w:w="5000" w:type="dxa"/>
            <w:vAlign w:val="bottom"/>
            <w:gridSpan w:val="2"/>
          </w:tcPr>
          <w:p>
            <w:pPr>
              <w:spacing w:after="0"/>
              <w:rPr>
                <w:sz w:val="20"/>
                <w:szCs w:val="20"/>
                <w:color w:val="auto"/>
              </w:rPr>
            </w:pPr>
            <w:r>
              <w:rPr>
                <w:rFonts w:ascii="Arial" w:cs="Arial" w:eastAsia="Arial" w:hAnsi="Arial"/>
                <w:sz w:val="13"/>
                <w:szCs w:val="13"/>
                <w:b w:val="1"/>
                <w:bCs w:val="1"/>
                <w:color w:val="auto"/>
              </w:rPr>
              <w:t>220 EDUCATION,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220 Management,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M. Preston III</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Charles M. Preston III</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220"/>
          </w:cols>
          <w:pgMar w:left="1440" w:top="874" w:right="1239" w:bottom="1440" w:gutter="0" w:footer="0" w:header="0"/>
        </w:sectPr>
      </w:pPr>
    </w:p>
    <w:bookmarkStart w:id="233" w:name="page234"/>
    <w:bookmarkEnd w:id="233"/>
    <w:p>
      <w:pPr>
        <w:jc w:val="center"/>
        <w:ind w:right="-79"/>
        <w:spacing w:after="0"/>
        <w:rPr>
          <w:sz w:val="20"/>
          <w:szCs w:val="20"/>
          <w:color w:val="auto"/>
        </w:rPr>
      </w:pPr>
      <w:r>
        <w:rPr>
          <w:rFonts w:ascii="Arial" w:cs="Arial" w:eastAsia="Arial" w:hAnsi="Arial"/>
          <w:sz w:val="13"/>
          <w:szCs w:val="13"/>
          <w:b w:val="1"/>
          <w:bCs w:val="1"/>
          <w:color w:val="auto"/>
        </w:rPr>
        <w:t>220-SIGED, LP</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220 Education, LP</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220 Management,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M. Preston III</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Charles M. Preston III</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146"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SIGNIFICANT VENTURES, LLC</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Clifford</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Michael Clifford</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Chairman</w:t>
            </w:r>
          </w:p>
        </w:tc>
      </w:tr>
      <w:tr>
        <w:trPr>
          <w:trHeight w:val="315"/>
        </w:trPr>
        <w:tc>
          <w:tcPr>
            <w:tcW w:w="5000" w:type="dxa"/>
            <w:vAlign w:val="bottom"/>
            <w:gridSpan w:val="2"/>
          </w:tcPr>
          <w:p>
            <w:pPr>
              <w:spacing w:after="0"/>
              <w:rPr>
                <w:sz w:val="20"/>
                <w:szCs w:val="20"/>
                <w:color w:val="auto"/>
              </w:rPr>
            </w:pPr>
            <w:r>
              <w:rPr>
                <w:rFonts w:ascii="Arial" w:cs="Arial" w:eastAsia="Arial" w:hAnsi="Arial"/>
                <w:sz w:val="13"/>
                <w:szCs w:val="13"/>
                <w:b w:val="1"/>
                <w:bCs w:val="1"/>
                <w:color w:val="auto"/>
              </w:rPr>
              <w:t>SV ONE,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SV One GP, LP</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Pr>
          <w:p>
            <w:pPr>
              <w:spacing w:after="0"/>
              <w:rPr>
                <w:sz w:val="20"/>
                <w:szCs w:val="20"/>
                <w:color w:val="auto"/>
              </w:rPr>
            </w:pPr>
            <w:r>
              <w:rPr>
                <w:rFonts w:ascii="Arial" w:cs="Arial" w:eastAsia="Arial" w:hAnsi="Arial"/>
                <w:sz w:val="13"/>
                <w:szCs w:val="13"/>
                <w:color w:val="auto"/>
              </w:rPr>
              <w:t>SV Holdings, LLC</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M. Preston III</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Charles M. Preston III</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Managing Director</w:t>
            </w:r>
          </w:p>
        </w:tc>
      </w:tr>
      <w:tr>
        <w:trPr>
          <w:trHeight w:val="315"/>
        </w:trPr>
        <w:tc>
          <w:tcPr>
            <w:tcW w:w="5000" w:type="dxa"/>
            <w:vAlign w:val="bottom"/>
            <w:gridSpan w:val="2"/>
          </w:tcPr>
          <w:p>
            <w:pPr>
              <w:spacing w:after="0"/>
              <w:rPr>
                <w:sz w:val="20"/>
                <w:szCs w:val="20"/>
                <w:color w:val="auto"/>
              </w:rPr>
            </w:pPr>
            <w:r>
              <w:rPr>
                <w:rFonts w:ascii="Arial" w:cs="Arial" w:eastAsia="Arial" w:hAnsi="Arial"/>
                <w:sz w:val="13"/>
                <w:szCs w:val="13"/>
                <w:b w:val="1"/>
                <w:bCs w:val="1"/>
                <w:color w:val="auto"/>
              </w:rPr>
              <w:t>CAREY FAMILY TRUST</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Jack Carey</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Jack Carey</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220"/>
          </w:cols>
          <w:pgMar w:left="1440" w:top="874" w:right="1239" w:bottom="1440" w:gutter="0" w:footer="0" w:header="0"/>
        </w:sectPr>
      </w:pPr>
    </w:p>
    <w:bookmarkStart w:id="234" w:name="page235"/>
    <w:bookmarkEnd w:id="234"/>
    <w:p>
      <w:pPr>
        <w:ind w:left="4220"/>
        <w:spacing w:after="0"/>
        <w:rPr>
          <w:sz w:val="20"/>
          <w:szCs w:val="20"/>
          <w:color w:val="auto"/>
        </w:rPr>
      </w:pPr>
      <w:r>
        <w:rPr>
          <w:rFonts w:ascii="Arial" w:cs="Arial" w:eastAsia="Arial" w:hAnsi="Arial"/>
          <w:sz w:val="13"/>
          <w:szCs w:val="13"/>
          <w:b w:val="1"/>
          <w:bCs w:val="1"/>
          <w:color w:val="auto"/>
        </w:rPr>
        <w:t>LAVACA SIGED, LLC</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Bryan W. Lee</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Bryan W. Lee</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Manager</w:t>
            </w:r>
          </w:p>
        </w:tc>
      </w:tr>
    </w:tbl>
    <w:p>
      <w:pPr>
        <w:spacing w:after="0" w:line="146"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BLANCHARD EDUCATION, LLC</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McKee</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Thomas McKee</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146" w:lineRule="exact"/>
        <w:rPr>
          <w:sz w:val="20"/>
          <w:szCs w:val="20"/>
          <w:color w:val="auto"/>
        </w:rPr>
      </w:pPr>
    </w:p>
    <w:p>
      <w:pPr>
        <w:ind w:left="4220"/>
        <w:spacing w:after="0"/>
        <w:rPr>
          <w:sz w:val="20"/>
          <w:szCs w:val="20"/>
          <w:color w:val="auto"/>
        </w:rPr>
      </w:pPr>
      <w:r>
        <w:rPr>
          <w:rFonts w:ascii="Arial" w:cs="Arial" w:eastAsia="Arial" w:hAnsi="Arial"/>
          <w:sz w:val="13"/>
          <w:szCs w:val="13"/>
          <w:b w:val="1"/>
          <w:bCs w:val="1"/>
          <w:u w:val="single" w:color="auto"/>
          <w:color w:val="auto"/>
        </w:rPr>
        <w:t>SPIRIT</w:t>
      </w:r>
      <w:r>
        <w:rPr>
          <w:rFonts w:ascii="Arial" w:cs="Arial" w:eastAsia="Arial" w:hAnsi="Arial"/>
          <w:sz w:val="13"/>
          <w:szCs w:val="13"/>
          <w:b w:val="1"/>
          <w:bCs w:val="1"/>
          <w:color w:val="auto"/>
        </w:rPr>
        <w:t>:</w:t>
      </w:r>
    </w:p>
    <w:p>
      <w:pPr>
        <w:spacing w:after="0" w:line="165" w:lineRule="exact"/>
        <w:rPr>
          <w:sz w:val="20"/>
          <w:szCs w:val="20"/>
          <w:color w:val="auto"/>
        </w:rPr>
      </w:pPr>
    </w:p>
    <w:p>
      <w:pPr>
        <w:jc w:val="right"/>
        <w:ind w:right="2840"/>
        <w:spacing w:after="0"/>
        <w:rPr>
          <w:sz w:val="20"/>
          <w:szCs w:val="20"/>
          <w:color w:val="auto"/>
        </w:rPr>
      </w:pPr>
      <w:r>
        <w:rPr>
          <w:rFonts w:ascii="Arial" w:cs="Arial" w:eastAsia="Arial" w:hAnsi="Arial"/>
          <w:sz w:val="13"/>
          <w:szCs w:val="13"/>
          <w:b w:val="1"/>
          <w:bCs w:val="1"/>
          <w:color w:val="auto"/>
        </w:rPr>
        <w:t>SPIRIT MANAGEMENT COMPANY</w:t>
      </w:r>
    </w:p>
    <w:p>
      <w:pPr>
        <w:spacing w:after="0" w:line="169" w:lineRule="exact"/>
        <w:rPr>
          <w:sz w:val="20"/>
          <w:szCs w:val="20"/>
          <w:color w:val="auto"/>
        </w:rPr>
      </w:pPr>
    </w:p>
    <w:tbl>
      <w:tblPr>
        <w:tblLayout w:type="fixed"/>
        <w:tblInd w:w="42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T. Bennett</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Michael T. Bennett</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220"/>
          </w:cols>
          <w:pgMar w:left="1440" w:top="874" w:right="1239" w:bottom="1440" w:gutter="0" w:footer="0" w:header="0"/>
        </w:sectPr>
      </w:pPr>
    </w:p>
    <w:bookmarkStart w:id="235" w:name="page236"/>
    <w:bookmarkEnd w:id="235"/>
    <w:p>
      <w:pPr>
        <w:jc w:val="right"/>
        <w:ind w:right="4079"/>
        <w:spacing w:after="0"/>
        <w:rPr>
          <w:sz w:val="20"/>
          <w:szCs w:val="20"/>
          <w:color w:val="auto"/>
        </w:rPr>
      </w:pPr>
      <w:r>
        <w:rPr>
          <w:rFonts w:ascii="Arial" w:cs="Arial" w:eastAsia="Arial" w:hAnsi="Arial"/>
          <w:sz w:val="13"/>
          <w:szCs w:val="13"/>
          <w:b w:val="1"/>
          <w:bCs w:val="1"/>
          <w:u w:val="single" w:color="auto"/>
          <w:color w:val="auto"/>
        </w:rPr>
        <w:t>SCHEDULE A</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Endeavour Capital Fund IV,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Endeavour Associates Fund IV,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Endeavour Capital Parallel Fund, IV,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220 GCU, L.P.</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Common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Rich Crow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Masters Online,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220 Education,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220-SigEd,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Significant Ventures,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SV One,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Carey Family Trust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Lavaca SigEd,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Blanchard Education, LLC</w:t>
      </w:r>
    </w:p>
    <w:p>
      <w:pPr>
        <w:sectPr>
          <w:pgSz w:w="11900" w:h="16838" w:orient="portrait"/>
          <w:cols w:equalWidth="0" w:num="1">
            <w:col w:w="10239"/>
          </w:cols>
          <w:pgMar w:left="220" w:top="736" w:right="1440" w:bottom="1440" w:gutter="0" w:footer="0" w:header="0"/>
        </w:sectPr>
      </w:pPr>
    </w:p>
    <w:bookmarkStart w:id="236" w:name="page237"/>
    <w:bookmarkEnd w:id="236"/>
    <w:p>
      <w:pPr>
        <w:jc w:val="right"/>
        <w:spacing w:after="0"/>
        <w:rPr>
          <w:sz w:val="20"/>
          <w:szCs w:val="20"/>
          <w:color w:val="auto"/>
        </w:rPr>
      </w:pPr>
      <w:r>
        <w:rPr>
          <w:rFonts w:ascii="Arial" w:cs="Arial" w:eastAsia="Arial" w:hAnsi="Arial"/>
          <w:sz w:val="13"/>
          <w:szCs w:val="13"/>
          <w:b w:val="1"/>
          <w:bCs w:val="1"/>
          <w:color w:val="auto"/>
        </w:rPr>
        <w:t>Exhibit 5.1</w:t>
      </w:r>
    </w:p>
    <w:p>
      <w:pPr>
        <w:spacing w:after="0" w:line="165"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DLA Piper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3900" cy="4241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3900" cy="42418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3"/>
          <w:szCs w:val="13"/>
          <w:color w:val="auto"/>
        </w:rPr>
        <w:t>2415 East Camelback Road, Suite 700</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Phoenix, Arizona 85016-4245</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www.dlapiper.com</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3300 W. Camelback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 85017</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3"/>
          <w:szCs w:val="13"/>
          <w:b w:val="1"/>
          <w:bCs w:val="1"/>
          <w:color w:val="auto"/>
        </w:rPr>
        <w:t>Registration Statement on Form S-1 (File No. 333-150876)</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We have acted as counsel to Grand Canyon Education,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in connection with the proposed issuance and sale of those certain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the Company’s newly-issued common stock, par value $0.01 per share (the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as set forth in the Company’s Registration Statement on Form S-1 (File No. 333-150876) initially filed with the Securities and Exchange Commission (the “</w:t>
      </w:r>
      <w:r>
        <w:rPr>
          <w:rFonts w:ascii="Arial" w:cs="Arial" w:eastAsia="Arial" w:hAnsi="Arial"/>
          <w:sz w:val="13"/>
          <w:szCs w:val="13"/>
          <w:b w:val="1"/>
          <w:bCs w:val="1"/>
          <w:i w:val="1"/>
          <w:iCs w:val="1"/>
          <w:color w:val="auto"/>
        </w:rPr>
        <w:t>SEC</w:t>
      </w:r>
      <w:r>
        <w:rPr>
          <w:rFonts w:ascii="Arial" w:cs="Arial" w:eastAsia="Arial" w:hAnsi="Arial"/>
          <w:sz w:val="13"/>
          <w:szCs w:val="13"/>
          <w:color w:val="auto"/>
        </w:rPr>
        <w:t>”) on May 13, 2008 (as amended and supplemented from time to time,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The Shares include Shares that are subject to an over-allotment option granted to the underwriters in the offering.</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This opinion is being furnished in accordance with the requirements of Item 16(a) of Form S-1 and Item 601(b)(5)(i) of Regulation S-K.</w:t>
      </w:r>
    </w:p>
    <w:p>
      <w:pPr>
        <w:spacing w:after="0" w:line="86" w:lineRule="exact"/>
        <w:rPr>
          <w:sz w:val="20"/>
          <w:szCs w:val="20"/>
          <w:color w:val="auto"/>
        </w:rPr>
      </w:pPr>
    </w:p>
    <w:p>
      <w:pPr>
        <w:ind w:right="120"/>
        <w:spacing w:after="0" w:line="322" w:lineRule="auto"/>
        <w:rPr>
          <w:sz w:val="20"/>
          <w:szCs w:val="20"/>
          <w:color w:val="auto"/>
        </w:rPr>
      </w:pPr>
      <w:r>
        <w:rPr>
          <w:rFonts w:ascii="Arial" w:cs="Arial" w:eastAsia="Arial" w:hAnsi="Arial"/>
          <w:sz w:val="11"/>
          <w:szCs w:val="11"/>
          <w:color w:val="auto"/>
        </w:rPr>
        <w:t>In connection with this opinion, we have reviewed and relied upon the Registration Statement and related prospectus, the Company’s charter documents, as amended and restated to date, and records of its corporate proceedings in connection with the issuance and sale of the Shares. We have assumed the authenticity of all records, documents, and instruments submitted to us as originals, the genuineness of all signatures, the legal capacity of natural persons and the conformity to the originals of all records, documents, and instruments submitted to us as copies. Based on such review, we are of the opinion that the Shares have been duly authorized, and if, as, and when issued by the Company in accordance with the related prospectus (as amended and supplemented through the date of issuance) will be validly issued, fully paid, and non-assessable.</w:t>
      </w:r>
    </w:p>
    <w:p>
      <w:pPr>
        <w:spacing w:after="0" w:line="29" w:lineRule="exact"/>
        <w:rPr>
          <w:sz w:val="20"/>
          <w:szCs w:val="20"/>
          <w:color w:val="auto"/>
        </w:rPr>
      </w:pPr>
    </w:p>
    <w:p>
      <w:pPr>
        <w:ind w:right="360"/>
        <w:spacing w:after="0" w:line="264" w:lineRule="auto"/>
        <w:rPr>
          <w:sz w:val="20"/>
          <w:szCs w:val="20"/>
          <w:color w:val="auto"/>
        </w:rPr>
      </w:pPr>
      <w:r>
        <w:rPr>
          <w:rFonts w:ascii="Arial" w:cs="Arial" w:eastAsia="Arial" w:hAnsi="Arial"/>
          <w:sz w:val="13"/>
          <w:szCs w:val="13"/>
          <w:color w:val="auto"/>
        </w:rPr>
        <w:t>We consent to the filing of this opinion as Exhibit 5.1 to the Registration Statement and to the reference to this firm under the caption “Legal Matters” in the prospectus that is part of the Registration Statement. In giving this consent, we do not admit that we are within the category of persons whose consent is required under Section 7 of the Act, the rules and regulations of the SEC promulgated thereunder, or Item 509 of Regulation S-K.</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This opinion is given to you solely for use in connection with the issuance and sale of the Shares in accordance with the Registration Statement and the related prospectus and is not to be relied on for any other purpose.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Our opinion is expressly limited to the matters set forth above, and we render no opinion, whether by implication or otherwise, as to any other matters relating to the Company, the Shares, or the Registration Statement.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DLA Piper LLP (US)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DLA Piper LLP (US)</w:t>
      </w:r>
    </w:p>
    <w:p>
      <w:pPr>
        <w:sectPr>
          <w:pgSz w:w="11900" w:h="16838" w:orient="portrait"/>
          <w:cols w:equalWidth="0" w:num="1">
            <w:col w:w="11460"/>
          </w:cols>
          <w:pgMar w:left="220" w:top="127" w:right="2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3"/>
          <w:szCs w:val="13"/>
          <w:b w:val="1"/>
          <w:bCs w:val="1"/>
          <w:color w:val="auto"/>
        </w:rPr>
        <w:t>Exhibit 10.1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EXECUTIVE EMPLOYMENT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(Executive Chairman)</w:t>
      </w:r>
    </w:p>
    <w:p>
      <w:pPr>
        <w:spacing w:after="0" w:line="79"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This Executive Employment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on September 10, 2008, by and between Grand Canyon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Brent D. Richardson (“</w:t>
      </w:r>
      <w:r>
        <w:rPr>
          <w:rFonts w:ascii="Arial" w:cs="Arial" w:eastAsia="Arial" w:hAnsi="Arial"/>
          <w:sz w:val="13"/>
          <w:szCs w:val="13"/>
          <w:u w:val="single" w:color="auto"/>
          <w:color w:val="auto"/>
        </w:rPr>
        <w:t>Executive</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agree as follows:</w:t>
      </w:r>
    </w:p>
    <w:p>
      <w:pPr>
        <w:spacing w:after="0" w:line="86" w:lineRule="exact"/>
        <w:rPr>
          <w:sz w:val="20"/>
          <w:szCs w:val="20"/>
          <w:color w:val="auto"/>
        </w:rPr>
      </w:pPr>
    </w:p>
    <w:p>
      <w:pPr>
        <w:ind w:left="300" w:hanging="138"/>
        <w:spacing w:after="0"/>
        <w:tabs>
          <w:tab w:leader="none" w:pos="30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Employment</w:t>
      </w:r>
      <w:r>
        <w:rPr>
          <w:rFonts w:ascii="Arial" w:cs="Arial" w:eastAsia="Arial" w:hAnsi="Arial"/>
          <w:sz w:val="13"/>
          <w:szCs w:val="13"/>
          <w:color w:val="auto"/>
        </w:rPr>
        <w:t>. The Company hereby employs Executive, and Executive hereby accepts such employment, upon the terms and conditions set forth herein.</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Duties</w:t>
      </w:r>
      <w:r>
        <w:rPr>
          <w:rFonts w:ascii="Arial" w:cs="Arial" w:eastAsia="Arial" w:hAnsi="Arial"/>
          <w:sz w:val="13"/>
          <w:szCs w:val="13"/>
          <w:color w:val="auto"/>
        </w:rPr>
        <w:t>.</w:t>
      </w:r>
    </w:p>
    <w:p>
      <w:pPr>
        <w:spacing w:after="0" w:line="86" w:lineRule="exact"/>
        <w:rPr>
          <w:sz w:val="20"/>
          <w:szCs w:val="20"/>
          <w:color w:val="auto"/>
        </w:rPr>
      </w:pPr>
    </w:p>
    <w:p>
      <w:pPr>
        <w:ind w:right="40"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Position</w:t>
      </w:r>
      <w:r>
        <w:rPr>
          <w:rFonts w:ascii="Arial" w:cs="Arial" w:eastAsia="Arial" w:hAnsi="Arial"/>
          <w:sz w:val="13"/>
          <w:szCs w:val="13"/>
          <w:color w:val="auto"/>
        </w:rPr>
        <w:t>. Executive is employed as Executive Chairman and shall have the duties and responsibilities assigned by the Company’s Board of Directors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Board</w:t>
      </w:r>
      <w:r>
        <w:rPr>
          <w:rFonts w:ascii="Arial" w:cs="Arial" w:eastAsia="Arial" w:hAnsi="Arial"/>
          <w:sz w:val="12"/>
          <w:szCs w:val="12"/>
          <w:color w:val="auto"/>
        </w:rPr>
        <w:t>. Executive shall serve as a member and Chairman of the Board of Directors, subject to the review and recommendation of the Company’s Nominating and Corporate Governance Committee.</w:t>
      </w:r>
    </w:p>
    <w:p>
      <w:pPr>
        <w:spacing w:after="0" w:line="98" w:lineRule="exact"/>
        <w:rPr>
          <w:sz w:val="20"/>
          <w:szCs w:val="20"/>
          <w:color w:val="auto"/>
        </w:rPr>
      </w:pPr>
    </w:p>
    <w:p>
      <w:pPr>
        <w:ind w:right="60" w:firstLine="328"/>
        <w:spacing w:after="0" w:line="258"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Best Efforts/Full-time</w:t>
      </w:r>
      <w:r>
        <w:rPr>
          <w:rFonts w:ascii="Arial" w:cs="Arial" w:eastAsia="Arial" w:hAnsi="Arial"/>
          <w:sz w:val="13"/>
          <w:szCs w:val="13"/>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Company in advance of Executive’s intent to engage in other paid work and receives the Company’s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Work Location</w:t>
      </w:r>
      <w:r>
        <w:rPr>
          <w:rFonts w:ascii="Arial" w:cs="Arial" w:eastAsia="Arial" w:hAnsi="Arial"/>
          <w:sz w:val="13"/>
          <w:szCs w:val="13"/>
          <w:color w:val="auto"/>
        </w:rPr>
        <w:t>. Executive’s principal place of work shall be located in Phoenix, Arizona, or such other location as the Company may direct from time to time.</w:t>
      </w:r>
    </w:p>
    <w:p>
      <w:pPr>
        <w:spacing w:after="0" w:line="86" w:lineRule="exact"/>
        <w:rPr>
          <w:sz w:val="20"/>
          <w:szCs w:val="20"/>
          <w:color w:val="auto"/>
        </w:rPr>
      </w:pPr>
    </w:p>
    <w:p>
      <w:pPr>
        <w:ind w:left="300" w:hanging="138"/>
        <w:spacing w:after="0"/>
        <w:tabs>
          <w:tab w:leader="none" w:pos="30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86"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Initial Term</w:t>
      </w:r>
      <w:r>
        <w:rPr>
          <w:rFonts w:ascii="Arial" w:cs="Arial" w:eastAsia="Arial" w:hAnsi="Arial"/>
          <w:sz w:val="13"/>
          <w:szCs w:val="13"/>
          <w:color w:val="auto"/>
        </w:rPr>
        <w:t>. The employment relationship pursuant to this Agreement shall be for an initial term commencing on September 10, 2008 (the “</w:t>
      </w:r>
      <w:r>
        <w:rPr>
          <w:rFonts w:ascii="Arial" w:cs="Arial" w:eastAsia="Arial" w:hAnsi="Arial"/>
          <w:sz w:val="13"/>
          <w:szCs w:val="13"/>
          <w:u w:val="single" w:color="auto"/>
          <w:color w:val="auto"/>
        </w:rPr>
        <w:t>Effective Date</w:t>
      </w:r>
      <w:r>
        <w:rPr>
          <w:rFonts w:ascii="Arial" w:cs="Arial" w:eastAsia="Arial" w:hAnsi="Arial"/>
          <w:sz w:val="13"/>
          <w:szCs w:val="13"/>
          <w:color w:val="auto"/>
        </w:rPr>
        <w:t>”) and continuing for a period of four (4) years following such date (“</w:t>
      </w:r>
      <w:r>
        <w:rPr>
          <w:rFonts w:ascii="Arial" w:cs="Arial" w:eastAsia="Arial" w:hAnsi="Arial"/>
          <w:sz w:val="13"/>
          <w:szCs w:val="13"/>
          <w:u w:val="single" w:color="auto"/>
          <w:color w:val="auto"/>
        </w:rPr>
        <w:t>Initial Term</w:t>
      </w:r>
      <w:r>
        <w:rPr>
          <w:rFonts w:ascii="Arial" w:cs="Arial" w:eastAsia="Arial" w:hAnsi="Arial"/>
          <w:sz w:val="13"/>
          <w:szCs w:val="13"/>
          <w:color w:val="auto"/>
        </w:rPr>
        <w:t>”), unless sooner terminated in accordance with section 7 below.</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Renewal</w:t>
      </w:r>
      <w:r>
        <w:rPr>
          <w:rFonts w:ascii="Arial" w:cs="Arial" w:eastAsia="Arial" w:hAnsi="Arial"/>
          <w:sz w:val="13"/>
          <w:szCs w:val="13"/>
          <w:color w:val="auto"/>
        </w:rPr>
        <w:t>. On expiration of the Initial Term specified in subsection 3.1 above, this Agreement will automatically renew for subsequent one (1) year terms (each a “</w:t>
      </w:r>
      <w:r>
        <w:rPr>
          <w:rFonts w:ascii="Arial" w:cs="Arial" w:eastAsia="Arial" w:hAnsi="Arial"/>
          <w:sz w:val="13"/>
          <w:szCs w:val="13"/>
          <w:u w:val="single" w:color="auto"/>
          <w:color w:val="auto"/>
        </w:rPr>
        <w:t>Renewal Term</w:t>
      </w:r>
      <w:r>
        <w:rPr>
          <w:rFonts w:ascii="Arial" w:cs="Arial" w:eastAsia="Arial" w:hAnsi="Arial"/>
          <w:sz w:val="13"/>
          <w:szCs w:val="13"/>
          <w:color w:val="auto"/>
        </w:rPr>
        <w:t>”) unless either party provides thirty (30) days’ advance written notice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38" w:name="page239"/>
    <w:bookmarkEnd w:id="238"/>
    <w:p>
      <w:pPr>
        <w:ind w:right="20"/>
        <w:spacing w:after="0" w:line="276" w:lineRule="auto"/>
        <w:rPr>
          <w:sz w:val="20"/>
          <w:szCs w:val="20"/>
          <w:color w:val="auto"/>
        </w:rPr>
      </w:pPr>
      <w:r>
        <w:rPr>
          <w:rFonts w:ascii="Arial" w:cs="Arial" w:eastAsia="Arial" w:hAnsi="Arial"/>
          <w:sz w:val="13"/>
          <w:szCs w:val="13"/>
          <w:color w:val="auto"/>
        </w:rPr>
        <w:t>other that the Company or Executive does not wish to renew the Agreement for subsequent Renewal Term. In the event either party gives notice of nonrenewal pursuant to this subsection 3.2, this Agreement will expire at the end of the then current term. The Initial Term and each subsequent Renewal Term are referred to collectively as the “</w:t>
      </w: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49" w:lineRule="exact"/>
        <w:rPr>
          <w:sz w:val="20"/>
          <w:szCs w:val="20"/>
          <w:color w:val="auto"/>
        </w:rPr>
      </w:pPr>
    </w:p>
    <w:p>
      <w:pPr>
        <w:ind w:left="300" w:hanging="138"/>
        <w:spacing w:after="0"/>
        <w:tabs>
          <w:tab w:leader="none" w:pos="300"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Compensation</w:t>
      </w:r>
      <w:r>
        <w:rPr>
          <w:rFonts w:ascii="Arial" w:cs="Arial" w:eastAsia="Arial" w:hAnsi="Arial"/>
          <w:sz w:val="13"/>
          <w:szCs w:val="13"/>
          <w:color w:val="auto"/>
        </w:rPr>
        <w:t>.</w:t>
      </w:r>
    </w:p>
    <w:p>
      <w:pPr>
        <w:spacing w:after="0" w:line="86" w:lineRule="exact"/>
        <w:rPr>
          <w:sz w:val="20"/>
          <w:szCs w:val="20"/>
          <w:color w:val="auto"/>
        </w:rPr>
      </w:pPr>
    </w:p>
    <w:p>
      <w:pPr>
        <w:ind w:right="260" w:firstLine="328"/>
        <w:spacing w:after="0" w:line="322"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Base Salary</w:t>
      </w:r>
      <w:r>
        <w:rPr>
          <w:rFonts w:ascii="Arial" w:cs="Arial" w:eastAsia="Arial" w:hAnsi="Arial"/>
          <w:sz w:val="11"/>
          <w:szCs w:val="11"/>
          <w:color w:val="auto"/>
        </w:rPr>
        <w:t>. As compensation for Executive’s performance of Executive’s duties hereunder, the Company shall pay to Executive an initial Base Salary at the rate of Two-Hundred Ninety-Seven Thousand Five-Hundred Dollars ($297,500.00)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1"/>
          <w:szCs w:val="11"/>
          <w:u w:val="single" w:color="auto"/>
          <w:color w:val="auto"/>
        </w:rPr>
        <w:t>Compensation Committee</w:t>
      </w:r>
      <w:r>
        <w:rPr>
          <w:rFonts w:ascii="Arial" w:cs="Arial" w:eastAsia="Arial" w:hAnsi="Arial"/>
          <w:sz w:val="11"/>
          <w:szCs w:val="11"/>
          <w:color w:val="auto"/>
        </w:rPr>
        <w:t>”).</w:t>
      </w:r>
    </w:p>
    <w:p>
      <w:pPr>
        <w:spacing w:after="0" w:line="29"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Incentive Compensation</w:t>
      </w:r>
      <w:r>
        <w:rPr>
          <w:rFonts w:ascii="Arial" w:cs="Arial" w:eastAsia="Arial" w:hAnsi="Arial"/>
          <w:sz w:val="13"/>
          <w:szCs w:val="13"/>
          <w:color w:val="auto"/>
        </w:rPr>
        <w:t>. Executive will be eligible to earn incentive compensation in the form of an annual bonus for each fiscal year of the Company as determined by the Compensation Committee. The Compensation Committee will base such determination upon both the Company’s achievement of overall performance metrics for the year and Executive’s achievement of individual performance metrics as agreed upon by the Compensation Committee and the Executive. Bonus amounts, if any, are to be awarded annually and payment shall be made within two and one-half months following the end of the applicable Company fiscal year.</w:t>
      </w:r>
    </w:p>
    <w:p>
      <w:pPr>
        <w:spacing w:after="0" w:line="60" w:lineRule="exact"/>
        <w:rPr>
          <w:sz w:val="20"/>
          <w:szCs w:val="20"/>
          <w:color w:val="auto"/>
        </w:rPr>
      </w:pPr>
    </w:p>
    <w:p>
      <w:pPr>
        <w:ind w:right="160" w:firstLine="162"/>
        <w:spacing w:after="0" w:line="276" w:lineRule="auto"/>
        <w:tabs>
          <w:tab w:leader="none" w:pos="29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Customary Fringe Benefits</w:t>
      </w:r>
      <w:r>
        <w:rPr>
          <w:rFonts w:ascii="Arial" w:cs="Arial" w:eastAsia="Arial" w:hAnsi="Arial"/>
          <w:sz w:val="13"/>
          <w:szCs w:val="13"/>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49" w:lineRule="exact"/>
        <w:rPr>
          <w:rFonts w:ascii="Arial" w:cs="Arial" w:eastAsia="Arial" w:hAnsi="Arial"/>
          <w:sz w:val="13"/>
          <w:szCs w:val="13"/>
          <w:color w:val="auto"/>
        </w:rPr>
      </w:pPr>
    </w:p>
    <w:p>
      <w:pPr>
        <w:ind w:right="40" w:firstLine="162"/>
        <w:spacing w:after="0" w:line="260" w:lineRule="auto"/>
        <w:tabs>
          <w:tab w:leader="none" w:pos="29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Business Expenses</w:t>
      </w:r>
      <w:r>
        <w:rPr>
          <w:rFonts w:ascii="Arial" w:cs="Arial" w:eastAsia="Arial" w:hAnsi="Arial"/>
          <w:sz w:val="13"/>
          <w:szCs w:val="13"/>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Termination of Executive’s Employment</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334" w:lineRule="auto"/>
        <w:rPr>
          <w:sz w:val="20"/>
          <w:szCs w:val="20"/>
          <w:color w:val="auto"/>
        </w:rPr>
      </w:pPr>
      <w:r>
        <w:rPr>
          <w:rFonts w:ascii="Arial" w:cs="Arial" w:eastAsia="Arial" w:hAnsi="Arial"/>
          <w:sz w:val="11"/>
          <w:szCs w:val="11"/>
          <w:color w:val="auto"/>
        </w:rPr>
        <w:t xml:space="preserve">7.1 </w:t>
      </w:r>
      <w:r>
        <w:rPr>
          <w:rFonts w:ascii="Arial" w:cs="Arial" w:eastAsia="Arial" w:hAnsi="Arial"/>
          <w:sz w:val="11"/>
          <w:szCs w:val="11"/>
          <w:u w:val="single" w:color="auto"/>
          <w:color w:val="auto"/>
        </w:rPr>
        <w:t>Termination for Cause by Company</w:t>
      </w:r>
      <w:r>
        <w:rPr>
          <w:rFonts w:ascii="Arial" w:cs="Arial" w:eastAsia="Arial" w:hAnsi="Arial"/>
          <w:sz w:val="11"/>
          <w:szCs w:val="11"/>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1"/>
          <w:szCs w:val="11"/>
          <w:u w:val="single" w:color="auto"/>
          <w:color w:val="auto"/>
        </w:rPr>
        <w:t>Cause</w:t>
      </w:r>
      <w:r>
        <w:rPr>
          <w:rFonts w:ascii="Arial" w:cs="Arial" w:eastAsia="Arial" w:hAnsi="Arial"/>
          <w:sz w:val="11"/>
          <w:szCs w:val="11"/>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9" w:name="page240"/>
    <w:bookmarkEnd w:id="239"/>
    <w:p>
      <w:pPr>
        <w:spacing w:after="0" w:line="280" w:lineRule="auto"/>
        <w:rPr>
          <w:sz w:val="20"/>
          <w:szCs w:val="20"/>
          <w:color w:val="auto"/>
        </w:rPr>
      </w:pPr>
      <w:r>
        <w:rPr>
          <w:rFonts w:ascii="Arial" w:cs="Arial" w:eastAsia="Arial" w:hAnsi="Arial"/>
          <w:sz w:val="12"/>
          <w:szCs w:val="12"/>
          <w:color w:val="auto"/>
        </w:rPr>
        <w:t>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49" w:lineRule="exact"/>
        <w:rPr>
          <w:sz w:val="20"/>
          <w:szCs w:val="20"/>
          <w:color w:val="auto"/>
        </w:rPr>
      </w:pPr>
    </w:p>
    <w:p>
      <w:pPr>
        <w:ind w:right="40" w:firstLine="328"/>
        <w:spacing w:after="0" w:line="279"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Termination Without Cause by Company/Severance</w:t>
      </w:r>
      <w:r>
        <w:rPr>
          <w:rFonts w:ascii="Arial" w:cs="Arial" w:eastAsia="Arial" w:hAnsi="Arial"/>
          <w:sz w:val="12"/>
          <w:szCs w:val="12"/>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2"/>
          <w:szCs w:val="12"/>
          <w:u w:val="single" w:color="auto"/>
          <w:color w:val="auto"/>
        </w:rPr>
        <w:t>Severance Package</w:t>
      </w:r>
      <w:r>
        <w:rPr>
          <w:rFonts w:ascii="Arial" w:cs="Arial" w:eastAsia="Arial" w:hAnsi="Arial"/>
          <w:sz w:val="12"/>
          <w:szCs w:val="12"/>
          <w:color w:val="auto"/>
        </w:rPr>
        <w:t>” that shall include (a) a severance payment equivalent to twelve (12) months of Executive’s Base Salary then in effect on the date of termination, payable in accordance with the Company’s regular payroll cycle commencing with the first payroll date occurring on or after the 60th day following the date of Executive’s termination of employment, and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2"/>
          <w:szCs w:val="12"/>
          <w:u w:val="single" w:color="auto"/>
          <w:color w:val="auto"/>
        </w:rPr>
        <w:t>COBRA</w:t>
      </w:r>
      <w:r>
        <w:rPr>
          <w:rFonts w:ascii="Arial" w:cs="Arial" w:eastAsia="Arial" w:hAnsi="Arial"/>
          <w:sz w:val="12"/>
          <w:szCs w:val="12"/>
          <w:color w:val="auto"/>
        </w:rPr>
        <w:t>”), provided that Executive timely elects to continue and remains eligible for these benefits under COBRA, and does not become eligible for health coverage through another employer during this period.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50" w:lineRule="exact"/>
        <w:rPr>
          <w:sz w:val="20"/>
          <w:szCs w:val="20"/>
          <w:color w:val="auto"/>
        </w:rPr>
      </w:pPr>
    </w:p>
    <w:p>
      <w:pPr>
        <w:ind w:right="80" w:firstLine="328"/>
        <w:spacing w:after="0" w:line="289"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Voluntary Resignation by Executive for Good Reason/Severance</w:t>
      </w:r>
      <w:r>
        <w:rPr>
          <w:rFonts w:ascii="Arial" w:cs="Arial" w:eastAsia="Arial" w:hAnsi="Arial"/>
          <w:sz w:val="12"/>
          <w:szCs w:val="12"/>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his employment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0" w:name="page241"/>
    <w:bookmarkEnd w:id="240"/>
    <w:p>
      <w:pPr>
        <w:ind w:right="80"/>
        <w:spacing w:after="0" w:line="257" w:lineRule="auto"/>
        <w:rPr>
          <w:sz w:val="20"/>
          <w:szCs w:val="20"/>
          <w:color w:val="auto"/>
        </w:rPr>
      </w:pPr>
      <w:r>
        <w:rPr>
          <w:rFonts w:ascii="Arial" w:cs="Arial" w:eastAsia="Arial" w:hAnsi="Arial"/>
          <w:sz w:val="13"/>
          <w:szCs w:val="13"/>
          <w:color w:val="auto"/>
        </w:rPr>
        <w:t>with the Company within ninety (90) days following the first occurrence of a condition constituting Good Reason. “</w:t>
      </w:r>
      <w:r>
        <w:rPr>
          <w:rFonts w:ascii="Arial" w:cs="Arial" w:eastAsia="Arial" w:hAnsi="Arial"/>
          <w:sz w:val="13"/>
          <w:szCs w:val="13"/>
          <w:u w:val="single" w:color="auto"/>
          <w:color w:val="auto"/>
        </w:rPr>
        <w:t>Good Reason</w:t>
      </w:r>
      <w:r>
        <w:rPr>
          <w:rFonts w:ascii="Arial" w:cs="Arial" w:eastAsia="Arial" w:hAnsi="Arial"/>
          <w:sz w:val="13"/>
          <w:szCs w:val="13"/>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62"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Voluntary Resignation by Executive Without Good Reason</w:t>
      </w:r>
      <w:r>
        <w:rPr>
          <w:rFonts w:ascii="Arial" w:cs="Arial" w:eastAsia="Arial" w:hAnsi="Arial"/>
          <w:sz w:val="13"/>
          <w:szCs w:val="13"/>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Termination After a Change in Control</w:t>
      </w:r>
      <w:r>
        <w:rPr>
          <w:rFonts w:ascii="Arial" w:cs="Arial" w:eastAsia="Arial" w:hAnsi="Arial"/>
          <w:sz w:val="13"/>
          <w:szCs w:val="13"/>
          <w:color w:val="auto"/>
        </w:rPr>
        <w:t>.</w:t>
      </w:r>
    </w:p>
    <w:p>
      <w:pPr>
        <w:spacing w:after="0" w:line="86" w:lineRule="exact"/>
        <w:rPr>
          <w:sz w:val="20"/>
          <w:szCs w:val="20"/>
          <w:color w:val="auto"/>
        </w:rPr>
      </w:pPr>
    </w:p>
    <w:p>
      <w:pPr>
        <w:ind w:right="120" w:firstLine="490"/>
        <w:spacing w:after="0" w:line="258" w:lineRule="auto"/>
        <w:tabs>
          <w:tab w:leader="none" w:pos="669"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Severance Payment; Option Vesting Acceleration</w:t>
      </w:r>
      <w:r>
        <w:rPr>
          <w:rFonts w:ascii="Arial" w:cs="Arial" w:eastAsia="Arial" w:hAnsi="Arial"/>
          <w:sz w:val="13"/>
          <w:szCs w:val="13"/>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any stock options or equity grants granted to Executive by the Company shall vest in full as of the date of such termination of employment, provided Executive complies with the conditions described in subsection 7.2 above.</w:t>
      </w:r>
    </w:p>
    <w:p>
      <w:pPr>
        <w:spacing w:after="0" w:line="61" w:lineRule="exact"/>
        <w:rPr>
          <w:rFonts w:ascii="Arial" w:cs="Arial" w:eastAsia="Arial" w:hAnsi="Arial"/>
          <w:sz w:val="13"/>
          <w:szCs w:val="13"/>
          <w:color w:val="auto"/>
        </w:rPr>
      </w:pPr>
    </w:p>
    <w:p>
      <w:pPr>
        <w:ind w:right="140" w:firstLine="490"/>
        <w:spacing w:after="0" w:line="264" w:lineRule="auto"/>
        <w:tabs>
          <w:tab w:leader="none" w:pos="677"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Parachute Payments</w:t>
      </w:r>
      <w:r>
        <w:rPr>
          <w:rFonts w:ascii="Arial" w:cs="Arial" w:eastAsia="Arial" w:hAnsi="Arial"/>
          <w:sz w:val="13"/>
          <w:szCs w:val="13"/>
          <w:color w:val="auto"/>
        </w:rPr>
        <w:t>. If, due to the benefits provided under subsection 7.5(a) and any other payments or benefits, Executive would be subject to any excise tax pursuant to Section 4999 of the Internal Revenue Code of 1986, as amended (the “</w:t>
      </w:r>
      <w:r>
        <w:rPr>
          <w:rFonts w:ascii="Arial" w:cs="Arial" w:eastAsia="Arial" w:hAnsi="Arial"/>
          <w:sz w:val="13"/>
          <w:szCs w:val="13"/>
          <w:u w:val="single" w:color="auto"/>
          <w:color w:val="auto"/>
        </w:rPr>
        <w:t>Code</w:t>
      </w:r>
      <w:r>
        <w:rPr>
          <w:rFonts w:ascii="Arial" w:cs="Arial" w:eastAsia="Arial" w:hAnsi="Arial"/>
          <w:sz w:val="13"/>
          <w:szCs w:val="13"/>
          <w:color w:val="auto"/>
        </w:rPr>
        <w:t>”) due to characterization of any such amounts as excess parachute payments pursuant to Section 280G of the Code, the amounts payable under subsection 7.5(a) will be reduced (to the least extent possible) in order to avoid any “excess parachute payment” under Section 280G(b)(1) of the Code.</w:t>
      </w:r>
    </w:p>
    <w:p>
      <w:pPr>
        <w:spacing w:after="0" w:line="57" w:lineRule="exact"/>
        <w:rPr>
          <w:rFonts w:ascii="Arial" w:cs="Arial" w:eastAsia="Arial" w:hAnsi="Arial"/>
          <w:sz w:val="13"/>
          <w:szCs w:val="13"/>
          <w:color w:val="auto"/>
        </w:rPr>
      </w:pPr>
    </w:p>
    <w:p>
      <w:pPr>
        <w:ind w:left="660" w:hanging="170"/>
        <w:spacing w:after="0"/>
        <w:tabs>
          <w:tab w:leader="none" w:pos="66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A Change in Control is defined as any one of the following occurrences:</w:t>
      </w:r>
    </w:p>
    <w:p>
      <w:pPr>
        <w:spacing w:after="0" w:line="86" w:lineRule="exact"/>
        <w:rPr>
          <w:rFonts w:ascii="Arial" w:cs="Arial" w:eastAsia="Arial" w:hAnsi="Arial"/>
          <w:sz w:val="13"/>
          <w:szCs w:val="13"/>
          <w:color w:val="auto"/>
        </w:rPr>
      </w:pPr>
    </w:p>
    <w:p>
      <w:pPr>
        <w:ind w:firstLine="654"/>
        <w:spacing w:after="0" w:line="264" w:lineRule="auto"/>
        <w:tabs>
          <w:tab w:leader="none" w:pos="804" w:val="left"/>
        </w:tabs>
        <w:numPr>
          <w:ilvl w:val="1"/>
          <w:numId w:val="143"/>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Securities Exchange Act of 1934 (the “</w:t>
      </w:r>
      <w:r>
        <w:rPr>
          <w:rFonts w:ascii="Arial" w:cs="Arial" w:eastAsia="Arial" w:hAnsi="Arial"/>
          <w:sz w:val="13"/>
          <w:szCs w:val="13"/>
          <w:u w:val="single" w:color="auto"/>
          <w:color w:val="auto"/>
        </w:rPr>
        <w:t>Exchange Act</w:t>
      </w:r>
      <w:r>
        <w:rPr>
          <w:rFonts w:ascii="Arial" w:cs="Arial" w:eastAsia="Arial" w:hAnsi="Arial"/>
          <w:sz w:val="13"/>
          <w:szCs w:val="13"/>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1" w:name="page242"/>
    <w:bookmarkEnd w:id="241"/>
    <w:p>
      <w:pPr>
        <w:ind w:right="60"/>
        <w:spacing w:after="0" w:line="258" w:lineRule="auto"/>
        <w:rPr>
          <w:sz w:val="20"/>
          <w:szCs w:val="20"/>
          <w:color w:val="auto"/>
        </w:rPr>
      </w:pPr>
      <w:r>
        <w:rPr>
          <w:rFonts w:ascii="Arial" w:cs="Arial" w:eastAsia="Arial" w:hAnsi="Arial"/>
          <w:sz w:val="13"/>
          <w:szCs w:val="13"/>
          <w:color w:val="auto"/>
        </w:rPr>
        <w:t>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61" w:lineRule="exact"/>
        <w:rPr>
          <w:sz w:val="20"/>
          <w:szCs w:val="20"/>
          <w:color w:val="auto"/>
        </w:rPr>
      </w:pPr>
    </w:p>
    <w:p>
      <w:pPr>
        <w:ind w:right="460" w:firstLine="654"/>
        <w:spacing w:after="0" w:line="276" w:lineRule="auto"/>
        <w:tabs>
          <w:tab w:leader="none" w:pos="848"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sale or disposition of all or substantially all of the Company’s assets (other than a sale or disposition to one or more subsidiaries of the Company), or any transaction having similar effect is consummated; or</w:t>
      </w:r>
    </w:p>
    <w:p>
      <w:pPr>
        <w:spacing w:after="0" w:line="49" w:lineRule="exact"/>
        <w:rPr>
          <w:rFonts w:ascii="Arial" w:cs="Arial" w:eastAsia="Arial" w:hAnsi="Arial"/>
          <w:sz w:val="13"/>
          <w:szCs w:val="13"/>
          <w:color w:val="auto"/>
        </w:rPr>
      </w:pPr>
    </w:p>
    <w:p>
      <w:pPr>
        <w:ind w:right="160" w:firstLine="654"/>
        <w:spacing w:after="0" w:line="264" w:lineRule="auto"/>
        <w:tabs>
          <w:tab w:leader="none" w:pos="884"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57" w:lineRule="exact"/>
        <w:rPr>
          <w:rFonts w:ascii="Arial" w:cs="Arial" w:eastAsia="Arial" w:hAnsi="Arial"/>
          <w:sz w:val="13"/>
          <w:szCs w:val="13"/>
          <w:color w:val="auto"/>
        </w:rPr>
      </w:pPr>
    </w:p>
    <w:p>
      <w:pPr>
        <w:ind w:left="880" w:hanging="226"/>
        <w:spacing w:after="0"/>
        <w:tabs>
          <w:tab w:leader="none" w:pos="8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dissolution or liquidation of the Company.</w:t>
      </w:r>
    </w:p>
    <w:p>
      <w:pPr>
        <w:spacing w:after="0" w:line="86"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Termination of Employment Upon Nonrenewal</w:t>
      </w:r>
      <w:r>
        <w:rPr>
          <w:rFonts w:ascii="Arial" w:cs="Arial" w:eastAsia="Arial" w:hAnsi="Arial"/>
          <w:sz w:val="13"/>
          <w:szCs w:val="13"/>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6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Resignation of Board or Other Positions</w:t>
      </w:r>
      <w:r>
        <w:rPr>
          <w:rFonts w:ascii="Arial" w:cs="Arial" w:eastAsia="Arial" w:hAnsi="Arial"/>
          <w:sz w:val="13"/>
          <w:szCs w:val="13"/>
          <w:color w:val="auto"/>
        </w:rPr>
        <w:t>. Executive agrees that should Executive’s employment terminate for any reason, Executive will immediately resign all other positions (including board membership) Executive may hold on behalf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Application of Section 409A</w:t>
      </w:r>
      <w:r>
        <w:rPr>
          <w:rFonts w:ascii="Arial" w:cs="Arial" w:eastAsia="Arial" w:hAnsi="Arial"/>
          <w:sz w:val="13"/>
          <w:szCs w:val="13"/>
          <w:color w:val="auto"/>
        </w:rPr>
        <w:t>.</w:t>
      </w:r>
    </w:p>
    <w:p>
      <w:pPr>
        <w:spacing w:after="0" w:line="86" w:lineRule="exact"/>
        <w:rPr>
          <w:sz w:val="20"/>
          <w:szCs w:val="20"/>
          <w:color w:val="auto"/>
        </w:rPr>
      </w:pPr>
    </w:p>
    <w:p>
      <w:pPr>
        <w:ind w:right="80" w:firstLine="490"/>
        <w:spacing w:after="0" w:line="257" w:lineRule="auto"/>
        <w:tabs>
          <w:tab w:leader="none" w:pos="66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3"/>
          <w:szCs w:val="13"/>
          <w:u w:val="single" w:color="auto"/>
          <w:color w:val="auto"/>
        </w:rPr>
        <w:t>Section 409A Regulations</w:t>
      </w:r>
      <w:r>
        <w:rPr>
          <w:rFonts w:ascii="Arial" w:cs="Arial" w:eastAsia="Arial" w:hAnsi="Arial"/>
          <w:sz w:val="13"/>
          <w:szCs w:val="13"/>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3"/>
          <w:szCs w:val="13"/>
          <w:u w:val="single" w:color="auto"/>
          <w:color w:val="auto"/>
        </w:rPr>
        <w:t>Delayed</w:t>
      </w:r>
      <w:r>
        <w:rPr>
          <w:rFonts w:ascii="Arial" w:cs="Arial" w:eastAsia="Arial" w:hAnsi="Arial"/>
          <w:sz w:val="13"/>
          <w:szCs w:val="13"/>
          <w:color w:val="auto"/>
        </w:rPr>
        <w:t xml:space="preserve"> </w:t>
      </w:r>
      <w:r>
        <w:rPr>
          <w:rFonts w:ascii="Arial" w:cs="Arial" w:eastAsia="Arial" w:hAnsi="Arial"/>
          <w:sz w:val="13"/>
          <w:szCs w:val="13"/>
          <w:u w:val="single" w:color="auto"/>
          <w:color w:val="auto"/>
        </w:rPr>
        <w:t>Payment Date</w:t>
      </w:r>
      <w:r>
        <w:rPr>
          <w:rFonts w:ascii="Arial" w:cs="Arial" w:eastAsia="Arial" w:hAnsi="Arial"/>
          <w:sz w:val="13"/>
          <w:szCs w:val="13"/>
          <w:color w:val="auto"/>
        </w:rPr>
        <w:t>”) which is first day of the seventh month after the date of Executive’s separation from service or, if earlier, the date of Executive’s death following such separation from service. All such amounts that would, but for this subsection, become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color w:val="auto"/>
        </w:rPr>
        <w:t>payable prior to the Delayed Payment Date will be accumulated and paid on the Delayed Payment Date.</w:t>
      </w:r>
    </w:p>
    <w:p>
      <w:pPr>
        <w:spacing w:after="0" w:line="86" w:lineRule="exact"/>
        <w:rPr>
          <w:sz w:val="20"/>
          <w:szCs w:val="20"/>
          <w:color w:val="auto"/>
        </w:rPr>
      </w:pPr>
    </w:p>
    <w:p>
      <w:pPr>
        <w:jc w:val="both"/>
        <w:ind w:right="40" w:firstLine="490"/>
        <w:spacing w:after="0" w:line="260" w:lineRule="auto"/>
        <w:tabs>
          <w:tab w:leader="none" w:pos="674" w:val="left"/>
        </w:tabs>
        <w:numPr>
          <w:ilvl w:val="1"/>
          <w:numId w:val="146"/>
        </w:numPr>
        <w:rPr>
          <w:rFonts w:ascii="Arial" w:cs="Arial" w:eastAsia="Arial" w:hAnsi="Arial"/>
          <w:sz w:val="13"/>
          <w:szCs w:val="13"/>
          <w:color w:val="auto"/>
        </w:rPr>
      </w:pPr>
      <w:r>
        <w:rPr>
          <w:rFonts w:ascii="Arial" w:cs="Arial" w:eastAsia="Arial" w:hAnsi="Arial"/>
          <w:sz w:val="13"/>
          <w:szCs w:val="13"/>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3"/>
          <w:szCs w:val="13"/>
          <w:b w:val="1"/>
          <w:bCs w:val="1"/>
          <w:color w:val="auto"/>
        </w:rPr>
        <w:t>However, the Company does not guarantee any particular tax effect for income provided to Executive pursuant to</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this Agreement. </w:t>
      </w:r>
      <w:r>
        <w:rPr>
          <w:rFonts w:ascii="Arial" w:cs="Arial" w:eastAsia="Arial" w:hAnsi="Arial"/>
          <w:sz w:val="13"/>
          <w:szCs w:val="13"/>
          <w:color w:val="auto"/>
        </w:rPr>
        <w:t>In any event, except for the Company’s responsibility to withhold applicable income and employment taxes from compensation paid or provided to Executive, the Company shall not be responsible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payment of any applicable taxes incurred by Executive on compensation paid or provided to Executive pursuant to this Agreement.</w:t>
      </w:r>
    </w:p>
    <w:p>
      <w:pPr>
        <w:spacing w:after="0" w:line="59" w:lineRule="exact"/>
        <w:rPr>
          <w:rFonts w:ascii="Arial" w:cs="Arial" w:eastAsia="Arial" w:hAnsi="Arial"/>
          <w:sz w:val="13"/>
          <w:szCs w:val="13"/>
          <w:color w:val="auto"/>
        </w:rPr>
      </w:pPr>
    </w:p>
    <w:p>
      <w:pPr>
        <w:ind w:right="20" w:firstLine="162"/>
        <w:spacing w:after="0" w:line="260" w:lineRule="auto"/>
        <w:tabs>
          <w:tab w:leader="none" w:pos="295"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No Violation of Rights of Third Parties</w:t>
      </w:r>
      <w:r>
        <w:rPr>
          <w:rFonts w:ascii="Arial" w:cs="Arial" w:eastAsia="Arial" w:hAnsi="Arial"/>
          <w:sz w:val="13"/>
          <w:szCs w:val="13"/>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Other Covenants</w:t>
      </w:r>
      <w:r>
        <w:rPr>
          <w:rFonts w:ascii="Arial" w:cs="Arial" w:eastAsia="Arial" w:hAnsi="Arial"/>
          <w:sz w:val="13"/>
          <w:szCs w:val="13"/>
          <w:color w:val="auto"/>
        </w:rPr>
        <w:t>. Executive hereby makes the following covenants, each of which Executive acknowledges and agrees are a material part of this Agreement:</w:t>
      </w:r>
    </w:p>
    <w:p>
      <w:pPr>
        <w:spacing w:after="0" w:line="86"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40"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61"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9.3 During the Term of Executive’s employment with the Company and after the termination thereof, neither Executive nor the Company will disparage each other, or the Company’s products, services, agents or employees.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p>
      <w:pPr>
        <w:ind w:right="60" w:firstLine="328"/>
        <w:spacing w:after="0" w:line="264" w:lineRule="auto"/>
        <w:rPr>
          <w:sz w:val="20"/>
          <w:szCs w:val="20"/>
          <w:color w:val="auto"/>
        </w:rPr>
      </w:pPr>
      <w:r>
        <w:rPr>
          <w:rFonts w:ascii="Arial" w:cs="Arial" w:eastAsia="Arial" w:hAnsi="Arial"/>
          <w:sz w:val="13"/>
          <w:szCs w:val="13"/>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57" w:lineRule="exact"/>
        <w:rPr>
          <w:sz w:val="20"/>
          <w:szCs w:val="20"/>
          <w:color w:val="auto"/>
        </w:rPr>
      </w:pPr>
    </w:p>
    <w:p>
      <w:pPr>
        <w:ind w:right="20" w:firstLine="162"/>
        <w:spacing w:after="0" w:line="276" w:lineRule="auto"/>
        <w:tabs>
          <w:tab w:leader="none" w:pos="36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Confidentiality and Proprietary Rights</w:t>
      </w:r>
      <w:r>
        <w:rPr>
          <w:rFonts w:ascii="Arial" w:cs="Arial" w:eastAsia="Arial" w:hAnsi="Arial"/>
          <w:sz w:val="13"/>
          <w:szCs w:val="13"/>
          <w:color w:val="auto"/>
        </w:rPr>
        <w:t>. Executive agrees to read, sign and abide by the Company’s Employee Nondisclosure and Assignment Agreement, which is provided with this Agreement and incorporated herein by reference.</w:t>
      </w:r>
    </w:p>
    <w:p>
      <w:pPr>
        <w:spacing w:after="0" w:line="49" w:lineRule="exact"/>
        <w:rPr>
          <w:rFonts w:ascii="Arial" w:cs="Arial" w:eastAsia="Arial" w:hAnsi="Arial"/>
          <w:sz w:val="13"/>
          <w:szCs w:val="13"/>
          <w:color w:val="auto"/>
        </w:rPr>
      </w:pPr>
    </w:p>
    <w:p>
      <w:pPr>
        <w:ind w:firstLine="162"/>
        <w:spacing w:after="0" w:line="305" w:lineRule="auto"/>
        <w:tabs>
          <w:tab w:leader="none" w:pos="355" w:val="left"/>
        </w:tabs>
        <w:numPr>
          <w:ilvl w:val="0"/>
          <w:numId w:val="148"/>
        </w:numPr>
        <w:rPr>
          <w:rFonts w:ascii="Arial" w:cs="Arial" w:eastAsia="Arial" w:hAnsi="Arial"/>
          <w:sz w:val="11"/>
          <w:szCs w:val="11"/>
          <w:color w:val="auto"/>
        </w:rPr>
      </w:pPr>
      <w:r>
        <w:rPr>
          <w:rFonts w:ascii="Arial" w:cs="Arial" w:eastAsia="Arial" w:hAnsi="Arial"/>
          <w:sz w:val="11"/>
          <w:szCs w:val="11"/>
          <w:u w:val="single" w:color="auto"/>
          <w:color w:val="auto"/>
        </w:rPr>
        <w:t>Non-Competition; Nonsolicitation of Company’s Employees</w:t>
      </w:r>
      <w:r>
        <w:rPr>
          <w:rFonts w:ascii="Arial" w:cs="Arial" w:eastAsia="Arial" w:hAnsi="Arial"/>
          <w:sz w:val="11"/>
          <w:szCs w:val="11"/>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0" w:lineRule="exact"/>
        <w:rPr>
          <w:rFonts w:ascii="Arial" w:cs="Arial" w:eastAsia="Arial" w:hAnsi="Arial"/>
          <w:sz w:val="11"/>
          <w:szCs w:val="11"/>
          <w:color w:val="auto"/>
        </w:rPr>
      </w:pPr>
    </w:p>
    <w:p>
      <w:pPr>
        <w:ind w:right="20" w:firstLine="162"/>
        <w:spacing w:after="0" w:line="264" w:lineRule="auto"/>
        <w:tabs>
          <w:tab w:leader="none" w:pos="36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Injunctive Relief</w:t>
      </w:r>
      <w:r>
        <w:rPr>
          <w:rFonts w:ascii="Arial" w:cs="Arial" w:eastAsia="Arial" w:hAnsi="Arial"/>
          <w:sz w:val="13"/>
          <w:szCs w:val="13"/>
          <w:color w:val="auto"/>
        </w:rPr>
        <w:t>. Executive acknowledges that Executive’s breach of the covenants contained in sections 9-11 hereof (collectively “</w:t>
      </w:r>
      <w:r>
        <w:rPr>
          <w:rFonts w:ascii="Arial" w:cs="Arial" w:eastAsia="Arial" w:hAnsi="Arial"/>
          <w:sz w:val="13"/>
          <w:szCs w:val="13"/>
          <w:u w:val="single" w:color="auto"/>
          <w:color w:val="auto"/>
        </w:rPr>
        <w:t>Covenants</w:t>
      </w:r>
      <w:r>
        <w:rPr>
          <w:rFonts w:ascii="Arial" w:cs="Arial" w:eastAsia="Arial" w:hAnsi="Arial"/>
          <w:sz w:val="13"/>
          <w:szCs w:val="13"/>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44" w:name="page245"/>
    <w:bookmarkEnd w:id="244"/>
    <w:p>
      <w:pPr>
        <w:ind w:left="360" w:hanging="198"/>
        <w:spacing w:after="0"/>
        <w:tabs>
          <w:tab w:leader="none" w:pos="360"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Insurance; Indemnification</w:t>
      </w:r>
      <w:r>
        <w:rPr>
          <w:rFonts w:ascii="Arial" w:cs="Arial" w:eastAsia="Arial" w:hAnsi="Arial"/>
          <w:sz w:val="13"/>
          <w:szCs w:val="13"/>
          <w:color w:val="auto"/>
        </w:rPr>
        <w:t>.</w:t>
      </w:r>
    </w:p>
    <w:p>
      <w:pPr>
        <w:spacing w:after="0" w:line="86"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13.1 During the Term of Executive’s employment hereunder, Executive will be covered by the Company’s director and officer insurance policy to the same extent as all other senior executive officers of the Company</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49" w:lineRule="exact"/>
        <w:rPr>
          <w:sz w:val="20"/>
          <w:szCs w:val="20"/>
          <w:color w:val="auto"/>
        </w:rPr>
      </w:pPr>
    </w:p>
    <w:p>
      <w:pPr>
        <w:ind w:left="360" w:hanging="198"/>
        <w:spacing w:after="0"/>
        <w:tabs>
          <w:tab w:leader="none" w:pos="360"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49"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Waiver</w:t>
      </w:r>
      <w:r>
        <w:rPr>
          <w:rFonts w:ascii="Arial" w:cs="Arial" w:eastAsia="Arial" w:hAnsi="Arial"/>
          <w:sz w:val="13"/>
          <w:szCs w:val="13"/>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Attorneys’ Fees</w:t>
      </w:r>
      <w:r>
        <w:rPr>
          <w:rFonts w:ascii="Arial" w:cs="Arial" w:eastAsia="Arial" w:hAnsi="Arial"/>
          <w:sz w:val="13"/>
          <w:szCs w:val="13"/>
          <w:color w:val="auto"/>
        </w:rPr>
        <w:t>. In the event of a dispute involving the interpretation or enforcement of this Agreement, a court shall award attorneys’ fees and costs to the prevailing party.</w:t>
      </w:r>
    </w:p>
    <w:p>
      <w:pPr>
        <w:spacing w:after="0" w:line="86" w:lineRule="exact"/>
        <w:rPr>
          <w:sz w:val="20"/>
          <w:szCs w:val="20"/>
          <w:color w:val="auto"/>
        </w:rPr>
      </w:pPr>
    </w:p>
    <w:p>
      <w:pPr>
        <w:ind w:right="420" w:firstLine="328"/>
        <w:spacing w:after="0" w:line="296"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40" w:lineRule="exact"/>
        <w:rPr>
          <w:sz w:val="20"/>
          <w:szCs w:val="20"/>
          <w:color w:val="auto"/>
        </w:rPr>
      </w:pPr>
    </w:p>
    <w:p>
      <w:pPr>
        <w:ind w:right="260" w:firstLine="328"/>
        <w:spacing w:after="0" w:line="260"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Interpretation; Construction</w:t>
      </w:r>
      <w:r>
        <w:rPr>
          <w:rFonts w:ascii="Arial" w:cs="Arial" w:eastAsia="Arial" w:hAnsi="Arial"/>
          <w:sz w:val="13"/>
          <w:szCs w:val="13"/>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60"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14.6 </w:t>
      </w:r>
      <w:r>
        <w:rPr>
          <w:rFonts w:ascii="Arial" w:cs="Arial" w:eastAsia="Arial" w:hAnsi="Arial"/>
          <w:sz w:val="13"/>
          <w:szCs w:val="13"/>
          <w:u w:val="single" w:color="auto"/>
          <w:color w:val="auto"/>
        </w:rPr>
        <w:t>Governing Law; Forum</w:t>
      </w:r>
      <w:r>
        <w:rPr>
          <w:rFonts w:ascii="Arial" w:cs="Arial" w:eastAsia="Arial" w:hAnsi="Arial"/>
          <w:sz w:val="13"/>
          <w:szCs w:val="13"/>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5" w:name="page246"/>
    <w:bookmarkEnd w:id="245"/>
    <w:p>
      <w:pPr>
        <w:ind w:left="321"/>
        <w:spacing w:after="0"/>
        <w:rPr>
          <w:sz w:val="20"/>
          <w:szCs w:val="20"/>
          <w:color w:val="auto"/>
        </w:rPr>
      </w:pPr>
      <w:r>
        <w:rPr>
          <w:rFonts w:ascii="Arial" w:cs="Arial" w:eastAsia="Arial" w:hAnsi="Arial"/>
          <w:sz w:val="12"/>
          <w:szCs w:val="12"/>
          <w:color w:val="auto"/>
        </w:rPr>
        <w:t xml:space="preserve">14.7 </w:t>
      </w: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or permitted by this Agreement shall be in writing and shall be delivered as follows with notice deemed given as indicated: (a) by personal delivery when delivered personally;</w:t>
      </w:r>
    </w:p>
    <w:p>
      <w:pPr>
        <w:spacing w:after="0" w:line="27" w:lineRule="exact"/>
        <w:rPr>
          <w:sz w:val="20"/>
          <w:szCs w:val="20"/>
          <w:color w:val="auto"/>
        </w:rPr>
      </w:pPr>
    </w:p>
    <w:p>
      <w:pPr>
        <w:ind w:left="1" w:right="260" w:hanging="1"/>
        <w:spacing w:after="0" w:line="264" w:lineRule="auto"/>
        <w:tabs>
          <w:tab w:leader="none" w:pos="187"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57" w:lineRule="exact"/>
        <w:rPr>
          <w:sz w:val="20"/>
          <w:szCs w:val="20"/>
          <w:color w:val="auto"/>
        </w:rPr>
      </w:pPr>
    </w:p>
    <w:p>
      <w:pPr>
        <w:ind w:left="1" w:right="100" w:firstLine="328"/>
        <w:spacing w:after="0" w:line="276"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u w:val="single" w:color="auto"/>
          <w:color w:val="auto"/>
        </w:rPr>
        <w:t>Survival</w:t>
      </w:r>
      <w:r>
        <w:rPr>
          <w:rFonts w:ascii="Arial" w:cs="Arial" w:eastAsia="Arial" w:hAnsi="Arial"/>
          <w:sz w:val="13"/>
          <w:szCs w:val="13"/>
          <w:color w:val="auto"/>
        </w:rPr>
        <w:t>. Sections 9 (“Other Covenants”), 10 (“Confidentiality and Proprietary Rights”), 11 (“Non-Competition; Nonsolicitation”), 12 (“Injunctive Relief”), 13 (“Insurance; Indemnification”), 14 (“General Provisions”) and 15 (“Entire Agreement”) of this Agreement shall survive termination of Executive’s employment with the Company.</w:t>
      </w:r>
    </w:p>
    <w:p>
      <w:pPr>
        <w:spacing w:after="0" w:line="49" w:lineRule="exact"/>
        <w:rPr>
          <w:sz w:val="20"/>
          <w:szCs w:val="20"/>
          <w:color w:val="auto"/>
        </w:rPr>
      </w:pPr>
    </w:p>
    <w:p>
      <w:pPr>
        <w:ind w:left="1" w:right="60" w:firstLine="162"/>
        <w:spacing w:after="0" w:line="264" w:lineRule="auto"/>
        <w:tabs>
          <w:tab w:leader="none" w:pos="362"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including the Employee Nondisclosure and Assignment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57"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THE PARTIES TO THIS AGREEMENT HAVE READ THE FOREGOING AGREEMENT AND FULLY UNDERSTAND EACH AND EVERY PROVISION CONTAINED HEREIN. WHEREFORE, THE PARTIES HAVE EXECUTED THIS AGREEMENT ON THE DATES SHOWN BELOW.</w:t>
      </w:r>
    </w:p>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6520" w:type="dxa"/>
            <w:vAlign w:val="bottom"/>
            <w:gridSpan w:val="5"/>
          </w:tcPr>
          <w:p>
            <w:pPr>
              <w:ind w:left="1900"/>
              <w:spacing w:after="0"/>
              <w:rPr>
                <w:sz w:val="20"/>
                <w:szCs w:val="20"/>
                <w:color w:val="auto"/>
              </w:rPr>
            </w:pPr>
            <w:r>
              <w:rPr>
                <w:rFonts w:ascii="Arial" w:cs="Arial" w:eastAsia="Arial" w:hAnsi="Arial"/>
                <w:sz w:val="13"/>
                <w:szCs w:val="13"/>
                <w:b w:val="1"/>
                <w:bCs w:val="1"/>
                <w:color w:val="auto"/>
              </w:rPr>
              <w:t>BRENT D. RICHARDSON</w:t>
            </w:r>
          </w:p>
        </w:tc>
      </w:tr>
      <w:tr>
        <w:trPr>
          <w:trHeight w:val="315"/>
        </w:trPr>
        <w:tc>
          <w:tcPr>
            <w:tcW w:w="3320" w:type="dxa"/>
            <w:vAlign w:val="bottom"/>
          </w:tcPr>
          <w:p>
            <w:pPr>
              <w:spacing w:after="0"/>
              <w:rPr>
                <w:sz w:val="20"/>
                <w:szCs w:val="20"/>
                <w:color w:val="auto"/>
              </w:rPr>
            </w:pPr>
            <w:r>
              <w:rPr>
                <w:rFonts w:ascii="Arial" w:cs="Arial" w:eastAsia="Arial" w:hAnsi="Arial"/>
                <w:sz w:val="13"/>
                <w:szCs w:val="13"/>
                <w:color w:val="auto"/>
              </w:rPr>
              <w:t>Dated: September 10, 2008</w:t>
            </w:r>
          </w:p>
        </w:tc>
        <w:tc>
          <w:tcPr>
            <w:tcW w:w="6520" w:type="dxa"/>
            <w:vAlign w:val="bottom"/>
            <w:gridSpan w:val="5"/>
          </w:tcPr>
          <w:p>
            <w:pPr>
              <w:ind w:left="1900"/>
              <w:spacing w:after="0"/>
              <w:rPr>
                <w:sz w:val="20"/>
                <w:szCs w:val="20"/>
                <w:color w:val="auto"/>
              </w:rPr>
            </w:pPr>
            <w:r>
              <w:rPr>
                <w:rFonts w:ascii="Arial" w:cs="Arial" w:eastAsia="Arial" w:hAnsi="Arial"/>
                <w:sz w:val="13"/>
                <w:szCs w:val="13"/>
                <w:color w:val="auto"/>
              </w:rPr>
              <w:t>By: /s/ Brent D. Richardson</w:t>
            </w:r>
          </w:p>
        </w:tc>
      </w:tr>
      <w:tr>
        <w:trPr>
          <w:trHeight w:val="304"/>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3"/>
              </w:rPr>
              <w:t>Address:</w:t>
            </w:r>
          </w:p>
        </w:tc>
        <w:tc>
          <w:tcPr>
            <w:tcW w:w="40" w:type="dxa"/>
            <w:vAlign w:val="bottom"/>
            <w:tcBorders>
              <w:top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r>
        <w:trPr>
          <w:trHeight w:val="148"/>
        </w:trPr>
        <w:tc>
          <w:tcPr>
            <w:tcW w:w="3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r>
      <w:tr>
        <w:trPr>
          <w:trHeight w:val="460"/>
        </w:trPr>
        <w:tc>
          <w:tcPr>
            <w:tcW w:w="3320" w:type="dxa"/>
            <w:vAlign w:val="bottom"/>
          </w:tcPr>
          <w:p>
            <w:pPr>
              <w:spacing w:after="0"/>
              <w:rPr>
                <w:sz w:val="24"/>
                <w:szCs w:val="24"/>
                <w:color w:val="auto"/>
              </w:rPr>
            </w:pPr>
          </w:p>
        </w:tc>
        <w:tc>
          <w:tcPr>
            <w:tcW w:w="6520" w:type="dxa"/>
            <w:vAlign w:val="bottom"/>
            <w:gridSpan w:val="5"/>
          </w:tcPr>
          <w:p>
            <w:pPr>
              <w:ind w:left="1920"/>
              <w:spacing w:after="0"/>
              <w:rPr>
                <w:sz w:val="20"/>
                <w:szCs w:val="20"/>
                <w:color w:val="auto"/>
              </w:rPr>
            </w:pPr>
            <w:r>
              <w:rPr>
                <w:rFonts w:ascii="Arial" w:cs="Arial" w:eastAsia="Arial" w:hAnsi="Arial"/>
                <w:sz w:val="13"/>
                <w:szCs w:val="13"/>
                <w:b w:val="1"/>
                <w:bCs w:val="1"/>
                <w:color w:val="auto"/>
              </w:rPr>
              <w:t>GRAND CANYON EDUCATION, INC.</w:t>
            </w:r>
          </w:p>
        </w:tc>
      </w:tr>
      <w:tr>
        <w:trPr>
          <w:trHeight w:val="315"/>
        </w:trPr>
        <w:tc>
          <w:tcPr>
            <w:tcW w:w="3320" w:type="dxa"/>
            <w:vAlign w:val="bottom"/>
          </w:tcPr>
          <w:p>
            <w:pPr>
              <w:spacing w:after="0"/>
              <w:rPr>
                <w:sz w:val="20"/>
                <w:szCs w:val="20"/>
                <w:color w:val="auto"/>
              </w:rPr>
            </w:pPr>
            <w:r>
              <w:rPr>
                <w:rFonts w:ascii="Arial" w:cs="Arial" w:eastAsia="Arial" w:hAnsi="Arial"/>
                <w:sz w:val="13"/>
                <w:szCs w:val="13"/>
                <w:color w:val="auto"/>
              </w:rPr>
              <w:t>Dated: September 10, 2008</w:t>
            </w:r>
          </w:p>
        </w:tc>
        <w:tc>
          <w:tcPr>
            <w:tcW w:w="6520" w:type="dxa"/>
            <w:vAlign w:val="bottom"/>
            <w:gridSpan w:val="5"/>
          </w:tcPr>
          <w:p>
            <w:pPr>
              <w:ind w:left="1920"/>
              <w:spacing w:after="0"/>
              <w:rPr>
                <w:sz w:val="20"/>
                <w:szCs w:val="20"/>
                <w:color w:val="auto"/>
              </w:rPr>
            </w:pPr>
            <w:r>
              <w:rPr>
                <w:rFonts w:ascii="Arial" w:cs="Arial" w:eastAsia="Arial" w:hAnsi="Arial"/>
                <w:sz w:val="13"/>
                <w:szCs w:val="13"/>
                <w:color w:val="auto"/>
              </w:rPr>
              <w:t>By /s/ Brian E. Mueller</w:t>
            </w:r>
          </w:p>
        </w:tc>
      </w:tr>
      <w:tr>
        <w:trPr>
          <w:trHeight w:val="139"/>
        </w:trPr>
        <w:tc>
          <w:tcPr>
            <w:tcW w:w="3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3"/>
                <w:szCs w:val="13"/>
                <w:color w:val="auto"/>
              </w:rPr>
              <w:t>Name:</w:t>
            </w:r>
          </w:p>
        </w:tc>
        <w:tc>
          <w:tcPr>
            <w:tcW w:w="386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3"/>
                <w:szCs w:val="13"/>
                <w:color w:val="auto"/>
              </w:rPr>
              <w:t>Brian E. Mueller</w:t>
            </w:r>
          </w:p>
        </w:tc>
      </w:tr>
      <w:tr>
        <w:trPr>
          <w:trHeight w:val="165"/>
        </w:trPr>
        <w:tc>
          <w:tcPr>
            <w:tcW w:w="3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rPr>
              <w:t>Title:</w:t>
            </w: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Chief Executive Officer</w:t>
            </w:r>
          </w:p>
        </w:tc>
      </w:tr>
      <w:tr>
        <w:trPr>
          <w:trHeight w:val="307"/>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w w:val="97"/>
              </w:rPr>
              <w:t>Address:</w:t>
            </w: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3300 West Camelback Road</w:t>
            </w:r>
          </w:p>
        </w:tc>
      </w:tr>
      <w:tr>
        <w:trPr>
          <w:trHeight w:val="165"/>
        </w:trPr>
        <w:tc>
          <w:tcPr>
            <w:tcW w:w="3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Phoenix, Arizona 85017</w:t>
            </w:r>
          </w:p>
        </w:tc>
      </w:tr>
      <w:tr>
        <w:trPr>
          <w:trHeight w:val="452"/>
        </w:trPr>
        <w:tc>
          <w:tcPr>
            <w:tcW w:w="3320" w:type="dxa"/>
            <w:vAlign w:val="bottom"/>
          </w:tcPr>
          <w:p>
            <w:pPr>
              <w:spacing w:after="0"/>
              <w:rPr>
                <w:sz w:val="24"/>
                <w:szCs w:val="24"/>
                <w:color w:val="auto"/>
              </w:rPr>
            </w:pPr>
          </w:p>
        </w:tc>
        <w:tc>
          <w:tcPr>
            <w:tcW w:w="2660" w:type="dxa"/>
            <w:vAlign w:val="bottom"/>
            <w:gridSpan w:val="3"/>
          </w:tcPr>
          <w:p>
            <w:pPr>
              <w:ind w:left="2380"/>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441"/>
          </w:cols>
          <w:pgMar w:left="219" w:top="72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3"/>
          <w:szCs w:val="13"/>
          <w:b w:val="1"/>
          <w:bCs w:val="1"/>
          <w:color w:val="auto"/>
        </w:rPr>
        <w:t>Exhibit 10.2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EXECUTIVE EMPLOYMENT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Counsel)</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Executive Employment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on September 10, 2008, by and between Grand Canyon Education,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Christopher 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Richardson (“</w:t>
      </w:r>
      <w:r>
        <w:rPr>
          <w:rFonts w:ascii="Arial" w:cs="Arial" w:eastAsia="Arial" w:hAnsi="Arial"/>
          <w:sz w:val="13"/>
          <w:szCs w:val="13"/>
          <w:u w:val="single" w:color="auto"/>
          <w:color w:val="auto"/>
        </w:rPr>
        <w:t>Executive</w:t>
      </w:r>
      <w:r>
        <w:rPr>
          <w:rFonts w:ascii="Arial" w:cs="Arial" w:eastAsia="Arial" w:hAnsi="Arial"/>
          <w:sz w:val="13"/>
          <w:szCs w:val="13"/>
          <w:color w:val="auto"/>
        </w:rPr>
        <w:t>”).</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agree as follows:</w:t>
      </w:r>
    </w:p>
    <w:p>
      <w:pPr>
        <w:spacing w:after="0" w:line="86" w:lineRule="exact"/>
        <w:rPr>
          <w:sz w:val="20"/>
          <w:szCs w:val="20"/>
          <w:color w:val="auto"/>
        </w:rPr>
      </w:pPr>
    </w:p>
    <w:p>
      <w:pPr>
        <w:ind w:left="300" w:hanging="138"/>
        <w:spacing w:after="0"/>
        <w:tabs>
          <w:tab w:leader="none" w:pos="30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Employment</w:t>
      </w:r>
      <w:r>
        <w:rPr>
          <w:rFonts w:ascii="Arial" w:cs="Arial" w:eastAsia="Arial" w:hAnsi="Arial"/>
          <w:sz w:val="13"/>
          <w:szCs w:val="13"/>
          <w:color w:val="auto"/>
        </w:rPr>
        <w:t>. The Company hereby employs Executive, and Executive hereby accepts such employment, upon the terms and conditions set forth herein.</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Duties</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Position</w:t>
      </w:r>
      <w:r>
        <w:rPr>
          <w:rFonts w:ascii="Arial" w:cs="Arial" w:eastAsia="Arial" w:hAnsi="Arial"/>
          <w:sz w:val="13"/>
          <w:szCs w:val="13"/>
          <w:color w:val="auto"/>
        </w:rPr>
        <w:t>. Executive is employed as General Counsel and Secretary and shall have the duties and responsibilities assigned by the Company’s Executive Chairman or Chief Executive Officer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Board</w:t>
      </w:r>
      <w:r>
        <w:rPr>
          <w:rFonts w:ascii="Arial" w:cs="Arial" w:eastAsia="Arial" w:hAnsi="Arial"/>
          <w:sz w:val="13"/>
          <w:szCs w:val="13"/>
          <w:color w:val="auto"/>
        </w:rPr>
        <w:t>. Executive shall serve as a member of the Board of Directors, subject to the review and recommendation of the Company’s Nominating and Corporate Governance Committee.</w:t>
      </w:r>
    </w:p>
    <w:p>
      <w:pPr>
        <w:spacing w:after="0" w:line="86" w:lineRule="exact"/>
        <w:rPr>
          <w:sz w:val="20"/>
          <w:szCs w:val="20"/>
          <w:color w:val="auto"/>
        </w:rPr>
      </w:pPr>
    </w:p>
    <w:p>
      <w:pPr>
        <w:ind w:right="60" w:firstLine="328"/>
        <w:spacing w:after="0" w:line="258"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Best Efforts/Full-time</w:t>
      </w:r>
      <w:r>
        <w:rPr>
          <w:rFonts w:ascii="Arial" w:cs="Arial" w:eastAsia="Arial" w:hAnsi="Arial"/>
          <w:sz w:val="13"/>
          <w:szCs w:val="13"/>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Company in advance of Executive’s intent to engage in other paid work and receives the Company’s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Work Location</w:t>
      </w:r>
      <w:r>
        <w:rPr>
          <w:rFonts w:ascii="Arial" w:cs="Arial" w:eastAsia="Arial" w:hAnsi="Arial"/>
          <w:sz w:val="13"/>
          <w:szCs w:val="13"/>
          <w:color w:val="auto"/>
        </w:rPr>
        <w:t>. Executive’s principal place of work shall be located in Phoenix, Arizona, or such other location as the Company may direct from time to time.</w:t>
      </w:r>
    </w:p>
    <w:p>
      <w:pPr>
        <w:spacing w:after="0" w:line="86" w:lineRule="exact"/>
        <w:rPr>
          <w:sz w:val="20"/>
          <w:szCs w:val="20"/>
          <w:color w:val="auto"/>
        </w:rPr>
      </w:pPr>
    </w:p>
    <w:p>
      <w:pPr>
        <w:ind w:left="300" w:hanging="138"/>
        <w:spacing w:after="0"/>
        <w:tabs>
          <w:tab w:leader="none" w:pos="30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86"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Initial Term</w:t>
      </w:r>
      <w:r>
        <w:rPr>
          <w:rFonts w:ascii="Arial" w:cs="Arial" w:eastAsia="Arial" w:hAnsi="Arial"/>
          <w:sz w:val="13"/>
          <w:szCs w:val="13"/>
          <w:color w:val="auto"/>
        </w:rPr>
        <w:t>. The employment relationship pursuant to this Agreement shall be for an initial term commencing on September 10, 2008 (the “</w:t>
      </w:r>
      <w:r>
        <w:rPr>
          <w:rFonts w:ascii="Arial" w:cs="Arial" w:eastAsia="Arial" w:hAnsi="Arial"/>
          <w:sz w:val="13"/>
          <w:szCs w:val="13"/>
          <w:u w:val="single" w:color="auto"/>
          <w:color w:val="auto"/>
        </w:rPr>
        <w:t>Effective Date</w:t>
      </w:r>
      <w:r>
        <w:rPr>
          <w:rFonts w:ascii="Arial" w:cs="Arial" w:eastAsia="Arial" w:hAnsi="Arial"/>
          <w:sz w:val="13"/>
          <w:szCs w:val="13"/>
          <w:color w:val="auto"/>
        </w:rPr>
        <w:t>”) and continuing for a period of four (4) years following such date (“</w:t>
      </w:r>
      <w:r>
        <w:rPr>
          <w:rFonts w:ascii="Arial" w:cs="Arial" w:eastAsia="Arial" w:hAnsi="Arial"/>
          <w:sz w:val="13"/>
          <w:szCs w:val="13"/>
          <w:u w:val="single" w:color="auto"/>
          <w:color w:val="auto"/>
        </w:rPr>
        <w:t>Initial Term</w:t>
      </w:r>
      <w:r>
        <w:rPr>
          <w:rFonts w:ascii="Arial" w:cs="Arial" w:eastAsia="Arial" w:hAnsi="Arial"/>
          <w:sz w:val="13"/>
          <w:szCs w:val="13"/>
          <w:color w:val="auto"/>
        </w:rPr>
        <w:t>”), unless sooner terminated in accordance with section 7 below.</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Renewal</w:t>
      </w:r>
      <w:r>
        <w:rPr>
          <w:rFonts w:ascii="Arial" w:cs="Arial" w:eastAsia="Arial" w:hAnsi="Arial"/>
          <w:sz w:val="13"/>
          <w:szCs w:val="13"/>
          <w:color w:val="auto"/>
        </w:rPr>
        <w:t>. On expiration of the Initial Term specified in subsection 3.1 above, this Agreement will automatically renew for subsequent one (1) year terms (each a</w:t>
      </w:r>
    </w:p>
    <w:p>
      <w:pPr>
        <w:spacing w:after="0" w:line="136"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47" w:name="page248"/>
    <w:bookmarkEnd w:id="247"/>
    <w:p>
      <w:pPr>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Renewal Term</w:t>
      </w:r>
      <w:r>
        <w:rPr>
          <w:rFonts w:ascii="Arial" w:cs="Arial" w:eastAsia="Arial" w:hAnsi="Arial"/>
          <w:sz w:val="13"/>
          <w:szCs w:val="13"/>
          <w:color w:val="auto"/>
        </w:rPr>
        <w:t>”) unless either party provides thirty (30) days’ advance written notice to the other that the Company or Executive does not wish to renew the Agreement for subsequent Renewal Term. In the event either party gives notice of nonrenewal pursuant to this subsection 3.2, this Agreement will expire at the end of the then current term. The Initial Term and each subsequent Renewal Term are referred to collectively as the “</w:t>
      </w: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57" w:lineRule="exact"/>
        <w:rPr>
          <w:sz w:val="20"/>
          <w:szCs w:val="20"/>
          <w:color w:val="auto"/>
        </w:rPr>
      </w:pPr>
    </w:p>
    <w:p>
      <w:pPr>
        <w:ind w:left="300" w:hanging="138"/>
        <w:spacing w:after="0"/>
        <w:tabs>
          <w:tab w:leader="none" w:pos="300"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Compensation</w:t>
      </w:r>
      <w:r>
        <w:rPr>
          <w:rFonts w:ascii="Arial" w:cs="Arial" w:eastAsia="Arial" w:hAnsi="Arial"/>
          <w:sz w:val="13"/>
          <w:szCs w:val="13"/>
          <w:color w:val="auto"/>
        </w:rPr>
        <w:t>.</w:t>
      </w:r>
    </w:p>
    <w:p>
      <w:pPr>
        <w:spacing w:after="0" w:line="86" w:lineRule="exact"/>
        <w:rPr>
          <w:sz w:val="20"/>
          <w:szCs w:val="20"/>
          <w:color w:val="auto"/>
        </w:rPr>
      </w:pPr>
    </w:p>
    <w:p>
      <w:pPr>
        <w:ind w:right="260" w:firstLine="328"/>
        <w:spacing w:after="0" w:line="322"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Base Salary</w:t>
      </w:r>
      <w:r>
        <w:rPr>
          <w:rFonts w:ascii="Arial" w:cs="Arial" w:eastAsia="Arial" w:hAnsi="Arial"/>
          <w:sz w:val="11"/>
          <w:szCs w:val="11"/>
          <w:color w:val="auto"/>
        </w:rPr>
        <w:t>. As compensation for Executive’s performance of Executive’s duties hereunder, the Company shall pay to Executive an initial Base Salary at the rate of Two-Hundred Ninety-Seven Thousand Five-Hundred Dollars ($297,500.00)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1"/>
          <w:szCs w:val="11"/>
          <w:u w:val="single" w:color="auto"/>
          <w:color w:val="auto"/>
        </w:rPr>
        <w:t>Compensation Committee</w:t>
      </w:r>
      <w:r>
        <w:rPr>
          <w:rFonts w:ascii="Arial" w:cs="Arial" w:eastAsia="Arial" w:hAnsi="Arial"/>
          <w:sz w:val="11"/>
          <w:szCs w:val="11"/>
          <w:color w:val="auto"/>
        </w:rPr>
        <w:t>”).</w:t>
      </w:r>
    </w:p>
    <w:p>
      <w:pPr>
        <w:spacing w:after="0" w:line="29"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Incentive Compensation</w:t>
      </w:r>
      <w:r>
        <w:rPr>
          <w:rFonts w:ascii="Arial" w:cs="Arial" w:eastAsia="Arial" w:hAnsi="Arial"/>
          <w:sz w:val="13"/>
          <w:szCs w:val="13"/>
          <w:color w:val="auto"/>
        </w:rPr>
        <w:t>. Executive will be eligible to earn incentive compensation in the form of an annual bonus for each fiscal year of the Company as determined by the Compensation Committee. The Compensation Committee will base such determination upon both the Company’s achievement of overall performance metrics for the year and Executive’s achievement of individual performance metrics as agreed upon by the Compensation Committee and the Executive. Bonus amounts, if any, are to be awarded annually and payment shall be made within two and one-half months following the end of the applicable Company fiscal year.</w:t>
      </w:r>
    </w:p>
    <w:p>
      <w:pPr>
        <w:spacing w:after="0" w:line="60" w:lineRule="exact"/>
        <w:rPr>
          <w:sz w:val="20"/>
          <w:szCs w:val="20"/>
          <w:color w:val="auto"/>
        </w:rPr>
      </w:pPr>
    </w:p>
    <w:p>
      <w:pPr>
        <w:ind w:right="160" w:firstLine="162"/>
        <w:spacing w:after="0" w:line="276" w:lineRule="auto"/>
        <w:tabs>
          <w:tab w:leader="none" w:pos="295"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Customary Fringe Benefits</w:t>
      </w:r>
      <w:r>
        <w:rPr>
          <w:rFonts w:ascii="Arial" w:cs="Arial" w:eastAsia="Arial" w:hAnsi="Arial"/>
          <w:sz w:val="13"/>
          <w:szCs w:val="13"/>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49" w:lineRule="exact"/>
        <w:rPr>
          <w:rFonts w:ascii="Arial" w:cs="Arial" w:eastAsia="Arial" w:hAnsi="Arial"/>
          <w:sz w:val="13"/>
          <w:szCs w:val="13"/>
          <w:color w:val="auto"/>
        </w:rPr>
      </w:pPr>
    </w:p>
    <w:p>
      <w:pPr>
        <w:ind w:right="40" w:firstLine="162"/>
        <w:spacing w:after="0" w:line="260" w:lineRule="auto"/>
        <w:tabs>
          <w:tab w:leader="none" w:pos="295"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Business Expenses</w:t>
      </w:r>
      <w:r>
        <w:rPr>
          <w:rFonts w:ascii="Arial" w:cs="Arial" w:eastAsia="Arial" w:hAnsi="Arial"/>
          <w:sz w:val="13"/>
          <w:szCs w:val="13"/>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Termination of Executive’s Employment</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Termination for Cause by Company</w:t>
      </w:r>
      <w:r>
        <w:rPr>
          <w:rFonts w:ascii="Arial" w:cs="Arial" w:eastAsia="Arial" w:hAnsi="Arial"/>
          <w:sz w:val="13"/>
          <w:szCs w:val="13"/>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3"/>
          <w:szCs w:val="13"/>
          <w:u w:val="single" w:color="auto"/>
          <w:color w:val="auto"/>
        </w:rPr>
        <w:t>Cause</w:t>
      </w:r>
      <w:r>
        <w:rPr>
          <w:rFonts w:ascii="Arial" w:cs="Arial" w:eastAsia="Arial" w:hAnsi="Arial"/>
          <w:sz w:val="13"/>
          <w:szCs w:val="13"/>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8" w:name="page249"/>
    <w:bookmarkEnd w:id="248"/>
    <w:p>
      <w:pPr>
        <w:spacing w:after="0" w:line="279" w:lineRule="auto"/>
        <w:rPr>
          <w:sz w:val="20"/>
          <w:szCs w:val="20"/>
          <w:color w:val="auto"/>
        </w:rPr>
      </w:pPr>
      <w:r>
        <w:rPr>
          <w:rFonts w:ascii="Arial" w:cs="Arial" w:eastAsia="Arial" w:hAnsi="Arial"/>
          <w:sz w:val="12"/>
          <w:szCs w:val="12"/>
          <w:color w:val="auto"/>
        </w:rPr>
        <w:t>including, without limitation, any breach of Section 8, Section 9, or Section 11; (c) 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50"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Termination Without Cause by Company/Severance</w:t>
      </w:r>
      <w:r>
        <w:rPr>
          <w:rFonts w:ascii="Arial" w:cs="Arial" w:eastAsia="Arial" w:hAnsi="Arial"/>
          <w:sz w:val="12"/>
          <w:szCs w:val="12"/>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2"/>
          <w:szCs w:val="12"/>
          <w:u w:val="single" w:color="auto"/>
          <w:color w:val="auto"/>
        </w:rPr>
        <w:t>Severance Package</w:t>
      </w:r>
      <w:r>
        <w:rPr>
          <w:rFonts w:ascii="Arial" w:cs="Arial" w:eastAsia="Arial" w:hAnsi="Arial"/>
          <w:sz w:val="12"/>
          <w:szCs w:val="12"/>
          <w:color w:val="auto"/>
        </w:rPr>
        <w:t>” that shall include (a) a severance payment equivalent to twelve (12) months of Executive’s Base Salary then in effect on the date of termination, payable in accordance with the Company’s regular payroll cycle commencing with the first payroll date occurring on or after the 60th day following the date of Executive’s termination of employment, and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2"/>
          <w:szCs w:val="12"/>
          <w:u w:val="single" w:color="auto"/>
          <w:color w:val="auto"/>
        </w:rPr>
        <w:t>COBRA</w:t>
      </w:r>
      <w:r>
        <w:rPr>
          <w:rFonts w:ascii="Arial" w:cs="Arial" w:eastAsia="Arial" w:hAnsi="Arial"/>
          <w:sz w:val="12"/>
          <w:szCs w:val="12"/>
          <w:color w:val="auto"/>
        </w:rPr>
        <w:t>”), provided that Executive timely elects to continue and remains eligible for these benefits under COBRA, and does not become eligible for health coverage through another employer during this period.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50"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Voluntary Resignation by Executive for Good Reason/Severance</w:t>
      </w:r>
      <w:r>
        <w:rPr>
          <w:rFonts w:ascii="Arial" w:cs="Arial" w:eastAsia="Arial" w:hAnsi="Arial"/>
          <w:sz w:val="13"/>
          <w:szCs w:val="13"/>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49" w:name="page250"/>
    <w:bookmarkEnd w:id="249"/>
    <w:p>
      <w:pPr>
        <w:spacing w:after="0" w:line="282" w:lineRule="auto"/>
        <w:rPr>
          <w:sz w:val="20"/>
          <w:szCs w:val="20"/>
          <w:color w:val="auto"/>
        </w:rPr>
      </w:pPr>
      <w:r>
        <w:rPr>
          <w:rFonts w:ascii="Arial" w:cs="Arial" w:eastAsia="Arial" w:hAnsi="Arial"/>
          <w:sz w:val="12"/>
          <w:szCs w:val="12"/>
          <w:color w:val="auto"/>
        </w:rPr>
        <w:t>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2"/>
          <w:szCs w:val="12"/>
          <w:u w:val="single" w:color="auto"/>
          <w:color w:val="auto"/>
        </w:rPr>
        <w:t>Good</w:t>
      </w:r>
      <w:r>
        <w:rPr>
          <w:rFonts w:ascii="Arial" w:cs="Arial" w:eastAsia="Arial" w:hAnsi="Arial"/>
          <w:sz w:val="12"/>
          <w:szCs w:val="12"/>
          <w:color w:val="auto"/>
        </w:rPr>
        <w:t xml:space="preserve"> </w:t>
      </w:r>
      <w:r>
        <w:rPr>
          <w:rFonts w:ascii="Arial" w:cs="Arial" w:eastAsia="Arial" w:hAnsi="Arial"/>
          <w:sz w:val="12"/>
          <w:szCs w:val="12"/>
          <w:u w:val="single" w:color="auto"/>
          <w:color w:val="auto"/>
        </w:rPr>
        <w:t>Reason</w:t>
      </w:r>
      <w:r>
        <w:rPr>
          <w:rFonts w:ascii="Arial" w:cs="Arial" w:eastAsia="Arial" w:hAnsi="Arial"/>
          <w:sz w:val="12"/>
          <w:szCs w:val="12"/>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49"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Voluntary Resignation by Executive Without Good Reason</w:t>
      </w:r>
      <w:r>
        <w:rPr>
          <w:rFonts w:ascii="Arial" w:cs="Arial" w:eastAsia="Arial" w:hAnsi="Arial"/>
          <w:sz w:val="13"/>
          <w:szCs w:val="13"/>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Termination After a Change in Control</w:t>
      </w:r>
      <w:r>
        <w:rPr>
          <w:rFonts w:ascii="Arial" w:cs="Arial" w:eastAsia="Arial" w:hAnsi="Arial"/>
          <w:sz w:val="13"/>
          <w:szCs w:val="13"/>
          <w:color w:val="auto"/>
        </w:rPr>
        <w:t>.</w:t>
      </w:r>
    </w:p>
    <w:p>
      <w:pPr>
        <w:spacing w:after="0" w:line="86" w:lineRule="exact"/>
        <w:rPr>
          <w:sz w:val="20"/>
          <w:szCs w:val="20"/>
          <w:color w:val="auto"/>
        </w:rPr>
      </w:pPr>
    </w:p>
    <w:p>
      <w:pPr>
        <w:ind w:right="80" w:firstLine="490"/>
        <w:spacing w:after="0" w:line="258" w:lineRule="auto"/>
        <w:tabs>
          <w:tab w:leader="none" w:pos="669"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Severance Payment; Option Vesting Acceleration</w:t>
      </w:r>
      <w:r>
        <w:rPr>
          <w:rFonts w:ascii="Arial" w:cs="Arial" w:eastAsia="Arial" w:hAnsi="Arial"/>
          <w:sz w:val="13"/>
          <w:szCs w:val="13"/>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any stock options or other equity grants granted to Executive by the Company shall vest in full as of the date of such termination of employment, provided Executive complies with the conditions described in subsection 7.2 above.</w:t>
      </w:r>
    </w:p>
    <w:p>
      <w:pPr>
        <w:spacing w:after="0" w:line="61" w:lineRule="exact"/>
        <w:rPr>
          <w:rFonts w:ascii="Arial" w:cs="Arial" w:eastAsia="Arial" w:hAnsi="Arial"/>
          <w:sz w:val="13"/>
          <w:szCs w:val="13"/>
          <w:color w:val="auto"/>
        </w:rPr>
      </w:pPr>
    </w:p>
    <w:p>
      <w:pPr>
        <w:ind w:right="100" w:firstLine="490"/>
        <w:spacing w:after="0" w:line="264" w:lineRule="auto"/>
        <w:tabs>
          <w:tab w:leader="none" w:pos="677"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Parachute Payments</w:t>
      </w:r>
      <w:r>
        <w:rPr>
          <w:rFonts w:ascii="Arial" w:cs="Arial" w:eastAsia="Arial" w:hAnsi="Arial"/>
          <w:sz w:val="13"/>
          <w:szCs w:val="13"/>
          <w:color w:val="auto"/>
        </w:rPr>
        <w:t>. If, due to the benefits provided under subsection 7.5(a) and any other payments or benefits, Executive would be subject to any excise tax pursuant to Section 4999 of the Internal Revenue Code of 1986, as amended (the “</w:t>
      </w:r>
      <w:r>
        <w:rPr>
          <w:rFonts w:ascii="Arial" w:cs="Arial" w:eastAsia="Arial" w:hAnsi="Arial"/>
          <w:sz w:val="13"/>
          <w:szCs w:val="13"/>
          <w:u w:val="single" w:color="auto"/>
          <w:color w:val="auto"/>
        </w:rPr>
        <w:t>Code</w:t>
      </w:r>
      <w:r>
        <w:rPr>
          <w:rFonts w:ascii="Arial" w:cs="Arial" w:eastAsia="Arial" w:hAnsi="Arial"/>
          <w:sz w:val="13"/>
          <w:szCs w:val="13"/>
          <w:color w:val="auto"/>
        </w:rPr>
        <w:t>”) due to characterization of any such amounts as excess parachute payments pursuant to Section 280G of the Code, the amounts payable under subsection 7.5(a) will be reduced (to the least extent possible) in order to avoid any “excess parachute payment” under Section 280G(b)(1) of the Code.</w:t>
      </w:r>
    </w:p>
    <w:p>
      <w:pPr>
        <w:spacing w:after="0" w:line="57" w:lineRule="exact"/>
        <w:rPr>
          <w:rFonts w:ascii="Arial" w:cs="Arial" w:eastAsia="Arial" w:hAnsi="Arial"/>
          <w:sz w:val="13"/>
          <w:szCs w:val="13"/>
          <w:color w:val="auto"/>
        </w:rPr>
      </w:pPr>
    </w:p>
    <w:p>
      <w:pPr>
        <w:ind w:left="660" w:hanging="170"/>
        <w:spacing w:after="0"/>
        <w:tabs>
          <w:tab w:leader="none" w:pos="66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A Change in Control is defined as any one of the following occurrences:</w:t>
      </w:r>
    </w:p>
    <w:p>
      <w:pPr>
        <w:spacing w:after="0" w:line="86" w:lineRule="exact"/>
        <w:rPr>
          <w:rFonts w:ascii="Arial" w:cs="Arial" w:eastAsia="Arial" w:hAnsi="Arial"/>
          <w:sz w:val="13"/>
          <w:szCs w:val="13"/>
          <w:color w:val="auto"/>
        </w:rPr>
      </w:pPr>
    </w:p>
    <w:p>
      <w:pPr>
        <w:ind w:right="220" w:firstLine="654"/>
        <w:spacing w:after="0" w:line="276" w:lineRule="auto"/>
        <w:tabs>
          <w:tab w:leader="none" w:pos="804" w:val="left"/>
        </w:tabs>
        <w:numPr>
          <w:ilvl w:val="1"/>
          <w:numId w:val="157"/>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Securities Exchange Act of 1934 (the “</w:t>
      </w:r>
      <w:r>
        <w:rPr>
          <w:rFonts w:ascii="Arial" w:cs="Arial" w:eastAsia="Arial" w:hAnsi="Arial"/>
          <w:sz w:val="13"/>
          <w:szCs w:val="13"/>
          <w:u w:val="single" w:color="auto"/>
          <w:color w:val="auto"/>
        </w:rPr>
        <w:t>Exchange Act</w:t>
      </w:r>
      <w:r>
        <w:rPr>
          <w:rFonts w:ascii="Arial" w:cs="Arial" w:eastAsia="Arial" w:hAnsi="Arial"/>
          <w:sz w:val="13"/>
          <w:szCs w:val="13"/>
          <w:color w:val="auto"/>
        </w:rPr>
        <w:t>”)), becomes the “beneficial owner” (as such term is defined in Rule 13d-3 promulgated under the Exchange Act), directly or indirectly, of securities of the Company representing more than fifty percent (50%) of the total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50" w:name="page251"/>
    <w:bookmarkEnd w:id="250"/>
    <w:p>
      <w:pPr>
        <w:spacing w:after="0" w:line="258" w:lineRule="auto"/>
        <w:rPr>
          <w:sz w:val="20"/>
          <w:szCs w:val="20"/>
          <w:color w:val="auto"/>
        </w:rPr>
      </w:pPr>
      <w:r>
        <w:rPr>
          <w:rFonts w:ascii="Arial" w:cs="Arial" w:eastAsia="Arial" w:hAnsi="Arial"/>
          <w:sz w:val="13"/>
          <w:szCs w:val="13"/>
          <w:color w:val="auto"/>
        </w:rPr>
        <w:t>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61" w:lineRule="exact"/>
        <w:rPr>
          <w:sz w:val="20"/>
          <w:szCs w:val="20"/>
          <w:color w:val="auto"/>
        </w:rPr>
      </w:pPr>
    </w:p>
    <w:p>
      <w:pPr>
        <w:ind w:right="560" w:firstLine="654"/>
        <w:spacing w:after="0" w:line="276" w:lineRule="auto"/>
        <w:tabs>
          <w:tab w:leader="none" w:pos="848"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sale or disposition of all or substantially all of the Company’s assets (other than a sale or disposition to one or more subsidiaries of the Company), or any transaction having similar effect is consummated; or</w:t>
      </w:r>
    </w:p>
    <w:p>
      <w:pPr>
        <w:spacing w:after="0" w:line="49" w:lineRule="exact"/>
        <w:rPr>
          <w:rFonts w:ascii="Arial" w:cs="Arial" w:eastAsia="Arial" w:hAnsi="Arial"/>
          <w:sz w:val="13"/>
          <w:szCs w:val="13"/>
          <w:color w:val="auto"/>
        </w:rPr>
      </w:pPr>
    </w:p>
    <w:p>
      <w:pPr>
        <w:ind w:right="260" w:firstLine="654"/>
        <w:spacing w:after="0" w:line="264" w:lineRule="auto"/>
        <w:tabs>
          <w:tab w:leader="none" w:pos="884"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57" w:lineRule="exact"/>
        <w:rPr>
          <w:rFonts w:ascii="Arial" w:cs="Arial" w:eastAsia="Arial" w:hAnsi="Arial"/>
          <w:sz w:val="13"/>
          <w:szCs w:val="13"/>
          <w:color w:val="auto"/>
        </w:rPr>
      </w:pPr>
    </w:p>
    <w:p>
      <w:pPr>
        <w:ind w:left="880" w:hanging="226"/>
        <w:spacing w:after="0"/>
        <w:tabs>
          <w:tab w:leader="none" w:pos="8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dissolution or liquidation of the Company.</w:t>
      </w:r>
    </w:p>
    <w:p>
      <w:pPr>
        <w:spacing w:after="0" w:line="86" w:lineRule="exact"/>
        <w:rPr>
          <w:sz w:val="20"/>
          <w:szCs w:val="20"/>
          <w:color w:val="auto"/>
        </w:rPr>
      </w:pPr>
    </w:p>
    <w:p>
      <w:pPr>
        <w:ind w:right="100" w:firstLine="328"/>
        <w:spacing w:after="0" w:line="260"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Termination of Employment Upon Nonrenewal</w:t>
      </w:r>
      <w:r>
        <w:rPr>
          <w:rFonts w:ascii="Arial" w:cs="Arial" w:eastAsia="Arial" w:hAnsi="Arial"/>
          <w:sz w:val="13"/>
          <w:szCs w:val="13"/>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60"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Resignation of Board or Other Positions</w:t>
      </w:r>
      <w:r>
        <w:rPr>
          <w:rFonts w:ascii="Arial" w:cs="Arial" w:eastAsia="Arial" w:hAnsi="Arial"/>
          <w:sz w:val="13"/>
          <w:szCs w:val="13"/>
          <w:color w:val="auto"/>
        </w:rPr>
        <w:t>. Executive agrees that should Executive’s employment terminate for any reason, Executive will immediately resign all other positions (including board membership) Executive may hold on behalf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Application of Section 409A</w:t>
      </w:r>
      <w:r>
        <w:rPr>
          <w:rFonts w:ascii="Arial" w:cs="Arial" w:eastAsia="Arial" w:hAnsi="Arial"/>
          <w:sz w:val="13"/>
          <w:szCs w:val="13"/>
          <w:color w:val="auto"/>
        </w:rPr>
        <w:t>.</w:t>
      </w:r>
    </w:p>
    <w:p>
      <w:pPr>
        <w:spacing w:after="0" w:line="86" w:lineRule="exact"/>
        <w:rPr>
          <w:sz w:val="20"/>
          <w:szCs w:val="20"/>
          <w:color w:val="auto"/>
        </w:rPr>
      </w:pPr>
    </w:p>
    <w:p>
      <w:pPr>
        <w:ind w:right="180" w:firstLine="490"/>
        <w:spacing w:after="0" w:line="285" w:lineRule="auto"/>
        <w:tabs>
          <w:tab w:leader="none" w:pos="669" w:val="left"/>
        </w:tabs>
        <w:numPr>
          <w:ilvl w:val="0"/>
          <w:numId w:val="159"/>
        </w:numPr>
        <w:rPr>
          <w:rFonts w:ascii="Arial" w:cs="Arial" w:eastAsia="Arial" w:hAnsi="Arial"/>
          <w:sz w:val="12"/>
          <w:szCs w:val="12"/>
          <w:color w:val="auto"/>
        </w:rPr>
      </w:pPr>
      <w:r>
        <w:rPr>
          <w:rFonts w:ascii="Arial" w:cs="Arial" w:eastAsia="Arial" w:hAnsi="Arial"/>
          <w:sz w:val="12"/>
          <w:szCs w:val="12"/>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2"/>
          <w:szCs w:val="12"/>
          <w:u w:val="single" w:color="auto"/>
          <w:color w:val="auto"/>
        </w:rPr>
        <w:t>Section 409A Regulations</w:t>
      </w:r>
      <w:r>
        <w:rPr>
          <w:rFonts w:ascii="Arial" w:cs="Arial" w:eastAsia="Arial" w:hAnsi="Arial"/>
          <w:sz w:val="12"/>
          <w:szCs w:val="12"/>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2"/>
          <w:szCs w:val="12"/>
          <w:u w:val="single" w:color="auto"/>
          <w:color w:val="auto"/>
        </w:rPr>
        <w:t>Delayed</w:t>
      </w:r>
      <w:r>
        <w:rPr>
          <w:rFonts w:ascii="Arial" w:cs="Arial" w:eastAsia="Arial" w:hAnsi="Arial"/>
          <w:sz w:val="12"/>
          <w:szCs w:val="12"/>
          <w:color w:val="auto"/>
        </w:rPr>
        <w:t xml:space="preserve"> </w:t>
      </w:r>
      <w:r>
        <w:rPr>
          <w:rFonts w:ascii="Arial" w:cs="Arial" w:eastAsia="Arial" w:hAnsi="Arial"/>
          <w:sz w:val="12"/>
          <w:szCs w:val="12"/>
          <w:u w:val="single" w:color="auto"/>
          <w:color w:val="auto"/>
        </w:rPr>
        <w:t>Payment Date</w:t>
      </w:r>
      <w:r>
        <w:rPr>
          <w:rFonts w:ascii="Arial" w:cs="Arial" w:eastAsia="Arial" w:hAnsi="Arial"/>
          <w:sz w:val="12"/>
          <w:szCs w:val="12"/>
          <w:color w:val="auto"/>
        </w:rPr>
        <w:t>”) which is first day of the seventh month after the date of Executive’s separation from service or, if earlier, the date of Executive’s death following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1" w:name="page252"/>
    <w:bookmarkEnd w:id="251"/>
    <w:p>
      <w:pPr>
        <w:spacing w:after="0"/>
        <w:rPr>
          <w:sz w:val="20"/>
          <w:szCs w:val="20"/>
          <w:color w:val="auto"/>
        </w:rPr>
      </w:pPr>
      <w:r>
        <w:rPr>
          <w:rFonts w:ascii="Arial" w:cs="Arial" w:eastAsia="Arial" w:hAnsi="Arial"/>
          <w:sz w:val="13"/>
          <w:szCs w:val="13"/>
          <w:color w:val="auto"/>
        </w:rPr>
        <w:t>such separation from service. All such amounts that would, but for this subsection, become payable prior to the Delayed Payment Date will be accumulated and paid on the Delayed Payment Date.</w:t>
      </w:r>
    </w:p>
    <w:p>
      <w:pPr>
        <w:spacing w:after="0" w:line="86" w:lineRule="exact"/>
        <w:rPr>
          <w:sz w:val="20"/>
          <w:szCs w:val="20"/>
          <w:color w:val="auto"/>
        </w:rPr>
      </w:pPr>
    </w:p>
    <w:p>
      <w:pPr>
        <w:jc w:val="both"/>
        <w:ind w:right="40" w:firstLine="490"/>
        <w:spacing w:after="0" w:line="260" w:lineRule="auto"/>
        <w:tabs>
          <w:tab w:leader="none" w:pos="674" w:val="left"/>
        </w:tabs>
        <w:numPr>
          <w:ilvl w:val="1"/>
          <w:numId w:val="160"/>
        </w:numPr>
        <w:rPr>
          <w:rFonts w:ascii="Arial" w:cs="Arial" w:eastAsia="Arial" w:hAnsi="Arial"/>
          <w:sz w:val="13"/>
          <w:szCs w:val="13"/>
          <w:color w:val="auto"/>
        </w:rPr>
      </w:pPr>
      <w:r>
        <w:rPr>
          <w:rFonts w:ascii="Arial" w:cs="Arial" w:eastAsia="Arial" w:hAnsi="Arial"/>
          <w:sz w:val="13"/>
          <w:szCs w:val="13"/>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3"/>
          <w:szCs w:val="13"/>
          <w:b w:val="1"/>
          <w:bCs w:val="1"/>
          <w:color w:val="auto"/>
        </w:rPr>
        <w:t>However, the Company does not guarantee any particular tax effect for income provided to Executive pursuant to</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this Agreement. </w:t>
      </w:r>
      <w:r>
        <w:rPr>
          <w:rFonts w:ascii="Arial" w:cs="Arial" w:eastAsia="Arial" w:hAnsi="Arial"/>
          <w:sz w:val="13"/>
          <w:szCs w:val="13"/>
          <w:color w:val="auto"/>
        </w:rPr>
        <w:t>In any event, except for the Company’s responsibility to withhold applicable income and employment taxes from compensation paid or provided to Executive, the Company shall not be responsible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payment of any applicable taxes incurred by Executive on compensation paid or provided to Executive pursuant to this Agreement.</w:t>
      </w:r>
    </w:p>
    <w:p>
      <w:pPr>
        <w:spacing w:after="0" w:line="59" w:lineRule="exact"/>
        <w:rPr>
          <w:rFonts w:ascii="Arial" w:cs="Arial" w:eastAsia="Arial" w:hAnsi="Arial"/>
          <w:sz w:val="13"/>
          <w:szCs w:val="13"/>
          <w:color w:val="auto"/>
        </w:rPr>
      </w:pPr>
    </w:p>
    <w:p>
      <w:pPr>
        <w:ind w:right="20" w:firstLine="162"/>
        <w:spacing w:after="0" w:line="260" w:lineRule="auto"/>
        <w:tabs>
          <w:tab w:leader="none" w:pos="29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No Violation of Rights of Third Parties</w:t>
      </w:r>
      <w:r>
        <w:rPr>
          <w:rFonts w:ascii="Arial" w:cs="Arial" w:eastAsia="Arial" w:hAnsi="Arial"/>
          <w:sz w:val="13"/>
          <w:szCs w:val="13"/>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Other Covenants</w:t>
      </w:r>
      <w:r>
        <w:rPr>
          <w:rFonts w:ascii="Arial" w:cs="Arial" w:eastAsia="Arial" w:hAnsi="Arial"/>
          <w:sz w:val="13"/>
          <w:szCs w:val="13"/>
          <w:color w:val="auto"/>
        </w:rPr>
        <w:t>. Executive hereby makes the following covenants, each of which Executive acknowledges and agrees are a material part of this Agreement:</w:t>
      </w:r>
    </w:p>
    <w:p>
      <w:pPr>
        <w:spacing w:after="0" w:line="86"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40"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61"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9.3 During the Term of Executive’s employment with the Company and after the termination thereof, neither Executive nor the Company will disparage each other, or the Company’s products, services, agents or employees.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2" w:name="page253"/>
    <w:bookmarkEnd w:id="252"/>
    <w:p>
      <w:pPr>
        <w:ind w:right="60" w:firstLine="328"/>
        <w:spacing w:after="0" w:line="264" w:lineRule="auto"/>
        <w:rPr>
          <w:sz w:val="20"/>
          <w:szCs w:val="20"/>
          <w:color w:val="auto"/>
        </w:rPr>
      </w:pPr>
      <w:r>
        <w:rPr>
          <w:rFonts w:ascii="Arial" w:cs="Arial" w:eastAsia="Arial" w:hAnsi="Arial"/>
          <w:sz w:val="13"/>
          <w:szCs w:val="13"/>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57" w:lineRule="exact"/>
        <w:rPr>
          <w:sz w:val="20"/>
          <w:szCs w:val="20"/>
          <w:color w:val="auto"/>
        </w:rPr>
      </w:pPr>
    </w:p>
    <w:p>
      <w:pPr>
        <w:ind w:right="20" w:firstLine="162"/>
        <w:spacing w:after="0" w:line="276" w:lineRule="auto"/>
        <w:tabs>
          <w:tab w:leader="none" w:pos="36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Confidentiality and Proprietary Rights</w:t>
      </w:r>
      <w:r>
        <w:rPr>
          <w:rFonts w:ascii="Arial" w:cs="Arial" w:eastAsia="Arial" w:hAnsi="Arial"/>
          <w:sz w:val="13"/>
          <w:szCs w:val="13"/>
          <w:color w:val="auto"/>
        </w:rPr>
        <w:t>. Executive agrees to read, sign and abide by the Company’s Employee Nondisclosure and Assignment Agreement, which is provided with this Agreement and incorporated herein by reference.</w:t>
      </w:r>
    </w:p>
    <w:p>
      <w:pPr>
        <w:spacing w:after="0" w:line="49" w:lineRule="exact"/>
        <w:rPr>
          <w:rFonts w:ascii="Arial" w:cs="Arial" w:eastAsia="Arial" w:hAnsi="Arial"/>
          <w:sz w:val="13"/>
          <w:szCs w:val="13"/>
          <w:color w:val="auto"/>
        </w:rPr>
      </w:pPr>
    </w:p>
    <w:p>
      <w:pPr>
        <w:ind w:firstLine="162"/>
        <w:spacing w:after="0" w:line="305" w:lineRule="auto"/>
        <w:tabs>
          <w:tab w:leader="none" w:pos="355" w:val="left"/>
        </w:tabs>
        <w:numPr>
          <w:ilvl w:val="0"/>
          <w:numId w:val="162"/>
        </w:numPr>
        <w:rPr>
          <w:rFonts w:ascii="Arial" w:cs="Arial" w:eastAsia="Arial" w:hAnsi="Arial"/>
          <w:sz w:val="11"/>
          <w:szCs w:val="11"/>
          <w:color w:val="auto"/>
        </w:rPr>
      </w:pPr>
      <w:r>
        <w:rPr>
          <w:rFonts w:ascii="Arial" w:cs="Arial" w:eastAsia="Arial" w:hAnsi="Arial"/>
          <w:sz w:val="11"/>
          <w:szCs w:val="11"/>
          <w:u w:val="single" w:color="auto"/>
          <w:color w:val="auto"/>
        </w:rPr>
        <w:t>Non-Competition; Nonsolicitation of Company’s Employees</w:t>
      </w:r>
      <w:r>
        <w:rPr>
          <w:rFonts w:ascii="Arial" w:cs="Arial" w:eastAsia="Arial" w:hAnsi="Arial"/>
          <w:sz w:val="11"/>
          <w:szCs w:val="11"/>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0" w:lineRule="exact"/>
        <w:rPr>
          <w:rFonts w:ascii="Arial" w:cs="Arial" w:eastAsia="Arial" w:hAnsi="Arial"/>
          <w:sz w:val="11"/>
          <w:szCs w:val="11"/>
          <w:color w:val="auto"/>
        </w:rPr>
      </w:pPr>
    </w:p>
    <w:p>
      <w:pPr>
        <w:ind w:right="20" w:firstLine="162"/>
        <w:spacing w:after="0" w:line="264" w:lineRule="auto"/>
        <w:tabs>
          <w:tab w:leader="none" w:pos="36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Injunctive Relief</w:t>
      </w:r>
      <w:r>
        <w:rPr>
          <w:rFonts w:ascii="Arial" w:cs="Arial" w:eastAsia="Arial" w:hAnsi="Arial"/>
          <w:sz w:val="13"/>
          <w:szCs w:val="13"/>
          <w:color w:val="auto"/>
        </w:rPr>
        <w:t>. Executive acknowledges that Executive’s breach of the covenants contained in sections 9-11 hereof (collectively “</w:t>
      </w:r>
      <w:r>
        <w:rPr>
          <w:rFonts w:ascii="Arial" w:cs="Arial" w:eastAsia="Arial" w:hAnsi="Arial"/>
          <w:sz w:val="13"/>
          <w:szCs w:val="13"/>
          <w:u w:val="single" w:color="auto"/>
          <w:color w:val="auto"/>
        </w:rPr>
        <w:t>Covenants</w:t>
      </w:r>
      <w:r>
        <w:rPr>
          <w:rFonts w:ascii="Arial" w:cs="Arial" w:eastAsia="Arial" w:hAnsi="Arial"/>
          <w:sz w:val="13"/>
          <w:szCs w:val="13"/>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53" w:name="page254"/>
    <w:bookmarkEnd w:id="253"/>
    <w:p>
      <w:pPr>
        <w:ind w:left="360" w:hanging="198"/>
        <w:spacing w:after="0"/>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Insurance; Indemnification</w:t>
      </w:r>
      <w:r>
        <w:rPr>
          <w:rFonts w:ascii="Arial" w:cs="Arial" w:eastAsia="Arial" w:hAnsi="Arial"/>
          <w:sz w:val="13"/>
          <w:szCs w:val="13"/>
          <w:color w:val="auto"/>
        </w:rPr>
        <w:t>.</w:t>
      </w:r>
    </w:p>
    <w:p>
      <w:pPr>
        <w:spacing w:after="0" w:line="86"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13.1 During the Term of Executive’s employment hereunder, Executive will be covered by the Company’s director and officer insurance policy to the same extent as all other senior executive officers of the Company</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49" w:lineRule="exact"/>
        <w:rPr>
          <w:sz w:val="20"/>
          <w:szCs w:val="20"/>
          <w:color w:val="auto"/>
        </w:rPr>
      </w:pPr>
    </w:p>
    <w:p>
      <w:pPr>
        <w:ind w:left="360" w:hanging="198"/>
        <w:spacing w:after="0"/>
        <w:tabs>
          <w:tab w:leader="none" w:pos="360"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49"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Waiver</w:t>
      </w:r>
      <w:r>
        <w:rPr>
          <w:rFonts w:ascii="Arial" w:cs="Arial" w:eastAsia="Arial" w:hAnsi="Arial"/>
          <w:sz w:val="13"/>
          <w:szCs w:val="13"/>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Attorneys’ Fees</w:t>
      </w:r>
      <w:r>
        <w:rPr>
          <w:rFonts w:ascii="Arial" w:cs="Arial" w:eastAsia="Arial" w:hAnsi="Arial"/>
          <w:sz w:val="13"/>
          <w:szCs w:val="13"/>
          <w:color w:val="auto"/>
        </w:rPr>
        <w:t>. In the event of a dispute involving the interpretation or enforcement of this Agreement, a court shall award attorneys’ fees and costs to the prevailing party.</w:t>
      </w:r>
    </w:p>
    <w:p>
      <w:pPr>
        <w:spacing w:after="0" w:line="86" w:lineRule="exact"/>
        <w:rPr>
          <w:sz w:val="20"/>
          <w:szCs w:val="20"/>
          <w:color w:val="auto"/>
        </w:rPr>
      </w:pPr>
    </w:p>
    <w:p>
      <w:pPr>
        <w:ind w:right="420" w:firstLine="328"/>
        <w:spacing w:after="0" w:line="296"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40" w:lineRule="exact"/>
        <w:rPr>
          <w:sz w:val="20"/>
          <w:szCs w:val="20"/>
          <w:color w:val="auto"/>
        </w:rPr>
      </w:pPr>
    </w:p>
    <w:p>
      <w:pPr>
        <w:ind w:right="260" w:firstLine="328"/>
        <w:spacing w:after="0" w:line="260"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Interpretation; Construction</w:t>
      </w:r>
      <w:r>
        <w:rPr>
          <w:rFonts w:ascii="Arial" w:cs="Arial" w:eastAsia="Arial" w:hAnsi="Arial"/>
          <w:sz w:val="13"/>
          <w:szCs w:val="13"/>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60"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14.6 </w:t>
      </w:r>
      <w:r>
        <w:rPr>
          <w:rFonts w:ascii="Arial" w:cs="Arial" w:eastAsia="Arial" w:hAnsi="Arial"/>
          <w:sz w:val="13"/>
          <w:szCs w:val="13"/>
          <w:u w:val="single" w:color="auto"/>
          <w:color w:val="auto"/>
        </w:rPr>
        <w:t>Governing Law; Forum</w:t>
      </w:r>
      <w:r>
        <w:rPr>
          <w:rFonts w:ascii="Arial" w:cs="Arial" w:eastAsia="Arial" w:hAnsi="Arial"/>
          <w:sz w:val="13"/>
          <w:szCs w:val="13"/>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4" w:name="page255"/>
    <w:bookmarkEnd w:id="254"/>
    <w:p>
      <w:pPr>
        <w:ind w:left="321"/>
        <w:spacing w:after="0"/>
        <w:rPr>
          <w:sz w:val="20"/>
          <w:szCs w:val="20"/>
          <w:color w:val="auto"/>
        </w:rPr>
      </w:pPr>
      <w:r>
        <w:rPr>
          <w:rFonts w:ascii="Arial" w:cs="Arial" w:eastAsia="Arial" w:hAnsi="Arial"/>
          <w:sz w:val="12"/>
          <w:szCs w:val="12"/>
          <w:color w:val="auto"/>
        </w:rPr>
        <w:t xml:space="preserve">14.7 </w:t>
      </w: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or permitted by this Agreement shall be in writing and shall be delivered as follows with notice deemed given as indicated: (a) by personal delivery when delivered personally;</w:t>
      </w:r>
    </w:p>
    <w:p>
      <w:pPr>
        <w:spacing w:after="0" w:line="27" w:lineRule="exact"/>
        <w:rPr>
          <w:sz w:val="20"/>
          <w:szCs w:val="20"/>
          <w:color w:val="auto"/>
        </w:rPr>
      </w:pPr>
    </w:p>
    <w:p>
      <w:pPr>
        <w:ind w:left="1" w:right="260" w:hanging="1"/>
        <w:spacing w:after="0" w:line="264" w:lineRule="auto"/>
        <w:tabs>
          <w:tab w:leader="none" w:pos="18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57" w:lineRule="exact"/>
        <w:rPr>
          <w:sz w:val="20"/>
          <w:szCs w:val="20"/>
          <w:color w:val="auto"/>
        </w:rPr>
      </w:pPr>
    </w:p>
    <w:p>
      <w:pPr>
        <w:ind w:left="1" w:right="100" w:firstLine="328"/>
        <w:spacing w:after="0" w:line="276"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u w:val="single" w:color="auto"/>
          <w:color w:val="auto"/>
        </w:rPr>
        <w:t>Survival</w:t>
      </w:r>
      <w:r>
        <w:rPr>
          <w:rFonts w:ascii="Arial" w:cs="Arial" w:eastAsia="Arial" w:hAnsi="Arial"/>
          <w:sz w:val="13"/>
          <w:szCs w:val="13"/>
          <w:color w:val="auto"/>
        </w:rPr>
        <w:t>. Sections 9 (“Other Covenants”), 10 (“Confidentiality and Proprietary Rights”), 11 (“Non-Competition; Nonsolicitation”), 12 (“Injunctive Relief”), 13 (“Insurance; Indemnification”), 14 (“General Provisions”) and 15 (“Entire Agreement”) of this Agreement shall survive termination of Executive’s employment with the Company.</w:t>
      </w:r>
    </w:p>
    <w:p>
      <w:pPr>
        <w:spacing w:after="0" w:line="49" w:lineRule="exact"/>
        <w:rPr>
          <w:sz w:val="20"/>
          <w:szCs w:val="20"/>
          <w:color w:val="auto"/>
        </w:rPr>
      </w:pPr>
    </w:p>
    <w:p>
      <w:pPr>
        <w:ind w:left="1" w:right="60" w:firstLine="162"/>
        <w:spacing w:after="0" w:line="264" w:lineRule="auto"/>
        <w:tabs>
          <w:tab w:leader="none" w:pos="362"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including the Employee Nondisclosure and Assignment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57"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THE PARTIES TO THIS AGREEMENT HAVE READ THE FOREGOING AGREEMENT AND FULLY UNDERSTAND EACH AND EVERY PROVISION CONTAINED HEREIN. WHEREFORE, THE PARTIES HAVE EXECUTED THIS AGREEMENT ON THE DATES SHOWN BELOW.</w:t>
      </w:r>
    </w:p>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6520" w:type="dxa"/>
            <w:vAlign w:val="bottom"/>
            <w:gridSpan w:val="5"/>
          </w:tcPr>
          <w:p>
            <w:pPr>
              <w:ind w:left="1900"/>
              <w:spacing w:after="0"/>
              <w:rPr>
                <w:sz w:val="20"/>
                <w:szCs w:val="20"/>
                <w:color w:val="auto"/>
              </w:rPr>
            </w:pPr>
            <w:r>
              <w:rPr>
                <w:rFonts w:ascii="Arial" w:cs="Arial" w:eastAsia="Arial" w:hAnsi="Arial"/>
                <w:sz w:val="13"/>
                <w:szCs w:val="13"/>
                <w:b w:val="1"/>
                <w:bCs w:val="1"/>
                <w:color w:val="auto"/>
              </w:rPr>
              <w:t>CHRISTOPHER C. RICHARDSON</w:t>
            </w:r>
          </w:p>
        </w:tc>
      </w:tr>
      <w:tr>
        <w:trPr>
          <w:trHeight w:val="315"/>
        </w:trPr>
        <w:tc>
          <w:tcPr>
            <w:tcW w:w="3320" w:type="dxa"/>
            <w:vAlign w:val="bottom"/>
          </w:tcPr>
          <w:p>
            <w:pPr>
              <w:spacing w:after="0"/>
              <w:rPr>
                <w:sz w:val="20"/>
                <w:szCs w:val="20"/>
                <w:color w:val="auto"/>
              </w:rPr>
            </w:pPr>
            <w:r>
              <w:rPr>
                <w:rFonts w:ascii="Arial" w:cs="Arial" w:eastAsia="Arial" w:hAnsi="Arial"/>
                <w:sz w:val="13"/>
                <w:szCs w:val="13"/>
                <w:color w:val="auto"/>
              </w:rPr>
              <w:t>Dated: September 10, 2008</w:t>
            </w:r>
          </w:p>
        </w:tc>
        <w:tc>
          <w:tcPr>
            <w:tcW w:w="6520" w:type="dxa"/>
            <w:vAlign w:val="bottom"/>
            <w:gridSpan w:val="5"/>
          </w:tcPr>
          <w:p>
            <w:pPr>
              <w:ind w:left="1900"/>
              <w:spacing w:after="0"/>
              <w:rPr>
                <w:sz w:val="20"/>
                <w:szCs w:val="20"/>
                <w:color w:val="auto"/>
              </w:rPr>
            </w:pPr>
            <w:r>
              <w:rPr>
                <w:rFonts w:ascii="Arial" w:cs="Arial" w:eastAsia="Arial" w:hAnsi="Arial"/>
                <w:sz w:val="13"/>
                <w:szCs w:val="13"/>
                <w:color w:val="auto"/>
              </w:rPr>
              <w:t>By: /s/ Christopher C. Richardson</w:t>
            </w:r>
          </w:p>
        </w:tc>
      </w:tr>
      <w:tr>
        <w:trPr>
          <w:trHeight w:val="304"/>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3"/>
              </w:rPr>
              <w:t>Address:</w:t>
            </w:r>
          </w:p>
        </w:tc>
        <w:tc>
          <w:tcPr>
            <w:tcW w:w="40" w:type="dxa"/>
            <w:vAlign w:val="bottom"/>
            <w:tcBorders>
              <w:top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r>
        <w:trPr>
          <w:trHeight w:val="148"/>
        </w:trPr>
        <w:tc>
          <w:tcPr>
            <w:tcW w:w="3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r>
      <w:tr>
        <w:trPr>
          <w:trHeight w:val="460"/>
        </w:trPr>
        <w:tc>
          <w:tcPr>
            <w:tcW w:w="3320" w:type="dxa"/>
            <w:vAlign w:val="bottom"/>
          </w:tcPr>
          <w:p>
            <w:pPr>
              <w:spacing w:after="0"/>
              <w:rPr>
                <w:sz w:val="24"/>
                <w:szCs w:val="24"/>
                <w:color w:val="auto"/>
              </w:rPr>
            </w:pPr>
          </w:p>
        </w:tc>
        <w:tc>
          <w:tcPr>
            <w:tcW w:w="6520" w:type="dxa"/>
            <w:vAlign w:val="bottom"/>
            <w:gridSpan w:val="5"/>
          </w:tcPr>
          <w:p>
            <w:pPr>
              <w:ind w:left="1920"/>
              <w:spacing w:after="0"/>
              <w:rPr>
                <w:sz w:val="20"/>
                <w:szCs w:val="20"/>
                <w:color w:val="auto"/>
              </w:rPr>
            </w:pPr>
            <w:r>
              <w:rPr>
                <w:rFonts w:ascii="Arial" w:cs="Arial" w:eastAsia="Arial" w:hAnsi="Arial"/>
                <w:sz w:val="13"/>
                <w:szCs w:val="13"/>
                <w:b w:val="1"/>
                <w:bCs w:val="1"/>
                <w:color w:val="auto"/>
              </w:rPr>
              <w:t>GRAND CANYON EDUCATION, INC.</w:t>
            </w:r>
          </w:p>
        </w:tc>
      </w:tr>
      <w:tr>
        <w:trPr>
          <w:trHeight w:val="315"/>
        </w:trPr>
        <w:tc>
          <w:tcPr>
            <w:tcW w:w="3320" w:type="dxa"/>
            <w:vAlign w:val="bottom"/>
          </w:tcPr>
          <w:p>
            <w:pPr>
              <w:spacing w:after="0"/>
              <w:rPr>
                <w:sz w:val="20"/>
                <w:szCs w:val="20"/>
                <w:color w:val="auto"/>
              </w:rPr>
            </w:pPr>
            <w:r>
              <w:rPr>
                <w:rFonts w:ascii="Arial" w:cs="Arial" w:eastAsia="Arial" w:hAnsi="Arial"/>
                <w:sz w:val="13"/>
                <w:szCs w:val="13"/>
                <w:color w:val="auto"/>
              </w:rPr>
              <w:t>Dated: September 10, 2008</w:t>
            </w:r>
          </w:p>
        </w:tc>
        <w:tc>
          <w:tcPr>
            <w:tcW w:w="6520" w:type="dxa"/>
            <w:vAlign w:val="bottom"/>
            <w:gridSpan w:val="5"/>
          </w:tcPr>
          <w:p>
            <w:pPr>
              <w:ind w:left="1920"/>
              <w:spacing w:after="0"/>
              <w:rPr>
                <w:sz w:val="20"/>
                <w:szCs w:val="20"/>
                <w:color w:val="auto"/>
              </w:rPr>
            </w:pPr>
            <w:r>
              <w:rPr>
                <w:rFonts w:ascii="Arial" w:cs="Arial" w:eastAsia="Arial" w:hAnsi="Arial"/>
                <w:sz w:val="13"/>
                <w:szCs w:val="13"/>
                <w:color w:val="auto"/>
              </w:rPr>
              <w:t>By /s/ Brian E. Mueller</w:t>
            </w:r>
          </w:p>
        </w:tc>
      </w:tr>
      <w:tr>
        <w:trPr>
          <w:trHeight w:val="139"/>
        </w:trPr>
        <w:tc>
          <w:tcPr>
            <w:tcW w:w="3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3"/>
                <w:szCs w:val="13"/>
                <w:color w:val="auto"/>
              </w:rPr>
              <w:t>Name:</w:t>
            </w:r>
          </w:p>
        </w:tc>
        <w:tc>
          <w:tcPr>
            <w:tcW w:w="386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3"/>
                <w:szCs w:val="13"/>
                <w:color w:val="auto"/>
              </w:rPr>
              <w:t>Brian E. Mueller</w:t>
            </w:r>
          </w:p>
        </w:tc>
      </w:tr>
      <w:tr>
        <w:trPr>
          <w:trHeight w:val="165"/>
        </w:trPr>
        <w:tc>
          <w:tcPr>
            <w:tcW w:w="3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rPr>
              <w:t>Title:</w:t>
            </w: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Chief Executive Officer</w:t>
            </w:r>
          </w:p>
        </w:tc>
      </w:tr>
      <w:tr>
        <w:trPr>
          <w:trHeight w:val="307"/>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w w:val="97"/>
              </w:rPr>
              <w:t>Address:</w:t>
            </w: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3300 West Camelback Road</w:t>
            </w:r>
          </w:p>
        </w:tc>
      </w:tr>
      <w:tr>
        <w:trPr>
          <w:trHeight w:val="165"/>
        </w:trPr>
        <w:tc>
          <w:tcPr>
            <w:tcW w:w="3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60" w:type="dxa"/>
            <w:vAlign w:val="bottom"/>
            <w:gridSpan w:val="2"/>
          </w:tcPr>
          <w:p>
            <w:pPr>
              <w:ind w:left="20"/>
              <w:spacing w:after="0"/>
              <w:rPr>
                <w:sz w:val="20"/>
                <w:szCs w:val="20"/>
                <w:color w:val="auto"/>
              </w:rPr>
            </w:pPr>
            <w:r>
              <w:rPr>
                <w:rFonts w:ascii="Arial" w:cs="Arial" w:eastAsia="Arial" w:hAnsi="Arial"/>
                <w:sz w:val="13"/>
                <w:szCs w:val="13"/>
                <w:color w:val="auto"/>
              </w:rPr>
              <w:t>Phoenix, Arizona 85017</w:t>
            </w:r>
          </w:p>
        </w:tc>
      </w:tr>
      <w:tr>
        <w:trPr>
          <w:trHeight w:val="452"/>
        </w:trPr>
        <w:tc>
          <w:tcPr>
            <w:tcW w:w="3320" w:type="dxa"/>
            <w:vAlign w:val="bottom"/>
          </w:tcPr>
          <w:p>
            <w:pPr>
              <w:spacing w:after="0"/>
              <w:rPr>
                <w:sz w:val="24"/>
                <w:szCs w:val="24"/>
                <w:color w:val="auto"/>
              </w:rPr>
            </w:pPr>
          </w:p>
        </w:tc>
        <w:tc>
          <w:tcPr>
            <w:tcW w:w="2660" w:type="dxa"/>
            <w:vAlign w:val="bottom"/>
            <w:gridSpan w:val="3"/>
          </w:tcPr>
          <w:p>
            <w:pPr>
              <w:ind w:left="2380"/>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441"/>
          </w:cols>
          <w:pgMar w:left="219" w:top="721"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3"/>
          <w:szCs w:val="13"/>
          <w:b w:val="1"/>
          <w:bCs w:val="1"/>
          <w:color w:val="auto"/>
        </w:rPr>
        <w:t>Exhibit 10.3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SENIOR MANAGEMENT AGREEMENT</w:t>
      </w:r>
    </w:p>
    <w:p>
      <w:pPr>
        <w:spacing w:after="0" w:line="79"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This Amended and Restated Senior Management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September 10, 2008, between Grand Canyon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John Crowley (“</w:t>
      </w:r>
      <w:r>
        <w:rPr>
          <w:rFonts w:ascii="Arial" w:cs="Arial" w:eastAsia="Arial" w:hAnsi="Arial"/>
          <w:sz w:val="13"/>
          <w:szCs w:val="13"/>
          <w:u w:val="single" w:color="auto"/>
          <w:color w:val="auto"/>
        </w:rPr>
        <w:t>Executive</w:t>
      </w:r>
      <w:r>
        <w:rPr>
          <w:rFonts w:ascii="Arial" w:cs="Arial" w:eastAsia="Arial" w:hAnsi="Arial"/>
          <w:sz w:val="13"/>
          <w:szCs w:val="13"/>
          <w:color w:val="auto"/>
        </w:rPr>
        <w:t>”). Terms used in this Agreement and not otherwise defined shall have the meanings set forth in Article 4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previously entered into an agreement to provide for the terms and conditions of Executive’s at will employment with the Company;</w:t>
      </w:r>
    </w:p>
    <w:p>
      <w:pPr>
        <w:spacing w:after="0" w:line="86"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WHEREAS, the success of the business of the Company is dependent on the goodwill established by Executive and the Company’s directors, executive officers and employees with the Company’s customers and the public generally; and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desire to amend and restate the agreement on the terms set forth in this Agreement.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the Company and Executive hereby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w:t>
      </w:r>
    </w:p>
    <w:p>
      <w:pPr>
        <w:spacing w:after="0" w:line="86" w:lineRule="exact"/>
        <w:rPr>
          <w:sz w:val="20"/>
          <w:szCs w:val="20"/>
          <w:color w:val="auto"/>
        </w:rPr>
      </w:pPr>
    </w:p>
    <w:p>
      <w:pPr>
        <w:ind w:right="120" w:firstLine="164"/>
        <w:spacing w:after="0" w:line="262"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Employment</w:t>
      </w:r>
      <w:r>
        <w:rPr>
          <w:rFonts w:ascii="Arial" w:cs="Arial" w:eastAsia="Arial" w:hAnsi="Arial"/>
          <w:sz w:val="13"/>
          <w:szCs w:val="13"/>
          <w:color w:val="auto"/>
        </w:rPr>
        <w:t>. The Company hereby engages Executive to serve as Chief Operating Officer and Executive Vice President of the Company, and Executive agrees to serve the Company as such at the direction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of Directors (“</w:t>
      </w:r>
      <w:r>
        <w:rPr>
          <w:rFonts w:ascii="Arial" w:cs="Arial" w:eastAsia="Arial" w:hAnsi="Arial"/>
          <w:sz w:val="13"/>
          <w:szCs w:val="13"/>
          <w:u w:val="single" w:color="auto"/>
          <w:color w:val="auto"/>
        </w:rPr>
        <w:t>Board</w:t>
      </w:r>
      <w:r>
        <w:rPr>
          <w:rFonts w:ascii="Arial" w:cs="Arial" w:eastAsia="Arial" w:hAnsi="Arial"/>
          <w:sz w:val="13"/>
          <w:szCs w:val="13"/>
          <w:color w:val="auto"/>
        </w:rPr>
        <w:t>”), for the period beginning on the date hereof and until Separation, in the capacities, and subject to the terms and conditions, set forth in this Agreement (such period to be referred to as the “</w:t>
      </w:r>
      <w:r>
        <w:rPr>
          <w:rFonts w:ascii="Arial" w:cs="Arial" w:eastAsia="Arial" w:hAnsi="Arial"/>
          <w:sz w:val="13"/>
          <w:szCs w:val="13"/>
          <w:u w:val="single" w:color="auto"/>
          <w:color w:val="auto"/>
        </w:rPr>
        <w:t>Service Term</w:t>
      </w:r>
      <w:r>
        <w:rPr>
          <w:rFonts w:ascii="Arial" w:cs="Arial" w:eastAsia="Arial" w:hAnsi="Arial"/>
          <w:sz w:val="13"/>
          <w:szCs w:val="13"/>
          <w:color w:val="auto"/>
        </w:rPr>
        <w:t>”). The Company and Executive agree that this Agreement supersedes any employment agreement previously existing between Executive and Company or any of its predecessors (including Significant Education, LLC), and such employment agreement(s) shall be deemed to terminate as of the date of this Agreement.</w:t>
      </w:r>
    </w:p>
    <w:p>
      <w:pPr>
        <w:spacing w:after="0" w:line="55" w:lineRule="exact"/>
        <w:rPr>
          <w:sz w:val="20"/>
          <w:szCs w:val="20"/>
          <w:color w:val="auto"/>
        </w:rPr>
      </w:pPr>
    </w:p>
    <w:p>
      <w:pPr>
        <w:ind w:right="180" w:firstLine="164"/>
        <w:spacing w:after="0" w:line="267"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Service Term, Executive shall have all of the duties and responsibilities customarily rendered by senior management of companies of similar size and nature, with similar title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responsibility and as are provided in the Company’s Bylaws and/or may be delegated from time to time by the Chief Executive Officer or the Board; </w:t>
      </w:r>
      <w:r>
        <w:rPr>
          <w:rFonts w:ascii="Arial" w:cs="Arial" w:eastAsia="Arial" w:hAnsi="Arial"/>
          <w:sz w:val="13"/>
          <w:szCs w:val="13"/>
          <w:i w:val="1"/>
          <w:iCs w:val="1"/>
          <w:color w:val="auto"/>
        </w:rPr>
        <w:t>provided, however</w:t>
      </w:r>
      <w:r>
        <w:rPr>
          <w:rFonts w:ascii="Arial" w:cs="Arial" w:eastAsia="Arial" w:hAnsi="Arial"/>
          <w:sz w:val="13"/>
          <w:szCs w:val="13"/>
          <w:color w:val="auto"/>
        </w:rPr>
        <w:t>, the following actions of the Company must be approved in advance by the Board:</w:t>
      </w:r>
    </w:p>
    <w:p>
      <w:pPr>
        <w:spacing w:after="0" w:line="56" w:lineRule="exact"/>
        <w:rPr>
          <w:sz w:val="20"/>
          <w:szCs w:val="20"/>
          <w:color w:val="auto"/>
        </w:rPr>
      </w:pPr>
    </w:p>
    <w:p>
      <w:pPr>
        <w:ind w:left="500" w:hanging="174"/>
        <w:spacing w:after="0"/>
        <w:tabs>
          <w:tab w:leader="none" w:pos="50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Acquisitions or dispositions of the assets or Capital Stock of any entity (other than inventory or transactions entered into in the ordinary course of business);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Agreements to borrow money on behalf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56" w:name="page257"/>
    <w:bookmarkEnd w:id="256"/>
    <w:p>
      <w:pPr>
        <w:ind w:left="500" w:hanging="174"/>
        <w:spacing w:after="0"/>
        <w:tabs>
          <w:tab w:leader="none" w:pos="50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Senior management agreements or employment agreements (other than standard confidentiality and non-competition agreements with employees), including any amendments thereof;</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Appointment, separation and remuneration of senior management;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Bonus or other incentive plans for senior management or other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Increase the compensation of any of the Company’s employees in excess of that compensation customarily paid to employees in companies of similar size, or similar maturity, and in a similar business;</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Make, enter into or amend any joint venture agreement or contract, agreement or arrangement with any consultant providing for gross compensation in excess of $50,000 over the term of the agreement;</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Issuances of Capital Stock, stock options, warrants or other securities or plans or agreements relating to the same;</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establishment of annual corporate objectives;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establishment of annual operating and capital expenditure budgets;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Enter into any agreement or arrangement with any governmental authority;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Dividends, distributions and redemptions of Capital Stock; and</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All actions involving statutory corporate matters, including but not limited to, amendments to the Company’s Certificate of Incorporation or Bylaws or qualifying to do business in other jurisdictions.</w:t>
      </w:r>
    </w:p>
    <w:p>
      <w:pPr>
        <w:spacing w:after="0" w:line="98"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Executive will devote substantially all of his business time and attention (except for vacation periods and periods of illness or other incapacity) to the business of the Company. Notwithstanding the foregoing, and provided that such activities do not unreasonably interfere with the fulfillment of Executive’s obligations hereunder, including the non-compete provisions below, Executive may serve as a director or trustee of any charitable or non-profit entity with the consent of the Board, acquire investment interests in one or more entities which are not, directly or indirectly, in competition with the Company or are customers or suppliers of the Company, own up to 5% of the outstanding voting securities of any publicly-held company, and from time to time, consult with other non-competing businesses (including Crowley Transportation Systems, LLC). Executive will perform his services for the Company at the Company’s principal place of business in Phoenix, Arizona (“</w:t>
      </w:r>
      <w:r>
        <w:rPr>
          <w:rFonts w:ascii="Arial" w:cs="Arial" w:eastAsia="Arial" w:hAnsi="Arial"/>
          <w:sz w:val="12"/>
          <w:szCs w:val="12"/>
          <w:u w:val="single" w:color="auto"/>
          <w:color w:val="auto"/>
        </w:rPr>
        <w:t>Current Location</w:t>
      </w:r>
      <w:r>
        <w:rPr>
          <w:rFonts w:ascii="Arial" w:cs="Arial" w:eastAsia="Arial" w:hAnsi="Arial"/>
          <w:sz w:val="12"/>
          <w:szCs w:val="12"/>
          <w:color w:val="auto"/>
        </w:rPr>
        <w:t>”) or any other location mutually agreed by Executive and the Company. Executive will travel to such other locations as may be reasonably necessary in order to discharge his duties hereunder. In the event that the Company proposes a location for Executive to perform services hereunder that is more than fifty (50) miles from the Current Location and Executive agrees to relocate, the Company will reimburse Executive for all reasonable relocation expenses incurred by Executive, including but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7" w:name="page258"/>
    <w:bookmarkEnd w:id="257"/>
    <w:p>
      <w:pPr>
        <w:spacing w:after="0" w:line="276" w:lineRule="auto"/>
        <w:rPr>
          <w:sz w:val="20"/>
          <w:szCs w:val="20"/>
          <w:color w:val="auto"/>
        </w:rPr>
      </w:pPr>
      <w:r>
        <w:rPr>
          <w:rFonts w:ascii="Arial" w:cs="Arial" w:eastAsia="Arial" w:hAnsi="Arial"/>
          <w:sz w:val="13"/>
          <w:szCs w:val="13"/>
          <w:color w:val="auto"/>
        </w:rPr>
        <w:t xml:space="preserve">not limited to moving expenses and real estate brokerage commissions. In all other events, relocation expenses shall be borne by Executive, </w:t>
      </w:r>
      <w:r>
        <w:rPr>
          <w:rFonts w:ascii="Arial" w:cs="Arial" w:eastAsia="Arial" w:hAnsi="Arial"/>
          <w:sz w:val="13"/>
          <w:szCs w:val="13"/>
          <w:i w:val="1"/>
          <w:iCs w:val="1"/>
          <w:color w:val="auto"/>
        </w:rPr>
        <w:t>provided, however</w:t>
      </w:r>
      <w:r>
        <w:rPr>
          <w:rFonts w:ascii="Arial" w:cs="Arial" w:eastAsia="Arial" w:hAnsi="Arial"/>
          <w:sz w:val="13"/>
          <w:szCs w:val="13"/>
          <w:color w:val="auto"/>
        </w:rPr>
        <w:t>, that Executive will be provided with all applicable moving and relocation benefits in accordance with the Company’s policies in existence at the time of the relocations.</w:t>
      </w:r>
    </w:p>
    <w:p>
      <w:pPr>
        <w:spacing w:after="0" w:line="45"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b w:val="1"/>
          <w:bCs w:val="1"/>
          <w:u w:val="single" w:color="auto"/>
          <w:color w:val="auto"/>
        </w:rPr>
        <w:t>Salary, Bonus and Benefits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Service Term, the Company will pay Executive a base salary (the “</w:t>
      </w:r>
      <w:r>
        <w:rPr>
          <w:rFonts w:ascii="Arial" w:cs="Arial" w:eastAsia="Arial" w:hAnsi="Arial"/>
          <w:sz w:val="13"/>
          <w:szCs w:val="13"/>
          <w:u w:val="single" w:color="auto"/>
          <w:color w:val="auto"/>
        </w:rPr>
        <w:t>Annual Base Salary</w:t>
      </w:r>
      <w:r>
        <w:rPr>
          <w:rFonts w:ascii="Arial" w:cs="Arial" w:eastAsia="Arial" w:hAnsi="Arial"/>
          <w:sz w:val="13"/>
          <w:szCs w:val="13"/>
          <w:color w:val="auto"/>
        </w:rPr>
        <w:t>”) as the Board may designate from time to time, at the rate of not less than Two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Hundred Ninety Seven Thousand Five Hundred Dollars ($297,500) per annum. The Annual Base Salary shall be subject to review annually by the Board;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Annual Base Salary shall not be reduced during the Service Term. Executive will be eligible to receive performance bonuses as determined by the Board based upon the Company’s achievement of performance, budgetary and other objectives set by the Board. In addition, during the Service Term, Executive will be entitled to the insurance, vacation, holidays and other benefits consistent with the Company’s past practice for its employees generally and as approved by the Board.</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b w:val="1"/>
          <w:bCs w:val="1"/>
          <w:u w:val="single" w:color="auto"/>
          <w:color w:val="auto"/>
        </w:rPr>
        <w:t>Separation</w:t>
      </w:r>
      <w:r>
        <w:rPr>
          <w:rFonts w:ascii="Arial" w:cs="Arial" w:eastAsia="Arial" w:hAnsi="Arial"/>
          <w:sz w:val="13"/>
          <w:szCs w:val="13"/>
          <w:b w:val="1"/>
          <w:bCs w:val="1"/>
          <w:color w:val="auto"/>
        </w:rPr>
        <w:t>.</w:t>
      </w:r>
    </w:p>
    <w:p>
      <w:pPr>
        <w:spacing w:after="0" w:line="90" w:lineRule="exact"/>
        <w:rPr>
          <w:sz w:val="20"/>
          <w:szCs w:val="20"/>
          <w:color w:val="auto"/>
        </w:rPr>
      </w:pPr>
    </w:p>
    <w:p>
      <w:pPr>
        <w:ind w:left="500" w:hanging="174"/>
        <w:spacing w:after="0"/>
        <w:tabs>
          <w:tab w:leader="none" w:pos="500"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Events of Separation</w:t>
      </w:r>
      <w:r>
        <w:rPr>
          <w:rFonts w:ascii="Arial" w:cs="Arial" w:eastAsia="Arial" w:hAnsi="Arial"/>
          <w:sz w:val="13"/>
          <w:szCs w:val="13"/>
          <w:color w:val="auto"/>
        </w:rPr>
        <w:t>. Executive’s employment with the Company shall cease upon the occurrence of any of the following (a “</w:t>
      </w:r>
      <w:r>
        <w:rPr>
          <w:rFonts w:ascii="Arial" w:cs="Arial" w:eastAsia="Arial" w:hAnsi="Arial"/>
          <w:sz w:val="13"/>
          <w:szCs w:val="13"/>
          <w:u w:val="single" w:color="auto"/>
          <w:color w:val="auto"/>
        </w:rPr>
        <w:t>Separation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169"/>
        </w:numPr>
        <w:rPr>
          <w:rFonts w:ascii="Arial" w:cs="Arial" w:eastAsia="Arial" w:hAnsi="Arial"/>
          <w:sz w:val="13"/>
          <w:szCs w:val="13"/>
          <w:color w:val="auto"/>
        </w:rPr>
      </w:pPr>
      <w:r>
        <w:rPr>
          <w:rFonts w:ascii="Arial" w:cs="Arial" w:eastAsia="Arial" w:hAnsi="Arial"/>
          <w:sz w:val="13"/>
          <w:szCs w:val="13"/>
          <w:color w:val="auto"/>
        </w:rPr>
        <w:t>Executive’s death.</w:t>
      </w:r>
    </w:p>
    <w:p>
      <w:pPr>
        <w:spacing w:after="0" w:line="86" w:lineRule="exact"/>
        <w:rPr>
          <w:rFonts w:ascii="Arial" w:cs="Arial" w:eastAsia="Arial" w:hAnsi="Arial"/>
          <w:sz w:val="13"/>
          <w:szCs w:val="13"/>
          <w:color w:val="auto"/>
        </w:rPr>
      </w:pPr>
    </w:p>
    <w:p>
      <w:pPr>
        <w:ind w:left="220" w:right="80" w:firstLine="335"/>
        <w:spacing w:after="0" w:line="257" w:lineRule="auto"/>
        <w:tabs>
          <w:tab w:leader="none" w:pos="740" w:val="left"/>
        </w:tabs>
        <w:numPr>
          <w:ilvl w:val="1"/>
          <w:numId w:val="169"/>
        </w:numPr>
        <w:rPr>
          <w:rFonts w:ascii="Arial" w:cs="Arial" w:eastAsia="Arial" w:hAnsi="Arial"/>
          <w:sz w:val="13"/>
          <w:szCs w:val="13"/>
          <w:color w:val="auto"/>
        </w:rPr>
      </w:pPr>
      <w:r>
        <w:rPr>
          <w:rFonts w:ascii="Arial" w:cs="Arial" w:eastAsia="Arial" w:hAnsi="Arial"/>
          <w:sz w:val="13"/>
          <w:szCs w:val="13"/>
          <w:color w:val="auto"/>
        </w:rPr>
        <w:t>Executive’s disability, which means his incapacity due to physical or mental illness or condition such that he is unable to perform his previously assigned duties where (1) such incapacity has been determined to exist by either (x) the Company’s disability insurance carrier or (y) by the concurring opinions of two licensed physicians (one selected by the Company and one by Executive), and (2) the Board has determined, based on competent medical advice, that such incapacity will continue for such period of time of at least three (3) continuous months and that it would have a material adverse effect on the Company; provided, however, that in the event Executive is insured pursuant to any disability insurance coverage maintained or paid for by the Company, any such Separation shall occur only upon eligibility of Executive to receive payment of such disability insurance benefits, subject to compliance with the terms and requirements of such disability insurance. Any such Separation for disability shall be only as expressly permitted by the Americans with Disabilities Act.</w:t>
      </w:r>
    </w:p>
    <w:p>
      <w:pPr>
        <w:spacing w:after="0" w:line="61" w:lineRule="exact"/>
        <w:rPr>
          <w:rFonts w:ascii="Arial" w:cs="Arial" w:eastAsia="Arial" w:hAnsi="Arial"/>
          <w:sz w:val="13"/>
          <w:szCs w:val="13"/>
          <w:color w:val="auto"/>
        </w:rPr>
      </w:pPr>
    </w:p>
    <w:p>
      <w:pPr>
        <w:ind w:left="220" w:right="20" w:firstLine="335"/>
        <w:spacing w:after="0" w:line="276" w:lineRule="auto"/>
        <w:tabs>
          <w:tab w:leader="none" w:pos="777" w:val="left"/>
        </w:tabs>
        <w:numPr>
          <w:ilvl w:val="1"/>
          <w:numId w:val="169"/>
        </w:numPr>
        <w:rPr>
          <w:rFonts w:ascii="Arial" w:cs="Arial" w:eastAsia="Arial" w:hAnsi="Arial"/>
          <w:sz w:val="13"/>
          <w:szCs w:val="13"/>
          <w:color w:val="auto"/>
        </w:rPr>
      </w:pPr>
      <w:r>
        <w:rPr>
          <w:rFonts w:ascii="Arial" w:cs="Arial" w:eastAsia="Arial" w:hAnsi="Arial"/>
          <w:sz w:val="13"/>
          <w:szCs w:val="13"/>
          <w:color w:val="auto"/>
        </w:rPr>
        <w:t>Separation by the Company upon the Board’s determination, in its good faith judgment, that such separation is in the best interests of the Company. Such Separation will require delivery to Executive of a written notice from the Board that Executive has been terminated (“</w:t>
      </w:r>
      <w:r>
        <w:rPr>
          <w:rFonts w:ascii="Arial" w:cs="Arial" w:eastAsia="Arial" w:hAnsi="Arial"/>
          <w:sz w:val="13"/>
          <w:szCs w:val="13"/>
          <w:u w:val="single" w:color="auto"/>
          <w:color w:val="auto"/>
        </w:rPr>
        <w:t>Notice of Separation</w:t>
      </w:r>
      <w:r>
        <w:rPr>
          <w:rFonts w:ascii="Arial" w:cs="Arial" w:eastAsia="Arial" w:hAnsi="Arial"/>
          <w:sz w:val="13"/>
          <w:szCs w:val="13"/>
          <w:color w:val="auto"/>
        </w:rPr>
        <w:t>”) with or without Cause.</w:t>
      </w:r>
    </w:p>
    <w:p>
      <w:pPr>
        <w:spacing w:after="0" w:line="49" w:lineRule="exact"/>
        <w:rPr>
          <w:rFonts w:ascii="Arial" w:cs="Arial" w:eastAsia="Arial" w:hAnsi="Arial"/>
          <w:sz w:val="13"/>
          <w:szCs w:val="13"/>
          <w:color w:val="auto"/>
        </w:rPr>
      </w:pPr>
    </w:p>
    <w:p>
      <w:pPr>
        <w:ind w:left="780" w:hanging="225"/>
        <w:spacing w:after="0"/>
        <w:tabs>
          <w:tab w:leader="none" w:pos="780" w:val="left"/>
        </w:tabs>
        <w:numPr>
          <w:ilvl w:val="1"/>
          <w:numId w:val="169"/>
        </w:numPr>
        <w:rPr>
          <w:rFonts w:ascii="Arial" w:cs="Arial" w:eastAsia="Arial" w:hAnsi="Arial"/>
          <w:sz w:val="13"/>
          <w:szCs w:val="13"/>
          <w:color w:val="auto"/>
        </w:rPr>
      </w:pPr>
      <w:r>
        <w:rPr>
          <w:rFonts w:ascii="Arial" w:cs="Arial" w:eastAsia="Arial" w:hAnsi="Arial"/>
          <w:sz w:val="13"/>
          <w:szCs w:val="13"/>
          <w:color w:val="auto"/>
        </w:rPr>
        <w:t>Executive’s voluntary resignation by the delivery to the Board of a written notice from Executive that Executive has resigned with or without Good Reason.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8" w:name="page259"/>
    <w:bookmarkEnd w:id="258"/>
    <w:p>
      <w:pPr>
        <w:ind w:left="500" w:hanging="194"/>
        <w:spacing w:after="0"/>
        <w:tabs>
          <w:tab w:leader="none" w:pos="500"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Rights on Separation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0" w:firstLine="335"/>
        <w:spacing w:after="0" w:line="257" w:lineRule="auto"/>
        <w:tabs>
          <w:tab w:leader="none" w:pos="684" w:val="left"/>
        </w:tabs>
        <w:numPr>
          <w:ilvl w:val="1"/>
          <w:numId w:val="170"/>
        </w:numPr>
        <w:rPr>
          <w:rFonts w:ascii="Arial" w:cs="Arial" w:eastAsia="Arial" w:hAnsi="Arial"/>
          <w:sz w:val="13"/>
          <w:szCs w:val="13"/>
          <w:color w:val="auto"/>
        </w:rPr>
      </w:pPr>
      <w:r>
        <w:rPr>
          <w:rFonts w:ascii="Arial" w:cs="Arial" w:eastAsia="Arial" w:hAnsi="Arial"/>
          <w:sz w:val="13"/>
          <w:szCs w:val="13"/>
          <w:color w:val="auto"/>
        </w:rPr>
        <w:t>In the event that Separation is by Executive with Good Reason or a termination by the Company without Cause, the Company will continue to pay to Executive a monthly portion of the Annual Base Salary for a period equal to six (6) months commencing on the date of Separation, subject, however, to Section 1.4(c) below. In addition, the Company shall have the option, in its sole discretion, exercisable by delivering written notice to Executive within thirty (30) days after the date of Separation by Executive with Good Reason or by the Company without Cause, to pay to Executive a monthly portion of the Annual Base Salary for an additional period of six (6) months commencing on the date which is six (6) months after the date of Separation (the “</w:t>
      </w:r>
      <w:r>
        <w:rPr>
          <w:rFonts w:ascii="Arial" w:cs="Arial" w:eastAsia="Arial" w:hAnsi="Arial"/>
          <w:sz w:val="13"/>
          <w:szCs w:val="13"/>
          <w:u w:val="single" w:color="auto"/>
          <w:color w:val="auto"/>
        </w:rPr>
        <w:t>Extension Severance</w:t>
      </w:r>
      <w:r>
        <w:rPr>
          <w:rFonts w:ascii="Arial" w:cs="Arial" w:eastAsia="Arial" w:hAnsi="Arial"/>
          <w:sz w:val="13"/>
          <w:szCs w:val="13"/>
          <w:color w:val="auto"/>
        </w:rPr>
        <w:t>”), in which case the Non-compete Period (as defined in Section 3.1) shall be extended as provided by Section 3.1. Executive and the Company agree that the amounts payable pursuant to this subparagraph (i) shall, for all purposes of Section 409A (as defined below), be treated as a right to a series of separate payments.</w:t>
      </w:r>
    </w:p>
    <w:p>
      <w:pPr>
        <w:spacing w:after="0" w:line="61" w:lineRule="exact"/>
        <w:rPr>
          <w:rFonts w:ascii="Arial" w:cs="Arial" w:eastAsia="Arial" w:hAnsi="Arial"/>
          <w:sz w:val="13"/>
          <w:szCs w:val="13"/>
          <w:color w:val="auto"/>
        </w:rPr>
      </w:pPr>
    </w:p>
    <w:p>
      <w:pPr>
        <w:ind w:left="200" w:right="220" w:firstLine="335"/>
        <w:spacing w:after="0" w:line="264" w:lineRule="auto"/>
        <w:tabs>
          <w:tab w:leader="none" w:pos="72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If the Company terminates Executive’s employment for Cause, if Executive dies or is disabled, if Executive resigns without Good Reason or in the event of a Sale of the Company (as defined in the Stockholders Agreement), the Company’s obligations to pay any compensation or benefits under this Agreement will cease effective the date of Separation. Executive’s right to receive any other benefits will be determined under the provisions of applicable plans, programs or other coverages.</w:t>
      </w:r>
    </w:p>
    <w:p>
      <w:pPr>
        <w:spacing w:after="0" w:line="57" w:lineRule="exact"/>
        <w:rPr>
          <w:rFonts w:ascii="Arial" w:cs="Arial" w:eastAsia="Arial" w:hAnsi="Arial"/>
          <w:sz w:val="13"/>
          <w:szCs w:val="13"/>
          <w:color w:val="auto"/>
        </w:rPr>
      </w:pPr>
    </w:p>
    <w:p>
      <w:pPr>
        <w:ind w:left="200" w:right="80" w:firstLine="335"/>
        <w:spacing w:after="0" w:line="264" w:lineRule="auto"/>
        <w:tabs>
          <w:tab w:leader="none" w:pos="757" w:val="left"/>
        </w:tabs>
        <w:numPr>
          <w:ilvl w:val="1"/>
          <w:numId w:val="170"/>
        </w:numPr>
        <w:rPr>
          <w:rFonts w:ascii="Arial" w:cs="Arial" w:eastAsia="Arial" w:hAnsi="Arial"/>
          <w:sz w:val="13"/>
          <w:szCs w:val="13"/>
          <w:color w:val="auto"/>
        </w:rPr>
      </w:pPr>
      <w:r>
        <w:rPr>
          <w:rFonts w:ascii="Arial" w:cs="Arial" w:eastAsia="Arial" w:hAnsi="Arial"/>
          <w:sz w:val="13"/>
          <w:szCs w:val="13"/>
          <w:color w:val="auto"/>
        </w:rPr>
        <w:t>Notwithstanding the foregoing, the Company’s obligation to Executive for severance pay or other rights under either subparagraphs (i) or (ii) above (the “Severance Pay”) shall cease if Executive is in violation of the provisions of Articles 2 or 3 hereof. The Severance Pay, if any, shall be paid by the Company to Executive in equal installments payable commencing on the Company’s regularly scheduled payroll date next following the date of Executive’s Separation, subject, however, to Section 1.4(c) below.</w:t>
      </w:r>
    </w:p>
    <w:p>
      <w:pPr>
        <w:spacing w:after="0" w:line="57" w:lineRule="exact"/>
        <w:rPr>
          <w:rFonts w:ascii="Arial" w:cs="Arial" w:eastAsia="Arial" w:hAnsi="Arial"/>
          <w:sz w:val="13"/>
          <w:szCs w:val="13"/>
          <w:color w:val="auto"/>
        </w:rPr>
      </w:pPr>
    </w:p>
    <w:p>
      <w:pPr>
        <w:ind w:left="200" w:right="300" w:firstLine="335"/>
        <w:spacing w:after="0" w:line="276" w:lineRule="auto"/>
        <w:tabs>
          <w:tab w:leader="none" w:pos="749" w:val="left"/>
        </w:tabs>
        <w:numPr>
          <w:ilvl w:val="1"/>
          <w:numId w:val="170"/>
        </w:numPr>
        <w:rPr>
          <w:rFonts w:ascii="Arial" w:cs="Arial" w:eastAsia="Arial" w:hAnsi="Arial"/>
          <w:sz w:val="13"/>
          <w:szCs w:val="13"/>
          <w:color w:val="auto"/>
        </w:rPr>
      </w:pPr>
      <w:r>
        <w:rPr>
          <w:rFonts w:ascii="Arial" w:cs="Arial" w:eastAsia="Arial" w:hAnsi="Arial"/>
          <w:sz w:val="13"/>
          <w:szCs w:val="13"/>
          <w:color w:val="auto"/>
        </w:rPr>
        <w:t>Until such time as Executive has received all of his Severance Pay, he will be entitled to continue to receive the benefits to which he is entitled or is participating in accordance with the provisions of Section 1.3 of this Agreement, subject, however, to Section 1.4(c) below.</w:t>
      </w:r>
    </w:p>
    <w:p>
      <w:pPr>
        <w:spacing w:after="0" w:line="49" w:lineRule="exact"/>
        <w:rPr>
          <w:rFonts w:ascii="Arial" w:cs="Arial" w:eastAsia="Arial" w:hAnsi="Arial"/>
          <w:sz w:val="13"/>
          <w:szCs w:val="13"/>
          <w:color w:val="auto"/>
        </w:rPr>
      </w:pPr>
    </w:p>
    <w:p>
      <w:pPr>
        <w:ind w:left="-20" w:right="540" w:firstLine="326"/>
        <w:spacing w:after="0" w:line="264" w:lineRule="auto"/>
        <w:tabs>
          <w:tab w:leader="none" w:pos="486"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Compliance with Section 409A of the Internal Revenue Code (“Section 409A”)</w:t>
      </w:r>
      <w:r>
        <w:rPr>
          <w:rFonts w:ascii="Arial" w:cs="Arial" w:eastAsia="Arial" w:hAnsi="Arial"/>
          <w:sz w:val="13"/>
          <w:szCs w:val="13"/>
          <w:color w:val="auto"/>
        </w:rPr>
        <w:t>. Notwithstanding any other provision of this Agreement to the contrary, the provision, time and manner of payment or distribution of all compensation and benefits provided by this Agreement that constitute deferred compensation subject to and not exempted from the requirements of Section 409A (“</w:t>
      </w:r>
      <w:r>
        <w:rPr>
          <w:rFonts w:ascii="Arial" w:cs="Arial" w:eastAsia="Arial" w:hAnsi="Arial"/>
          <w:sz w:val="13"/>
          <w:szCs w:val="13"/>
          <w:u w:val="single" w:color="auto"/>
          <w:color w:val="auto"/>
        </w:rPr>
        <w:t>Section 409A Deferred</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Compensation</w:t>
      </w:r>
      <w:r>
        <w:rPr>
          <w:rFonts w:ascii="Arial" w:cs="Arial" w:eastAsia="Arial" w:hAnsi="Arial"/>
          <w:sz w:val="13"/>
          <w:szCs w:val="13"/>
          <w:color w:val="auto"/>
        </w:rPr>
        <w:t>”) shall be subject to, limited by and construed in accordance with the requirements of Section 409A, including the following:</w:t>
      </w:r>
    </w:p>
    <w:p>
      <w:pPr>
        <w:spacing w:after="0" w:line="57" w:lineRule="exact"/>
        <w:rPr>
          <w:rFonts w:ascii="Arial" w:cs="Arial" w:eastAsia="Arial" w:hAnsi="Arial"/>
          <w:sz w:val="13"/>
          <w:szCs w:val="13"/>
          <w:color w:val="auto"/>
        </w:rPr>
      </w:pPr>
    </w:p>
    <w:p>
      <w:pPr>
        <w:ind w:left="700" w:hanging="165"/>
        <w:spacing w:after="0"/>
        <w:tabs>
          <w:tab w:leader="none" w:pos="70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Payments and benefits constituting Section 409A Deferred Compensation otherwise payable or provided pursuant to Section 1.4(b) shall be paid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59" w:name="page260"/>
    <w:bookmarkEnd w:id="259"/>
    <w:p>
      <w:pPr>
        <w:ind w:left="220"/>
        <w:spacing w:after="0"/>
        <w:rPr>
          <w:sz w:val="20"/>
          <w:szCs w:val="20"/>
          <w:color w:val="auto"/>
        </w:rPr>
      </w:pPr>
      <w:r>
        <w:rPr>
          <w:rFonts w:ascii="Arial" w:cs="Arial" w:eastAsia="Arial" w:hAnsi="Arial"/>
          <w:sz w:val="13"/>
          <w:szCs w:val="13"/>
          <w:color w:val="auto"/>
        </w:rPr>
        <w:t>provided only at or following the time that Executive has experienced a “separation from service” within the meaning of Section 409A (“</w:t>
      </w:r>
      <w:r>
        <w:rPr>
          <w:rFonts w:ascii="Arial" w:cs="Arial" w:eastAsia="Arial" w:hAnsi="Arial"/>
          <w:sz w:val="13"/>
          <w:szCs w:val="13"/>
          <w:u w:val="single" w:color="auto"/>
          <w:color w:val="auto"/>
        </w:rPr>
        <w:t>Separation from Service</w:t>
      </w:r>
      <w:r>
        <w:rPr>
          <w:rFonts w:ascii="Arial" w:cs="Arial" w:eastAsia="Arial" w:hAnsi="Arial"/>
          <w:sz w:val="13"/>
          <w:szCs w:val="13"/>
          <w:color w:val="auto"/>
        </w:rPr>
        <w:t>”).</w:t>
      </w:r>
    </w:p>
    <w:p>
      <w:pPr>
        <w:spacing w:after="0" w:line="86" w:lineRule="exact"/>
        <w:rPr>
          <w:sz w:val="20"/>
          <w:szCs w:val="20"/>
          <w:color w:val="auto"/>
        </w:rPr>
      </w:pPr>
    </w:p>
    <w:p>
      <w:pPr>
        <w:ind w:left="220" w:firstLine="335"/>
        <w:spacing w:after="0" w:line="289" w:lineRule="auto"/>
        <w:tabs>
          <w:tab w:leader="none" w:pos="74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Payments and benefits constituting Section 409A Deferred Compensation to be paid or provided pursuant to Section 1.4(b) at a time when Executive is a “specified employee” within the meaning of Section 409A shall be paid or provided commencing on the later of (1) the date that is six (6) months and one (1) day after the date of Executive’s Separation from Service or, if earlier, the date of death of Executive (in either case, the “</w:t>
      </w:r>
      <w:r>
        <w:rPr>
          <w:rFonts w:ascii="Arial" w:cs="Arial" w:eastAsia="Arial" w:hAnsi="Arial"/>
          <w:sz w:val="12"/>
          <w:szCs w:val="12"/>
          <w:u w:val="single" w:color="auto"/>
          <w:color w:val="auto"/>
        </w:rPr>
        <w:t>Delayed Payment Date</w:t>
      </w:r>
      <w:r>
        <w:rPr>
          <w:rFonts w:ascii="Arial" w:cs="Arial" w:eastAsia="Arial" w:hAnsi="Arial"/>
          <w:sz w:val="12"/>
          <w:szCs w:val="12"/>
          <w:color w:val="auto"/>
        </w:rPr>
        <w:t>”), or (2) the date or dates on which such Section 409A Deferred Compensation would otherwise be paid or provided in accordance with Section 1.4(b). All such amounts that would, but for this subparagraph (ii), become payable prior to the Delayed Payment Date shall be accumulated and paid on the Delayed Payment Date.</w:t>
      </w:r>
    </w:p>
    <w:p>
      <w:pPr>
        <w:spacing w:after="0" w:line="43" w:lineRule="exact"/>
        <w:rPr>
          <w:rFonts w:ascii="Arial" w:cs="Arial" w:eastAsia="Arial" w:hAnsi="Arial"/>
          <w:sz w:val="12"/>
          <w:szCs w:val="12"/>
          <w:color w:val="auto"/>
        </w:rPr>
      </w:pPr>
    </w:p>
    <w:p>
      <w:pPr>
        <w:ind w:left="220" w:right="20" w:firstLine="335"/>
        <w:spacing w:after="0" w:line="312" w:lineRule="auto"/>
        <w:tabs>
          <w:tab w:leader="none" w:pos="777" w:val="left"/>
        </w:tabs>
        <w:numPr>
          <w:ilvl w:val="0"/>
          <w:numId w:val="171"/>
        </w:numPr>
        <w:rPr>
          <w:rFonts w:ascii="Arial" w:cs="Arial" w:eastAsia="Arial" w:hAnsi="Arial"/>
          <w:sz w:val="11"/>
          <w:szCs w:val="11"/>
          <w:color w:val="auto"/>
        </w:rPr>
      </w:pPr>
      <w:r>
        <w:rPr>
          <w:rFonts w:ascii="Arial" w:cs="Arial" w:eastAsia="Arial" w:hAnsi="Arial"/>
          <w:sz w:val="11"/>
          <w:szCs w:val="11"/>
          <w:color w:val="auto"/>
        </w:rPr>
        <w:t>To the extent that all or any portion of the Company’s payment or reimbursement to Executive for the cost of the Company’s obligation to provide benefits pursuant to Section 1.4(b)(iv) (the “</w:t>
      </w:r>
      <w:r>
        <w:rPr>
          <w:rFonts w:ascii="Arial" w:cs="Arial" w:eastAsia="Arial" w:hAnsi="Arial"/>
          <w:sz w:val="11"/>
          <w:szCs w:val="11"/>
          <w:u w:val="single" w:color="auto"/>
          <w:color w:val="auto"/>
        </w:rPr>
        <w:t>Company-Provided Benefits</w:t>
      </w:r>
      <w:r>
        <w:rPr>
          <w:rFonts w:ascii="Arial" w:cs="Arial" w:eastAsia="Arial" w:hAnsi="Arial"/>
          <w:sz w:val="11"/>
          <w:szCs w:val="11"/>
          <w:color w:val="auto"/>
        </w:rPr>
        <w:t>”) would exceed an amount for which, or continue for a period of time in excess of which, such Company Provided Benefits would qualify for an exemption from treatment as Section 409A Deferred Compensation, the Company shall, for the duration of the applicable period, pay or reimburse Executive for the applicable Company-Provided Benefits in an amount not to exceed $3,800 per calendar year or any portion thereof included in the applicable period. The amount of Company-Provided Benefits furnished in any taxable year of Executive shall not affect the amount of Company-Provided Benefits furnished in any other taxable year of Executive. Any right of Executive to Company-Provided Benefits shall not be subject to liquidation or exchange for another benefit. Any reimbursement for Company-Provided Benefits to which Executive is entitled shall be paid no later than the last day of Executive’s taxable year following the taxable year in which Executive’s expense for such Company-Provided Benefits was incurred.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CONFIDENTIAL INFORMATION</w:t>
      </w:r>
    </w:p>
    <w:p>
      <w:pPr>
        <w:spacing w:after="0" w:line="90" w:lineRule="exact"/>
        <w:rPr>
          <w:sz w:val="20"/>
          <w:szCs w:val="20"/>
          <w:color w:val="auto"/>
        </w:rPr>
      </w:pPr>
    </w:p>
    <w:p>
      <w:pPr>
        <w:ind w:right="20" w:firstLine="164"/>
        <w:spacing w:after="0" w:line="257" w:lineRule="auto"/>
        <w:rPr>
          <w:sz w:val="20"/>
          <w:szCs w:val="20"/>
          <w:color w:val="auto"/>
        </w:rPr>
      </w:pPr>
      <w:r>
        <w:rPr>
          <w:rFonts w:ascii="Arial" w:cs="Arial" w:eastAsia="Arial" w:hAnsi="Arial"/>
          <w:sz w:val="13"/>
          <w:szCs w:val="13"/>
          <w:color w:val="auto"/>
        </w:rPr>
        <w:t>Executive acknowledges that the information, observations and data obtained by him as an employee and owner of the Company, or during the course of his performance under this Agreement, concerning the business and affairs of the Company and its Affiliates or acquisition opportunities in or reasonably related to the Company’s business or industry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are the confidential and proprietary trade secrets and other property of the Company. Therefore, except as may be required by the lawful order of a court or agency of competent jurisdiction, Executive agrees that he will not disclose to any unauthorized Person or use for his own account any Confidential Information without the Board’s written consent unless and to the extent that the aforementioned matters become generally known to and available for use by the public other than as a result of Executive’s acts or omissions. Executive agrees to deliver to the Company on the date of Separation, or at any other time the Company may request in writing after the date of Separation, all memoranda, notes, plans, records, reports and other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0" w:name="page261"/>
    <w:bookmarkEnd w:id="260"/>
    <w:p>
      <w:pPr>
        <w:spacing w:after="0"/>
        <w:rPr>
          <w:sz w:val="20"/>
          <w:szCs w:val="20"/>
          <w:color w:val="auto"/>
        </w:rPr>
      </w:pPr>
      <w:r>
        <w:rPr>
          <w:rFonts w:ascii="Arial" w:cs="Arial" w:eastAsia="Arial" w:hAnsi="Arial"/>
          <w:sz w:val="13"/>
          <w:szCs w:val="13"/>
          <w:color w:val="auto"/>
        </w:rPr>
        <w:t>documents (and copies thereof) relating to the business of the Company and its Affiliates, or their acquisition prospects which he may then possess or have under his control.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NONCOMPETITION, NONSOLICITATION AND NON-DISPARAGEMENT</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b w:val="1"/>
          <w:bCs w:val="1"/>
          <w:color w:val="auto"/>
        </w:rPr>
        <w:t xml:space="preserve">3.1 </w:t>
      </w:r>
      <w:r>
        <w:rPr>
          <w:rFonts w:ascii="Arial" w:cs="Arial" w:eastAsia="Arial" w:hAnsi="Arial"/>
          <w:sz w:val="12"/>
          <w:szCs w:val="12"/>
          <w:b w:val="1"/>
          <w:bCs w:val="1"/>
          <w:u w:val="single" w:color="auto"/>
          <w:color w:val="auto"/>
        </w:rPr>
        <w:t>Noncompetition and Nonsolicitation</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acknowledges that in the course of his employment with the Company he will serve as a member of the Company’s senior management and will become familiar</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Company’s trade secrets and with other Confidential Information and that his services will be of special, unique and extraordinary value to the Company. Therefore, Executive agrees that, during the Service Term, and during the twelve (12) month period following the Service Term, or if the Company elects to pay Extension Severance, the twenty-four (24) month period following the Service Term (collectively, the “</w:t>
      </w:r>
      <w:r>
        <w:rPr>
          <w:rFonts w:ascii="Arial" w:cs="Arial" w:eastAsia="Arial" w:hAnsi="Arial"/>
          <w:sz w:val="12"/>
          <w:szCs w:val="12"/>
          <w:u w:val="single" w:color="auto"/>
          <w:color w:val="auto"/>
        </w:rPr>
        <w:t>Non-compete Period</w:t>
      </w:r>
      <w:r>
        <w:rPr>
          <w:rFonts w:ascii="Arial" w:cs="Arial" w:eastAsia="Arial" w:hAnsi="Arial"/>
          <w:sz w:val="12"/>
          <w:szCs w:val="12"/>
          <w:color w:val="auto"/>
        </w:rPr>
        <w:t>”), he shall not directly or indirectly (A) own (except ownership of less than 5% of any class of securities which are listed for trading on any securities which are listed for trading on any securities exchange or which are traded in the over-the-counter market), manage, control, participate in, consult with, render services for, or in any manner engage in the operation of a regionally accredited higher education institution or any business in which Executive had significant involvement in the Company’s or any of its predecessors’ business prior to Executive’s Separation; (B) solicit funds on behalf of, or for the benefit of, any regionally accredited higher education institution other than the Company or any other entity that competes with the Company; (C) solicit individuals who are current or prospective students of the Company to be students for any other regionally accredited higher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7" w:lineRule="exact"/>
        <w:rPr>
          <w:sz w:val="20"/>
          <w:szCs w:val="20"/>
          <w:color w:val="auto"/>
        </w:rPr>
      </w:pPr>
    </w:p>
    <w:p>
      <w:pPr>
        <w:ind w:right="220" w:firstLine="164"/>
        <w:spacing w:after="0" w:line="327"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Non-Disparagement</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Separation, Executive agrees not to make to any Person, including but not limited to customers of the Company, any statement that disparages the Company or which reflects</w:t>
      </w:r>
      <w:r>
        <w:rPr>
          <w:rFonts w:ascii="Arial" w:cs="Arial" w:eastAsia="Arial" w:hAnsi="Arial"/>
          <w:sz w:val="12"/>
          <w:szCs w:val="12"/>
          <w:b w:val="1"/>
          <w:bCs w:val="1"/>
          <w:color w:val="auto"/>
        </w:rPr>
        <w:t xml:space="preserve"> </w:t>
      </w:r>
      <w:r>
        <w:rPr>
          <w:rFonts w:ascii="Arial" w:cs="Arial" w:eastAsia="Arial" w:hAnsi="Arial"/>
          <w:sz w:val="12"/>
          <w:szCs w:val="12"/>
          <w:color w:val="auto"/>
        </w:rPr>
        <w:t>negatively upon the Company or the Investors, including but not limited to statements regarding the Company’s financial condition, its officers, directors, stockholders, employees and affiliates.</w:t>
      </w:r>
    </w:p>
    <w:p>
      <w:pPr>
        <w:spacing w:after="0" w:line="17" w:lineRule="exact"/>
        <w:rPr>
          <w:sz w:val="20"/>
          <w:szCs w:val="20"/>
          <w:color w:val="auto"/>
        </w:rPr>
      </w:pPr>
    </w:p>
    <w:p>
      <w:pPr>
        <w:ind w:right="140" w:firstLine="164"/>
        <w:spacing w:after="0" w:line="291" w:lineRule="auto"/>
        <w:rPr>
          <w:sz w:val="20"/>
          <w:szCs w:val="20"/>
          <w:color w:val="auto"/>
        </w:rPr>
      </w:pPr>
      <w:r>
        <w:rPr>
          <w:rFonts w:ascii="Arial" w:cs="Arial" w:eastAsia="Arial" w:hAnsi="Arial"/>
          <w:sz w:val="12"/>
          <w:szCs w:val="12"/>
          <w:b w:val="1"/>
          <w:bCs w:val="1"/>
          <w:color w:val="auto"/>
        </w:rPr>
        <w:t xml:space="preserve">3.3 </w:t>
      </w:r>
      <w:r>
        <w:rPr>
          <w:rFonts w:ascii="Arial" w:cs="Arial" w:eastAsia="Arial" w:hAnsi="Arial"/>
          <w:sz w:val="12"/>
          <w:szCs w:val="12"/>
          <w:b w:val="1"/>
          <w:bCs w:val="1"/>
          <w:u w:val="single" w:color="auto"/>
          <w:color w:val="auto"/>
        </w:rPr>
        <w:t>Enforcement</w:t>
      </w:r>
      <w:r>
        <w:rPr>
          <w:rFonts w:ascii="Arial" w:cs="Arial" w:eastAsia="Arial" w:hAnsi="Arial"/>
          <w:sz w:val="12"/>
          <w:szCs w:val="12"/>
          <w:b w:val="1"/>
          <w:bCs w:val="1"/>
          <w:color w:val="auto"/>
        </w:rPr>
        <w:t xml:space="preserve">. </w:t>
      </w:r>
      <w:r>
        <w:rPr>
          <w:rFonts w:ascii="Arial" w:cs="Arial" w:eastAsia="Arial" w:hAnsi="Arial"/>
          <w:sz w:val="12"/>
          <w:szCs w:val="12"/>
          <w:color w:val="auto"/>
        </w:rPr>
        <w:t>If, at the time of enforcement of Articles 2 or 3 of this Agreement, a court holds that the restrictions stated herein are unreasonable under circumstances then existing, the parties hereto agree that</w:t>
      </w:r>
      <w:r>
        <w:rPr>
          <w:rFonts w:ascii="Arial" w:cs="Arial" w:eastAsia="Arial" w:hAnsi="Arial"/>
          <w:sz w:val="12"/>
          <w:szCs w:val="12"/>
          <w:b w:val="1"/>
          <w:bCs w:val="1"/>
          <w:color w:val="auto"/>
        </w:rPr>
        <w:t xml:space="preserve"> </w:t>
      </w:r>
      <w:r>
        <w:rPr>
          <w:rFonts w:ascii="Arial" w:cs="Arial" w:eastAsia="Arial" w:hAnsi="Arial"/>
          <w:sz w:val="12"/>
          <w:szCs w:val="12"/>
          <w:color w:val="auto"/>
        </w:rPr>
        <w:t>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its successors or assigns may, 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61" w:name="page262"/>
    <w:bookmarkEnd w:id="261"/>
    <w:p>
      <w:pPr>
        <w:ind w:right="200"/>
        <w:spacing w:after="0" w:line="276" w:lineRule="auto"/>
        <w:rPr>
          <w:sz w:val="20"/>
          <w:szCs w:val="20"/>
          <w:color w:val="auto"/>
        </w:rPr>
      </w:pPr>
      <w:r>
        <w:rPr>
          <w:rFonts w:ascii="Arial" w:cs="Arial" w:eastAsia="Arial" w:hAnsi="Arial"/>
          <w:sz w:val="13"/>
          <w:szCs w:val="13"/>
          <w:color w:val="auto"/>
        </w:rPr>
        <w:t>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4</w:t>
      </w:r>
    </w:p>
    <w:p>
      <w:pPr>
        <w:spacing w:after="0" w:line="8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means any other person, entity or investment fund controlling, controlled by or under common control with the Company, including without limitation,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Stock</w:t>
      </w:r>
      <w:r>
        <w:rPr>
          <w:rFonts w:ascii="Arial" w:cs="Arial" w:eastAsia="Arial" w:hAnsi="Arial"/>
          <w:sz w:val="13"/>
          <w:szCs w:val="13"/>
          <w:color w:val="auto"/>
        </w:rPr>
        <w:t>” shall mean all shares of all classes of the Company’s capital stock, including, without limitation, the Company’s preferred stock and common stock.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shall mean:</w:t>
      </w:r>
    </w:p>
    <w:p>
      <w:pPr>
        <w:spacing w:after="0" w:line="90" w:lineRule="exact"/>
        <w:rPr>
          <w:sz w:val="20"/>
          <w:szCs w:val="20"/>
          <w:color w:val="auto"/>
        </w:rPr>
      </w:pPr>
    </w:p>
    <w:p>
      <w:pPr>
        <w:jc w:val="both"/>
        <w:ind w:left="680" w:right="40" w:hanging="455"/>
        <w:spacing w:after="0" w:line="371" w:lineRule="auto"/>
        <w:tabs>
          <w:tab w:leader="none" w:pos="68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Executive’s (i) commission of a felony or a crime involving moral turpitude, or the commission of any other willful act or omission involving dishonesty or fraud with respect to the Company or any of its customers or suppliers, or (ii) misappropriation of any funds or assets of the Company for personal use, or (iii) engaging in any conduct bringing the Company into substantial public disgrace or disrepute;</w:t>
      </w:r>
    </w:p>
    <w:p>
      <w:pPr>
        <w:spacing w:after="0" w:line="11" w:lineRule="exact"/>
        <w:rPr>
          <w:rFonts w:ascii="Arial" w:cs="Arial" w:eastAsia="Arial" w:hAnsi="Arial"/>
          <w:sz w:val="11"/>
          <w:szCs w:val="11"/>
          <w:color w:val="auto"/>
        </w:rPr>
      </w:pPr>
    </w:p>
    <w:p>
      <w:pPr>
        <w:ind w:left="680" w:hanging="455"/>
        <w:spacing w:after="0"/>
        <w:tabs>
          <w:tab w:leader="none" w:pos="6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Executive’s (i) continued and repeated neglect of his duties in breach of this Agreement following notice of such breach and a failure to cure such breach following a reasonable opportunity to cure,</w:t>
      </w:r>
    </w:p>
    <w:p>
      <w:pPr>
        <w:spacing w:after="0" w:line="26" w:lineRule="exact"/>
        <w:rPr>
          <w:rFonts w:ascii="Arial" w:cs="Arial" w:eastAsia="Arial" w:hAnsi="Arial"/>
          <w:sz w:val="12"/>
          <w:szCs w:val="12"/>
          <w:color w:val="auto"/>
        </w:rPr>
      </w:pPr>
    </w:p>
    <w:p>
      <w:pPr>
        <w:ind w:left="680"/>
        <w:spacing w:after="0" w:line="264" w:lineRule="auto"/>
        <w:rPr>
          <w:rFonts w:ascii="Arial" w:cs="Arial" w:eastAsia="Arial" w:hAnsi="Arial"/>
          <w:sz w:val="12"/>
          <w:szCs w:val="12"/>
          <w:color w:val="auto"/>
        </w:rPr>
      </w:pPr>
      <w:r>
        <w:rPr>
          <w:rFonts w:ascii="Arial" w:cs="Arial" w:eastAsia="Arial" w:hAnsi="Arial"/>
          <w:sz w:val="13"/>
          <w:szCs w:val="13"/>
          <w:color w:val="auto"/>
        </w:rPr>
        <w:t>(ii) gross misconduct in the performance of his duties hereunder, or (iii) his material and repeated failure to perform his duties in breach of this Agreement as directed by the Board following notice of such breach and failure to cure such breach following a reasonable opportunity to cure; or</w:t>
      </w:r>
    </w:p>
    <w:p>
      <w:pPr>
        <w:spacing w:after="0" w:line="66" w:lineRule="exact"/>
        <w:rPr>
          <w:rFonts w:ascii="Arial" w:cs="Arial" w:eastAsia="Arial" w:hAnsi="Arial"/>
          <w:sz w:val="12"/>
          <w:szCs w:val="12"/>
          <w:color w:val="auto"/>
        </w:rPr>
      </w:pPr>
    </w:p>
    <w:p>
      <w:pPr>
        <w:ind w:left="680" w:hanging="455"/>
        <w:spacing w:after="0"/>
        <w:tabs>
          <w:tab w:leader="none" w:pos="68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Executives engaging in conduct constituting cause for Separation under applicable law;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Executive’s engaging in conduct constituting a breach of Article 2 or 3 of this Agreement.</w:t>
      </w:r>
    </w:p>
    <w:p>
      <w:pPr>
        <w:spacing w:after="0" w:line="82" w:lineRule="exact"/>
        <w:rPr>
          <w:sz w:val="20"/>
          <w:szCs w:val="20"/>
          <w:color w:val="auto"/>
        </w:rPr>
      </w:pPr>
    </w:p>
    <w:p>
      <w:pPr>
        <w:ind w:right="320" w:firstLine="164"/>
        <w:spacing w:after="0" w:line="32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Good Reason</w:t>
      </w:r>
      <w:r>
        <w:rPr>
          <w:rFonts w:ascii="Arial" w:cs="Arial" w:eastAsia="Arial" w:hAnsi="Arial"/>
          <w:sz w:val="12"/>
          <w:szCs w:val="12"/>
          <w:color w:val="auto"/>
        </w:rPr>
        <w:t>” shall mean Executive’s resignation from employment with the Company within ninety (90) days after the occurrence of any one of the following conditions, provided that Executive has given written notice to the Company of such condition within thirty (30) days of its first occurrence and the Company has failed to remedy such condition within fifteen (15) days of the delivery of such written notice:</w:t>
      </w:r>
    </w:p>
    <w:p>
      <w:pPr>
        <w:spacing w:after="0" w:line="21" w:lineRule="exact"/>
        <w:rPr>
          <w:sz w:val="20"/>
          <w:szCs w:val="20"/>
          <w:color w:val="auto"/>
        </w:rPr>
      </w:pPr>
    </w:p>
    <w:p>
      <w:pPr>
        <w:ind w:left="680" w:hanging="455"/>
        <w:spacing w:after="0"/>
        <w:tabs>
          <w:tab w:leader="none" w:pos="68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failure of the Company to pay a material amount owing to Executive hereunder;</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62" w:name="page263"/>
    <w:bookmarkEnd w:id="262"/>
    <w:p>
      <w:pPr>
        <w:ind w:left="680" w:hanging="455"/>
        <w:spacing w:after="0" w:line="276" w:lineRule="auto"/>
        <w:tabs>
          <w:tab w:leader="none" w:pos="6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assignment to Executive by the Company of duties materially and adversely inconsistent with Executive’s title or duties from those set forth in this Agreement or the failure to elect or reelect Executive to such position, except in the event of a termination for Cause, death, disability or by Executive other than for Good Reason; or</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The Company’s requirement that Executive perform services under this Agreement at a location that is more than fifty (50) miles from the Current Location, and Executive’s failure to do so.</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Investors</w:t>
      </w:r>
      <w:r>
        <w:rPr>
          <w:rFonts w:ascii="Arial" w:cs="Arial" w:eastAsia="Arial" w:hAnsi="Arial"/>
          <w:sz w:val="13"/>
          <w:szCs w:val="13"/>
          <w:color w:val="auto"/>
        </w:rPr>
        <w:t>” means Endeavour Capital Fund IV, L.P., Endeavour Associates Fund IV, L.P., Endeavour Capital Parallel Fund IV, L.P. and 220 GCU, L.P.</w:t>
      </w:r>
    </w:p>
    <w:p>
      <w:pPr>
        <w:spacing w:after="0" w:line="86" w:lineRule="exact"/>
        <w:rPr>
          <w:sz w:val="20"/>
          <w:szCs w:val="20"/>
          <w:color w:val="auto"/>
        </w:rPr>
      </w:pPr>
    </w:p>
    <w:p>
      <w:pPr>
        <w:ind w:right="40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a partnership, a limited liability company, a corporation, an association, a joint stock company, an investment fund, a trust, a joint venture, an unincorporated organization and a governmental entity or any department, agency or political subdivision thereof.</w:t>
      </w:r>
    </w:p>
    <w:p>
      <w:pPr>
        <w:spacing w:after="0" w:line="41" w:lineRule="exact"/>
        <w:rPr>
          <w:sz w:val="20"/>
          <w:szCs w:val="20"/>
          <w:color w:val="auto"/>
        </w:rPr>
      </w:pPr>
    </w:p>
    <w:p>
      <w:pPr>
        <w:ind w:right="22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Stockholders Agreement</w:t>
      </w:r>
      <w:r>
        <w:rPr>
          <w:rFonts w:ascii="Arial" w:cs="Arial" w:eastAsia="Arial" w:hAnsi="Arial"/>
          <w:sz w:val="13"/>
          <w:szCs w:val="13"/>
          <w:color w:val="auto"/>
        </w:rPr>
        <w:t>” means the Stockholders Agreement, dated August 24, 2005, by and among the Company, Significant Education Holding, LLC, and the Investors, as amended or restated from time to time.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5</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NOTICES</w:t>
      </w:r>
    </w:p>
    <w:p>
      <w:pPr>
        <w:spacing w:after="0" w:line="90" w:lineRule="exact"/>
        <w:rPr>
          <w:sz w:val="20"/>
          <w:szCs w:val="20"/>
          <w:color w:val="auto"/>
        </w:rPr>
      </w:pPr>
    </w:p>
    <w:p>
      <w:pPr>
        <w:ind w:right="20" w:firstLine="157"/>
        <w:spacing w:after="0" w:line="276" w:lineRule="auto"/>
        <w:rPr>
          <w:sz w:val="20"/>
          <w:szCs w:val="20"/>
          <w:color w:val="auto"/>
        </w:rPr>
      </w:pPr>
      <w:r>
        <w:rPr>
          <w:rFonts w:ascii="Arial" w:cs="Arial" w:eastAsia="Arial" w:hAnsi="Arial"/>
          <w:sz w:val="13"/>
          <w:szCs w:val="13"/>
          <w:color w:val="auto"/>
        </w:rPr>
        <w:t>Any notice provided for in this Agreement must be in writing and must be either personally delivered, mailed by first class United States mail (postage prepaid) or sent by reputable overnight courier service (charges prepaid) or by facsimile to the recipient at the address below indicated: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the Company</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(602) 589-2755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(602) 589-2458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with a copy to each of</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Endeavour Capital IV,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920 SW Sixth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Portland, OR 97204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D. Mark Dorman and Chad N. Heath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(503) 223-2721</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63" w:name="page264"/>
    <w:bookmarkEnd w:id="263"/>
    <w:p>
      <w:pPr>
        <w:ind w:left="680"/>
        <w:spacing w:after="0"/>
        <w:rPr>
          <w:sz w:val="20"/>
          <w:szCs w:val="20"/>
          <w:color w:val="auto"/>
        </w:rPr>
      </w:pPr>
      <w:r>
        <w:rPr>
          <w:rFonts w:ascii="Arial" w:cs="Arial" w:eastAsia="Arial" w:hAnsi="Arial"/>
          <w:sz w:val="13"/>
          <w:szCs w:val="13"/>
          <w:color w:val="auto"/>
        </w:rPr>
        <w:t>Facsimile: (503) 223-1384</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Davis Graham &amp; Stubbs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1550 Seventeenth Street, Suite 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80202-1500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Ronald R. Levine, II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303-892-9400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303-893-1379</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Executive</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John Crowley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8154 Via de Viva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Scottsdale, AZ 85258</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John Crowley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413-478-5002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such other address or to the attention of such other person as the recipient party shall have specified by prior written notice to the sending party.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6</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GENERAL PROVISIONS</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Executive for all reasonable business, promotional, travel and entertainment expenses incurred or paid by him during the Service Term and the performance of his</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under this Agreement, provided that Executive furnishes to the Company in a timely fashion appropriate documentation required by the Internal Revenue Code in connection with such expenses and shall furnish such other reasonable documentation and accounting as the Company, from time to time, may reasonably request. Any reimbursement Executive is entitled to receive shall (a) be paid no later than the last day of Executive’s taxable year following the taxable year in which the expense was incurred, (b) not be affected by the amount of expenses eligible for reimbursement in any other taxable year and (c) not be subject to liquidation or exchange for another benefit.</w:t>
      </w:r>
    </w:p>
    <w:p>
      <w:pPr>
        <w:spacing w:after="0" w:line="55" w:lineRule="exact"/>
        <w:rPr>
          <w:sz w:val="20"/>
          <w:szCs w:val="20"/>
          <w:color w:val="auto"/>
        </w:rPr>
      </w:pPr>
    </w:p>
    <w:p>
      <w:pPr>
        <w:ind w:right="340" w:firstLine="164"/>
        <w:spacing w:after="0" w:line="327" w:lineRule="auto"/>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b w:val="1"/>
          <w:bCs w:val="1"/>
          <w:u w:val="single" w:color="auto"/>
          <w:color w:val="auto"/>
        </w:rPr>
        <w:t>Complete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those documents expressly referred to herein and other documents of even date herewith embody the complete agreement and understanding among the parties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supersede and preempt any prior understandings, agreements or representations by or among the parties, written or oral, which may have related to the subject matter hereof in any way.</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6.3 </w:t>
      </w: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may be executed in separate counterparts, each of which is deemed to be an original and all of which taken together constitute one and the same agreement.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64" w:name="page265"/>
    <w:bookmarkEnd w:id="264"/>
    <w:p>
      <w:pPr>
        <w:ind w:firstLine="164"/>
        <w:spacing w:after="0" w:line="267" w:lineRule="auto"/>
        <w:rPr>
          <w:sz w:val="20"/>
          <w:szCs w:val="20"/>
          <w:color w:val="auto"/>
        </w:rPr>
      </w:pPr>
      <w:r>
        <w:rPr>
          <w:rFonts w:ascii="Arial" w:cs="Arial" w:eastAsia="Arial" w:hAnsi="Arial"/>
          <w:sz w:val="13"/>
          <w:szCs w:val="13"/>
          <w:b w:val="1"/>
          <w:bCs w:val="1"/>
          <w:color w:val="auto"/>
        </w:rPr>
        <w:t xml:space="preserve">6.4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Whenever possible, each provision of this Agreement will be interpreted in such manner as to be effective and valid under applicable law, but if any provision of this Agreement is held to be invalid,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52" w:lineRule="exact"/>
        <w:rPr>
          <w:sz w:val="20"/>
          <w:szCs w:val="20"/>
          <w:color w:val="auto"/>
        </w:rPr>
      </w:pPr>
    </w:p>
    <w:p>
      <w:pPr>
        <w:ind w:right="560" w:firstLine="164"/>
        <w:spacing w:after="0" w:line="283" w:lineRule="auto"/>
        <w:rPr>
          <w:sz w:val="20"/>
          <w:szCs w:val="20"/>
          <w:color w:val="auto"/>
        </w:rPr>
      </w:pPr>
      <w:r>
        <w:rPr>
          <w:rFonts w:ascii="Arial" w:cs="Arial" w:eastAsia="Arial" w:hAnsi="Arial"/>
          <w:sz w:val="13"/>
          <w:szCs w:val="13"/>
          <w:b w:val="1"/>
          <w:bCs w:val="1"/>
          <w:color w:val="auto"/>
        </w:rPr>
        <w:t xml:space="preserve">6.5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intended to bind and inure to the benefit of and be enforceable by the Company, and its successors and assigns. Executive may not assign any of its rights or</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w:t>
      </w:r>
    </w:p>
    <w:p>
      <w:pPr>
        <w:spacing w:after="0" w:line="41" w:lineRule="exact"/>
        <w:rPr>
          <w:sz w:val="20"/>
          <w:szCs w:val="20"/>
          <w:color w:val="auto"/>
        </w:rPr>
      </w:pPr>
    </w:p>
    <w:p>
      <w:pPr>
        <w:jc w:val="both"/>
        <w:ind w:right="280" w:firstLine="164"/>
        <w:spacing w:after="0" w:line="267" w:lineRule="auto"/>
        <w:rPr>
          <w:sz w:val="20"/>
          <w:szCs w:val="20"/>
          <w:color w:val="auto"/>
        </w:rPr>
      </w:pPr>
      <w:r>
        <w:rPr>
          <w:rFonts w:ascii="Arial" w:cs="Arial" w:eastAsia="Arial" w:hAnsi="Arial"/>
          <w:sz w:val="13"/>
          <w:szCs w:val="13"/>
          <w:b w:val="1"/>
          <w:bCs w:val="1"/>
          <w:color w:val="auto"/>
        </w:rPr>
        <w:t xml:space="preserve">6.6 </w:t>
      </w:r>
      <w:r>
        <w:rPr>
          <w:rFonts w:ascii="Arial" w:cs="Arial" w:eastAsia="Arial" w:hAnsi="Arial"/>
          <w:sz w:val="13"/>
          <w:szCs w:val="13"/>
          <w:b w:val="1"/>
          <w:bCs w:val="1"/>
          <w:u w:val="single" w:color="auto"/>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The construction, validity and interpretation of this Agreement and the exhibit hereto will be governed by and construed in accordance with the internal laws of the State of Arizona,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giving effect to any choice of law or conflict of law provision or rule (whether of the State of Arizona or any other jurisdiction) that would cause the application of the laws of any jurisdiction other than the State of Arizona.</w:t>
      </w:r>
    </w:p>
    <w:p>
      <w:pPr>
        <w:spacing w:after="0" w:line="52" w:lineRule="exact"/>
        <w:rPr>
          <w:sz w:val="20"/>
          <w:szCs w:val="20"/>
          <w:color w:val="auto"/>
        </w:rPr>
      </w:pPr>
    </w:p>
    <w:p>
      <w:pPr>
        <w:ind w:right="60" w:firstLine="164"/>
        <w:spacing w:after="0" w:line="262" w:lineRule="auto"/>
        <w:rPr>
          <w:sz w:val="20"/>
          <w:szCs w:val="20"/>
          <w:color w:val="auto"/>
        </w:rPr>
      </w:pPr>
      <w:r>
        <w:rPr>
          <w:rFonts w:ascii="Arial" w:cs="Arial" w:eastAsia="Arial" w:hAnsi="Arial"/>
          <w:sz w:val="13"/>
          <w:szCs w:val="13"/>
          <w:b w:val="1"/>
          <w:bCs w:val="1"/>
          <w:color w:val="auto"/>
        </w:rPr>
        <w:t xml:space="preserve">6.7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to this Agreement will be entitled to enforce its rights under this Agreement specifically, to recover damages and costs (including attorney’s fees) caused by any breach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(without posting any bond or deposit) for specific performance and/or other injunctive relief in order to enforce or prevent any violations of the provisions of this Agreement.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6.8 </w:t>
      </w:r>
      <w:r>
        <w:rPr>
          <w:rFonts w:ascii="Arial" w:cs="Arial" w:eastAsia="Arial" w:hAnsi="Arial"/>
          <w:sz w:val="13"/>
          <w:szCs w:val="13"/>
          <w:b w:val="1"/>
          <w:bCs w:val="1"/>
          <w:u w:val="single" w:color="auto"/>
          <w:color w:val="auto"/>
        </w:rPr>
        <w:t>Amendment and Waiver</w:t>
      </w:r>
      <w:r>
        <w:rPr>
          <w:rFonts w:ascii="Arial" w:cs="Arial" w:eastAsia="Arial" w:hAnsi="Arial"/>
          <w:sz w:val="13"/>
          <w:szCs w:val="13"/>
          <w:b w:val="1"/>
          <w:bCs w:val="1"/>
          <w:color w:val="auto"/>
        </w:rPr>
        <w:t xml:space="preserve">. </w:t>
      </w:r>
      <w:r>
        <w:rPr>
          <w:rFonts w:ascii="Arial" w:cs="Arial" w:eastAsia="Arial" w:hAnsi="Arial"/>
          <w:sz w:val="13"/>
          <w:szCs w:val="13"/>
          <w:color w:val="auto"/>
        </w:rPr>
        <w:t>The provisions of this Agreement may be amended and waived only with the prior written consent of the Company and Executive.</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 xml:space="preserve">6.9 </w:t>
      </w:r>
      <w:r>
        <w:rPr>
          <w:rFonts w:ascii="Arial" w:cs="Arial" w:eastAsia="Arial" w:hAnsi="Arial"/>
          <w:sz w:val="13"/>
          <w:szCs w:val="13"/>
          <w:b w:val="1"/>
          <w:bCs w:val="1"/>
          <w:u w:val="single" w:color="auto"/>
          <w:color w:val="auto"/>
        </w:rPr>
        <w:t>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time period for giving notice or taking action hereunder expires on a day which is a Saturday, Sunday or holiday in the state in which the Company’s chief executive office is located,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period shall be automatically extended to the business day immediately following such Saturday, Sunday or holiday.</w:t>
      </w:r>
    </w:p>
    <w:p>
      <w:pPr>
        <w:spacing w:after="0" w:line="41" w:lineRule="exact"/>
        <w:rPr>
          <w:sz w:val="20"/>
          <w:szCs w:val="20"/>
          <w:color w:val="auto"/>
        </w:rPr>
      </w:pPr>
    </w:p>
    <w:p>
      <w:pPr>
        <w:ind w:right="500" w:firstLine="164"/>
        <w:spacing w:after="0" w:line="283" w:lineRule="auto"/>
        <w:rPr>
          <w:sz w:val="20"/>
          <w:szCs w:val="20"/>
          <w:color w:val="auto"/>
        </w:rPr>
      </w:pPr>
      <w:r>
        <w:rPr>
          <w:rFonts w:ascii="Arial" w:cs="Arial" w:eastAsia="Arial" w:hAnsi="Arial"/>
          <w:sz w:val="13"/>
          <w:szCs w:val="13"/>
          <w:b w:val="1"/>
          <w:bCs w:val="1"/>
          <w:color w:val="auto"/>
        </w:rPr>
        <w:t xml:space="preserve">6.10 </w:t>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the provisions of this Agreement shall terminate after the expiration of the Service Term or upon the Separation of Executive’s employment with the Company, except Article 2 and</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3.2 shall survive indefinitely, and Section 3.1 shall terminate upon expiration of the Non-compete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[THIS SPACE INTENTIONALLY LEFT BLANK]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65" w:name="page266"/>
    <w:bookmarkEnd w:id="265"/>
    <w:p>
      <w:pPr>
        <w:spacing w:after="0"/>
        <w:rPr>
          <w:sz w:val="20"/>
          <w:szCs w:val="20"/>
          <w:color w:val="auto"/>
        </w:rPr>
      </w:pPr>
      <w:r>
        <w:rPr>
          <w:rFonts w:ascii="Arial" w:cs="Arial" w:eastAsia="Arial" w:hAnsi="Arial"/>
          <w:sz w:val="13"/>
          <w:szCs w:val="13"/>
          <w:color w:val="auto"/>
        </w:rPr>
        <w:t>IN WITNESS WHEREOF, the parties hereto have executed this Amended and Restated Senior Management Agreement on the date first written above.</w:t>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tbl>
      <w:tblPr>
        <w:tblLayout w:type="fixed"/>
        <w:tblInd w:w="548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Mueller</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Brian Mueller</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pacing w:after="0" w:line="150"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EXECUTIVE:</w:t>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/s/ John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10795</wp:posOffset>
            </wp:positionV>
            <wp:extent cx="283972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39720" cy="635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John Crowley</w:t>
      </w:r>
    </w:p>
    <w:p>
      <w:pPr>
        <w:spacing w:after="0" w:line="244"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Signature Page — Amended and Restated Senior Management Agreement (J. Crowley)</w:t>
      </w:r>
    </w:p>
    <w:p>
      <w:pPr>
        <w:sectPr>
          <w:pgSz w:w="11900" w:h="16838" w:orient="portrait"/>
          <w:cols w:equalWidth="0" w:num="1">
            <w:col w:w="10079"/>
          </w:cols>
          <w:pgMar w:left="380" w:top="720" w:right="1440" w:bottom="1440" w:gutter="0" w:footer="0" w:header="0"/>
        </w:sectPr>
      </w:pPr>
    </w:p>
    <w:bookmarkStart w:id="266" w:name="page267"/>
    <w:bookmarkEnd w:id="266"/>
    <w:p>
      <w:pPr>
        <w:jc w:val="right"/>
        <w:spacing w:after="0"/>
        <w:rPr>
          <w:sz w:val="20"/>
          <w:szCs w:val="20"/>
          <w:color w:val="auto"/>
        </w:rPr>
      </w:pPr>
      <w:r>
        <w:rPr>
          <w:rFonts w:ascii="Arial" w:cs="Arial" w:eastAsia="Arial" w:hAnsi="Arial"/>
          <w:sz w:val="13"/>
          <w:szCs w:val="13"/>
          <w:b w:val="1"/>
          <w:bCs w:val="1"/>
          <w:color w:val="auto"/>
        </w:rPr>
        <w:t>Exhibit 10.4</w:t>
      </w:r>
    </w:p>
    <w:p>
      <w:pPr>
        <w:spacing w:after="0" w:line="244"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GRAND CANYON EDUCATION, INC.</w:t>
      </w:r>
    </w:p>
    <w:p>
      <w:pPr>
        <w:spacing w:after="0" w:line="244"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2008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290830</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240" w:type="dxa"/>
            <w:vAlign w:val="bottom"/>
            <w:gridSpan w:val="2"/>
          </w:tcPr>
          <w:p>
            <w:pPr>
              <w:jc w:val="right"/>
              <w:ind w:right="5001"/>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267"/>
        </w:trPr>
        <w:tc>
          <w:tcPr>
            <w:tcW w:w="4220" w:type="dxa"/>
            <w:vAlign w:val="bottom"/>
            <w:gridSpan w:val="2"/>
            <w:vMerge w:val="restart"/>
          </w:tcPr>
          <w:p>
            <w:pPr>
              <w:spacing w:after="0"/>
              <w:rPr>
                <w:sz w:val="20"/>
                <w:szCs w:val="20"/>
                <w:color w:val="auto"/>
              </w:rPr>
            </w:pPr>
            <w:r>
              <w:rPr>
                <w:rFonts w:ascii="Arial" w:cs="Arial" w:eastAsia="Arial" w:hAnsi="Arial"/>
                <w:sz w:val="13"/>
                <w:szCs w:val="13"/>
                <w:color w:val="auto"/>
              </w:rPr>
              <w:t>1. Establishment, Purpose and Term of Plan</w:t>
            </w:r>
          </w:p>
        </w:tc>
        <w:tc>
          <w:tcPr>
            <w:tcW w:w="6640" w:type="dxa"/>
            <w:vAlign w:val="bottom"/>
          </w:tcPr>
          <w:p>
            <w:pPr>
              <w:spacing w:after="0"/>
              <w:rPr>
                <w:sz w:val="23"/>
                <w:szCs w:val="23"/>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4220" w:type="dxa"/>
            <w:vAlign w:val="bottom"/>
            <w:gridSpan w:val="2"/>
            <w:vMerge w:val="continue"/>
          </w:tcPr>
          <w:p>
            <w:pPr>
              <w:spacing w:after="0"/>
              <w:rPr>
                <w:sz w:val="13"/>
                <w:szCs w:val="13"/>
                <w:color w:val="auto"/>
              </w:rPr>
            </w:pPr>
          </w:p>
        </w:tc>
        <w:tc>
          <w:tcPr>
            <w:tcW w:w="6640" w:type="dxa"/>
            <w:vAlign w:val="bottom"/>
          </w:tcPr>
          <w:p>
            <w:pPr>
              <w:spacing w:after="0"/>
              <w:rPr>
                <w:sz w:val="13"/>
                <w:szCs w:val="13"/>
                <w:color w:val="auto"/>
              </w:rPr>
            </w:pPr>
          </w:p>
        </w:tc>
        <w:tc>
          <w:tcPr>
            <w:tcW w:w="600" w:type="dxa"/>
            <w:vAlign w:val="bottom"/>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98"/>
        </w:trPr>
        <w:tc>
          <w:tcPr>
            <w:tcW w:w="320" w:type="dxa"/>
            <w:vAlign w:val="bottom"/>
          </w:tcPr>
          <w:p>
            <w:pPr>
              <w:jc w:val="right"/>
              <w:spacing w:after="0"/>
              <w:rPr>
                <w:sz w:val="20"/>
                <w:szCs w:val="20"/>
                <w:color w:val="auto"/>
              </w:rPr>
            </w:pPr>
            <w:r>
              <w:rPr>
                <w:rFonts w:ascii="Arial" w:cs="Arial" w:eastAsia="Arial" w:hAnsi="Arial"/>
                <w:sz w:val="13"/>
                <w:szCs w:val="13"/>
                <w:color w:val="auto"/>
              </w:rPr>
              <w:t>1.1</w:t>
            </w:r>
          </w:p>
        </w:tc>
        <w:tc>
          <w:tcPr>
            <w:tcW w:w="3900" w:type="dxa"/>
            <w:vAlign w:val="bottom"/>
          </w:tcPr>
          <w:p>
            <w:pPr>
              <w:ind w:left="20"/>
              <w:spacing w:after="0"/>
              <w:rPr>
                <w:sz w:val="20"/>
                <w:szCs w:val="20"/>
                <w:color w:val="auto"/>
              </w:rPr>
            </w:pPr>
            <w:r>
              <w:rPr>
                <w:rFonts w:ascii="Arial" w:cs="Arial" w:eastAsia="Arial" w:hAnsi="Arial"/>
                <w:sz w:val="13"/>
                <w:szCs w:val="13"/>
                <w:color w:val="auto"/>
              </w:rPr>
              <w:t>Establishment</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1.2</w:t>
            </w:r>
          </w:p>
        </w:tc>
        <w:tc>
          <w:tcPr>
            <w:tcW w:w="3900" w:type="dxa"/>
            <w:vAlign w:val="bottom"/>
          </w:tcPr>
          <w:p>
            <w:pPr>
              <w:ind w:left="20"/>
              <w:spacing w:after="0"/>
              <w:rPr>
                <w:sz w:val="20"/>
                <w:szCs w:val="20"/>
                <w:color w:val="auto"/>
              </w:rPr>
            </w:pPr>
            <w:r>
              <w:rPr>
                <w:rFonts w:ascii="Arial" w:cs="Arial" w:eastAsia="Arial" w:hAnsi="Arial"/>
                <w:sz w:val="13"/>
                <w:szCs w:val="13"/>
                <w:color w:val="auto"/>
              </w:rPr>
              <w:t>Purpose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1.3</w:t>
            </w:r>
          </w:p>
        </w:tc>
        <w:tc>
          <w:tcPr>
            <w:tcW w:w="3900" w:type="dxa"/>
            <w:vAlign w:val="bottom"/>
          </w:tcPr>
          <w:p>
            <w:pPr>
              <w:ind w:left="20"/>
              <w:spacing w:after="0"/>
              <w:rPr>
                <w:sz w:val="20"/>
                <w:szCs w:val="20"/>
                <w:color w:val="auto"/>
              </w:rPr>
            </w:pPr>
            <w:r>
              <w:rPr>
                <w:rFonts w:ascii="Arial" w:cs="Arial" w:eastAsia="Arial" w:hAnsi="Arial"/>
                <w:sz w:val="13"/>
                <w:szCs w:val="13"/>
                <w:color w:val="auto"/>
              </w:rPr>
              <w:t>Term of Plan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2. Definitions and Construction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2.1</w:t>
            </w:r>
          </w:p>
        </w:tc>
        <w:tc>
          <w:tcPr>
            <w:tcW w:w="3900" w:type="dxa"/>
            <w:vAlign w:val="bottom"/>
          </w:tcPr>
          <w:p>
            <w:pPr>
              <w:ind w:left="20"/>
              <w:spacing w:after="0"/>
              <w:rPr>
                <w:sz w:val="20"/>
                <w:szCs w:val="20"/>
                <w:color w:val="auto"/>
              </w:rPr>
            </w:pPr>
            <w:r>
              <w:rPr>
                <w:rFonts w:ascii="Arial" w:cs="Arial" w:eastAsia="Arial" w:hAnsi="Arial"/>
                <w:sz w:val="13"/>
                <w:szCs w:val="13"/>
                <w:color w:val="auto"/>
              </w:rPr>
              <w:t>Definitions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2.2</w:t>
            </w:r>
          </w:p>
        </w:tc>
        <w:tc>
          <w:tcPr>
            <w:tcW w:w="39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3. Administration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3.1</w:t>
            </w:r>
          </w:p>
        </w:tc>
        <w:tc>
          <w:tcPr>
            <w:tcW w:w="3900" w:type="dxa"/>
            <w:vAlign w:val="bottom"/>
          </w:tcPr>
          <w:p>
            <w:pPr>
              <w:ind w:left="20"/>
              <w:spacing w:after="0"/>
              <w:rPr>
                <w:sz w:val="20"/>
                <w:szCs w:val="20"/>
                <w:color w:val="auto"/>
              </w:rPr>
            </w:pPr>
            <w:r>
              <w:rPr>
                <w:rFonts w:ascii="Arial" w:cs="Arial" w:eastAsia="Arial" w:hAnsi="Arial"/>
                <w:sz w:val="13"/>
                <w:szCs w:val="13"/>
                <w:color w:val="auto"/>
              </w:rPr>
              <w:t>Administration by the Committee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3.2</w:t>
            </w:r>
          </w:p>
        </w:tc>
        <w:tc>
          <w:tcPr>
            <w:tcW w:w="3900" w:type="dxa"/>
            <w:vAlign w:val="bottom"/>
          </w:tcPr>
          <w:p>
            <w:pPr>
              <w:ind w:left="20"/>
              <w:spacing w:after="0"/>
              <w:rPr>
                <w:sz w:val="20"/>
                <w:szCs w:val="20"/>
                <w:color w:val="auto"/>
              </w:rPr>
            </w:pPr>
            <w:r>
              <w:rPr>
                <w:rFonts w:ascii="Arial" w:cs="Arial" w:eastAsia="Arial" w:hAnsi="Arial"/>
                <w:sz w:val="13"/>
                <w:szCs w:val="13"/>
                <w:color w:val="auto"/>
              </w:rPr>
              <w:t>Authority of Officers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3.3</w:t>
            </w:r>
          </w:p>
        </w:tc>
        <w:tc>
          <w:tcPr>
            <w:tcW w:w="3900" w:type="dxa"/>
            <w:vAlign w:val="bottom"/>
          </w:tcPr>
          <w:p>
            <w:pPr>
              <w:ind w:left="20"/>
              <w:spacing w:after="0"/>
              <w:rPr>
                <w:sz w:val="20"/>
                <w:szCs w:val="20"/>
                <w:color w:val="auto"/>
              </w:rPr>
            </w:pPr>
            <w:r>
              <w:rPr>
                <w:rFonts w:ascii="Arial" w:cs="Arial" w:eastAsia="Arial" w:hAnsi="Arial"/>
                <w:sz w:val="13"/>
                <w:szCs w:val="13"/>
                <w:color w:val="auto"/>
              </w:rPr>
              <w:t>Administration with Respect to Insiders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3.4</w:t>
            </w:r>
          </w:p>
        </w:tc>
        <w:tc>
          <w:tcPr>
            <w:tcW w:w="3900" w:type="dxa"/>
            <w:vAlign w:val="bottom"/>
          </w:tcPr>
          <w:p>
            <w:pPr>
              <w:ind w:left="20"/>
              <w:spacing w:after="0"/>
              <w:rPr>
                <w:sz w:val="20"/>
                <w:szCs w:val="20"/>
                <w:color w:val="auto"/>
              </w:rPr>
            </w:pPr>
            <w:r>
              <w:rPr>
                <w:rFonts w:ascii="Arial" w:cs="Arial" w:eastAsia="Arial" w:hAnsi="Arial"/>
                <w:sz w:val="13"/>
                <w:szCs w:val="13"/>
                <w:color w:val="auto"/>
              </w:rPr>
              <w:t>Committee Complying with Section 162(m)</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3.5</w:t>
            </w:r>
          </w:p>
        </w:tc>
        <w:tc>
          <w:tcPr>
            <w:tcW w:w="3900" w:type="dxa"/>
            <w:vAlign w:val="bottom"/>
          </w:tcPr>
          <w:p>
            <w:pPr>
              <w:ind w:left="20"/>
              <w:spacing w:after="0"/>
              <w:rPr>
                <w:sz w:val="20"/>
                <w:szCs w:val="20"/>
                <w:color w:val="auto"/>
              </w:rPr>
            </w:pPr>
            <w:r>
              <w:rPr>
                <w:rFonts w:ascii="Arial" w:cs="Arial" w:eastAsia="Arial" w:hAnsi="Arial"/>
                <w:sz w:val="13"/>
                <w:szCs w:val="13"/>
                <w:color w:val="auto"/>
              </w:rPr>
              <w:t>Powers of the Committee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3.6</w:t>
            </w:r>
          </w:p>
        </w:tc>
        <w:tc>
          <w:tcPr>
            <w:tcW w:w="3900" w:type="dxa"/>
            <w:vAlign w:val="bottom"/>
          </w:tcPr>
          <w:p>
            <w:pPr>
              <w:ind w:left="20"/>
              <w:spacing w:after="0"/>
              <w:rPr>
                <w:sz w:val="20"/>
                <w:szCs w:val="20"/>
                <w:color w:val="auto"/>
              </w:rPr>
            </w:pPr>
            <w:r>
              <w:rPr>
                <w:rFonts w:ascii="Arial" w:cs="Arial" w:eastAsia="Arial" w:hAnsi="Arial"/>
                <w:sz w:val="13"/>
                <w:szCs w:val="13"/>
                <w:color w:val="auto"/>
              </w:rPr>
              <w:t>Indemnification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4. Shares Subject to Plan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4.1</w:t>
            </w:r>
          </w:p>
        </w:tc>
        <w:tc>
          <w:tcPr>
            <w:tcW w:w="3900" w:type="dxa"/>
            <w:vAlign w:val="bottom"/>
          </w:tcPr>
          <w:p>
            <w:pPr>
              <w:ind w:left="20"/>
              <w:spacing w:after="0"/>
              <w:rPr>
                <w:sz w:val="20"/>
                <w:szCs w:val="20"/>
                <w:color w:val="auto"/>
              </w:rPr>
            </w:pPr>
            <w:r>
              <w:rPr>
                <w:rFonts w:ascii="Arial" w:cs="Arial" w:eastAsia="Arial" w:hAnsi="Arial"/>
                <w:sz w:val="13"/>
                <w:szCs w:val="13"/>
                <w:color w:val="auto"/>
              </w:rPr>
              <w:t>Maximum Number of Shares Issuable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4.2</w:t>
            </w:r>
          </w:p>
        </w:tc>
        <w:tc>
          <w:tcPr>
            <w:tcW w:w="3900" w:type="dxa"/>
            <w:vAlign w:val="bottom"/>
          </w:tcPr>
          <w:p>
            <w:pPr>
              <w:ind w:left="20"/>
              <w:spacing w:after="0"/>
              <w:rPr>
                <w:sz w:val="20"/>
                <w:szCs w:val="20"/>
                <w:color w:val="auto"/>
              </w:rPr>
            </w:pPr>
            <w:r>
              <w:rPr>
                <w:rFonts w:ascii="Arial" w:cs="Arial" w:eastAsia="Arial" w:hAnsi="Arial"/>
                <w:sz w:val="13"/>
                <w:szCs w:val="13"/>
                <w:color w:val="auto"/>
              </w:rPr>
              <w:t>Annual Increase in Maximum Number of Shares Issuable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4.3</w:t>
            </w:r>
          </w:p>
        </w:tc>
        <w:tc>
          <w:tcPr>
            <w:tcW w:w="3900" w:type="dxa"/>
            <w:vAlign w:val="bottom"/>
          </w:tcPr>
          <w:p>
            <w:pPr>
              <w:ind w:left="20"/>
              <w:spacing w:after="0"/>
              <w:rPr>
                <w:sz w:val="20"/>
                <w:szCs w:val="20"/>
                <w:color w:val="auto"/>
              </w:rPr>
            </w:pPr>
            <w:r>
              <w:rPr>
                <w:rFonts w:ascii="Arial" w:cs="Arial" w:eastAsia="Arial" w:hAnsi="Arial"/>
                <w:sz w:val="13"/>
                <w:szCs w:val="13"/>
                <w:color w:val="auto"/>
              </w:rPr>
              <w:t>Share Accounting</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4.4</w:t>
            </w:r>
          </w:p>
        </w:tc>
        <w:tc>
          <w:tcPr>
            <w:tcW w:w="3900" w:type="dxa"/>
            <w:vAlign w:val="bottom"/>
          </w:tcPr>
          <w:p>
            <w:pPr>
              <w:ind w:left="20"/>
              <w:spacing w:after="0"/>
              <w:rPr>
                <w:sz w:val="20"/>
                <w:szCs w:val="20"/>
                <w:color w:val="auto"/>
              </w:rPr>
            </w:pPr>
            <w:r>
              <w:rPr>
                <w:rFonts w:ascii="Arial" w:cs="Arial" w:eastAsia="Arial" w:hAnsi="Arial"/>
                <w:sz w:val="13"/>
                <w:szCs w:val="13"/>
                <w:color w:val="auto"/>
              </w:rPr>
              <w:t>Adjustments for Changes in Capital Structure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5. Eligibility, Participation and Award Limitations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5.1</w:t>
            </w:r>
          </w:p>
        </w:tc>
        <w:tc>
          <w:tcPr>
            <w:tcW w:w="3900" w:type="dxa"/>
            <w:vAlign w:val="bottom"/>
          </w:tcPr>
          <w:p>
            <w:pPr>
              <w:ind w:left="20"/>
              <w:spacing w:after="0"/>
              <w:rPr>
                <w:sz w:val="20"/>
                <w:szCs w:val="20"/>
                <w:color w:val="auto"/>
              </w:rPr>
            </w:pPr>
            <w:r>
              <w:rPr>
                <w:rFonts w:ascii="Arial" w:cs="Arial" w:eastAsia="Arial" w:hAnsi="Arial"/>
                <w:sz w:val="13"/>
                <w:szCs w:val="13"/>
                <w:color w:val="auto"/>
              </w:rPr>
              <w:t>Persons Eligible for Awards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5.2</w:t>
            </w:r>
          </w:p>
        </w:tc>
        <w:tc>
          <w:tcPr>
            <w:tcW w:w="3900" w:type="dxa"/>
            <w:vAlign w:val="bottom"/>
          </w:tcPr>
          <w:p>
            <w:pPr>
              <w:ind w:left="20"/>
              <w:spacing w:after="0"/>
              <w:rPr>
                <w:sz w:val="20"/>
                <w:szCs w:val="20"/>
                <w:color w:val="auto"/>
              </w:rPr>
            </w:pPr>
            <w:r>
              <w:rPr>
                <w:rFonts w:ascii="Arial" w:cs="Arial" w:eastAsia="Arial" w:hAnsi="Arial"/>
                <w:sz w:val="13"/>
                <w:szCs w:val="13"/>
                <w:color w:val="auto"/>
              </w:rPr>
              <w:t>Participation in the Plan</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3900" w:type="dxa"/>
            <w:vAlign w:val="bottom"/>
          </w:tcPr>
          <w:p>
            <w:pPr>
              <w:ind w:left="20"/>
              <w:spacing w:after="0"/>
              <w:rPr>
                <w:sz w:val="20"/>
                <w:szCs w:val="20"/>
                <w:color w:val="auto"/>
              </w:rPr>
            </w:pPr>
            <w:r>
              <w:rPr>
                <w:rFonts w:ascii="Arial" w:cs="Arial" w:eastAsia="Arial" w:hAnsi="Arial"/>
                <w:sz w:val="13"/>
                <w:szCs w:val="13"/>
                <w:color w:val="auto"/>
              </w:rPr>
              <w:t>Incentive Stock Option Limitations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6. Stock Options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6.1</w:t>
            </w:r>
          </w:p>
        </w:tc>
        <w:tc>
          <w:tcPr>
            <w:tcW w:w="3900" w:type="dxa"/>
            <w:vAlign w:val="bottom"/>
          </w:tcPr>
          <w:p>
            <w:pPr>
              <w:ind w:left="20"/>
              <w:spacing w:after="0"/>
              <w:rPr>
                <w:sz w:val="20"/>
                <w:szCs w:val="20"/>
                <w:color w:val="auto"/>
              </w:rPr>
            </w:pPr>
            <w:r>
              <w:rPr>
                <w:rFonts w:ascii="Arial" w:cs="Arial" w:eastAsia="Arial" w:hAnsi="Arial"/>
                <w:sz w:val="13"/>
                <w:szCs w:val="13"/>
                <w:color w:val="auto"/>
              </w:rPr>
              <w:t>Exercise Price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6.2</w:t>
            </w:r>
          </w:p>
        </w:tc>
        <w:tc>
          <w:tcPr>
            <w:tcW w:w="3900" w:type="dxa"/>
            <w:vAlign w:val="bottom"/>
          </w:tcPr>
          <w:p>
            <w:pPr>
              <w:ind w:left="20"/>
              <w:spacing w:after="0"/>
              <w:rPr>
                <w:sz w:val="20"/>
                <w:szCs w:val="20"/>
                <w:color w:val="auto"/>
              </w:rPr>
            </w:pPr>
            <w:r>
              <w:rPr>
                <w:rFonts w:ascii="Arial" w:cs="Arial" w:eastAsia="Arial" w:hAnsi="Arial"/>
                <w:sz w:val="13"/>
                <w:szCs w:val="13"/>
                <w:color w:val="auto"/>
              </w:rPr>
              <w:t>Exercisability and Term of Options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6.3</w:t>
            </w:r>
          </w:p>
        </w:tc>
        <w:tc>
          <w:tcPr>
            <w:tcW w:w="3900" w:type="dxa"/>
            <w:vAlign w:val="bottom"/>
          </w:tcPr>
          <w:p>
            <w:pPr>
              <w:ind w:left="20"/>
              <w:spacing w:after="0"/>
              <w:rPr>
                <w:sz w:val="20"/>
                <w:szCs w:val="20"/>
                <w:color w:val="auto"/>
              </w:rPr>
            </w:pPr>
            <w:r>
              <w:rPr>
                <w:rFonts w:ascii="Arial" w:cs="Arial" w:eastAsia="Arial" w:hAnsi="Arial"/>
                <w:sz w:val="13"/>
                <w:szCs w:val="13"/>
                <w:color w:val="auto"/>
              </w:rPr>
              <w:t>Payment of Exercise Price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6.4</w:t>
            </w:r>
          </w:p>
        </w:tc>
        <w:tc>
          <w:tcPr>
            <w:tcW w:w="3900" w:type="dxa"/>
            <w:vAlign w:val="bottom"/>
          </w:tcPr>
          <w:p>
            <w:pPr>
              <w:ind w:left="20"/>
              <w:spacing w:after="0"/>
              <w:rPr>
                <w:sz w:val="20"/>
                <w:szCs w:val="20"/>
                <w:color w:val="auto"/>
              </w:rPr>
            </w:pPr>
            <w:r>
              <w:rPr>
                <w:rFonts w:ascii="Arial" w:cs="Arial" w:eastAsia="Arial" w:hAnsi="Arial"/>
                <w:sz w:val="13"/>
                <w:szCs w:val="13"/>
                <w:color w:val="auto"/>
              </w:rPr>
              <w:t>Effect of Termination of Service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6.5</w:t>
            </w:r>
          </w:p>
        </w:tc>
        <w:tc>
          <w:tcPr>
            <w:tcW w:w="3900" w:type="dxa"/>
            <w:vAlign w:val="bottom"/>
          </w:tcPr>
          <w:p>
            <w:pPr>
              <w:ind w:left="20"/>
              <w:spacing w:after="0"/>
              <w:rPr>
                <w:sz w:val="20"/>
                <w:szCs w:val="20"/>
                <w:color w:val="auto"/>
              </w:rPr>
            </w:pPr>
            <w:r>
              <w:rPr>
                <w:rFonts w:ascii="Arial" w:cs="Arial" w:eastAsia="Arial" w:hAnsi="Arial"/>
                <w:sz w:val="13"/>
                <w:szCs w:val="13"/>
                <w:color w:val="auto"/>
              </w:rPr>
              <w:t>Transferability of Options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7. Stock Appreciation Rights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07"/>
        </w:trPr>
        <w:tc>
          <w:tcPr>
            <w:tcW w:w="320" w:type="dxa"/>
            <w:vAlign w:val="bottom"/>
          </w:tcPr>
          <w:p>
            <w:pPr>
              <w:jc w:val="right"/>
              <w:spacing w:after="0"/>
              <w:rPr>
                <w:sz w:val="20"/>
                <w:szCs w:val="20"/>
                <w:color w:val="auto"/>
              </w:rPr>
            </w:pPr>
            <w:r>
              <w:rPr>
                <w:rFonts w:ascii="Arial" w:cs="Arial" w:eastAsia="Arial" w:hAnsi="Arial"/>
                <w:sz w:val="13"/>
                <w:szCs w:val="13"/>
                <w:color w:val="auto"/>
              </w:rPr>
              <w:t>7.1</w:t>
            </w:r>
          </w:p>
        </w:tc>
        <w:tc>
          <w:tcPr>
            <w:tcW w:w="3900" w:type="dxa"/>
            <w:vAlign w:val="bottom"/>
          </w:tcPr>
          <w:p>
            <w:pPr>
              <w:ind w:left="20"/>
              <w:spacing w:after="0"/>
              <w:rPr>
                <w:sz w:val="20"/>
                <w:szCs w:val="20"/>
                <w:color w:val="auto"/>
              </w:rPr>
            </w:pPr>
            <w:r>
              <w:rPr>
                <w:rFonts w:ascii="Arial" w:cs="Arial" w:eastAsia="Arial" w:hAnsi="Arial"/>
                <w:sz w:val="13"/>
                <w:szCs w:val="13"/>
                <w:color w:val="auto"/>
              </w:rPr>
              <w:t>Types of SARs Authorized</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7.2</w:t>
            </w:r>
          </w:p>
        </w:tc>
        <w:tc>
          <w:tcPr>
            <w:tcW w:w="3900" w:type="dxa"/>
            <w:vAlign w:val="bottom"/>
          </w:tcPr>
          <w:p>
            <w:pPr>
              <w:ind w:left="20"/>
              <w:spacing w:after="0"/>
              <w:rPr>
                <w:sz w:val="20"/>
                <w:szCs w:val="20"/>
                <w:color w:val="auto"/>
              </w:rPr>
            </w:pPr>
            <w:r>
              <w:rPr>
                <w:rFonts w:ascii="Arial" w:cs="Arial" w:eastAsia="Arial" w:hAnsi="Arial"/>
                <w:sz w:val="13"/>
                <w:szCs w:val="13"/>
                <w:color w:val="auto"/>
              </w:rPr>
              <w:t>Exercise Price</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320" w:type="dxa"/>
            <w:vAlign w:val="bottom"/>
          </w:tcPr>
          <w:p>
            <w:pPr>
              <w:jc w:val="right"/>
              <w:spacing w:after="0"/>
              <w:rPr>
                <w:sz w:val="20"/>
                <w:szCs w:val="20"/>
                <w:color w:val="auto"/>
              </w:rPr>
            </w:pPr>
            <w:r>
              <w:rPr>
                <w:rFonts w:ascii="Arial" w:cs="Arial" w:eastAsia="Arial" w:hAnsi="Arial"/>
                <w:sz w:val="13"/>
                <w:szCs w:val="13"/>
                <w:color w:val="auto"/>
              </w:rPr>
              <w:t>7.3</w:t>
            </w:r>
          </w:p>
        </w:tc>
        <w:tc>
          <w:tcPr>
            <w:tcW w:w="3900" w:type="dxa"/>
            <w:vAlign w:val="bottom"/>
          </w:tcPr>
          <w:p>
            <w:pPr>
              <w:ind w:left="20"/>
              <w:spacing w:after="0"/>
              <w:rPr>
                <w:sz w:val="20"/>
                <w:szCs w:val="20"/>
                <w:color w:val="auto"/>
              </w:rPr>
            </w:pPr>
            <w:r>
              <w:rPr>
                <w:rFonts w:ascii="Arial" w:cs="Arial" w:eastAsia="Arial" w:hAnsi="Arial"/>
                <w:sz w:val="13"/>
                <w:szCs w:val="13"/>
                <w:color w:val="auto"/>
              </w:rPr>
              <w:t>Exercisability and Term of SARs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5"/>
        </w:trPr>
        <w:tc>
          <w:tcPr>
            <w:tcW w:w="320" w:type="dxa"/>
            <w:vAlign w:val="bottom"/>
          </w:tcPr>
          <w:p>
            <w:pPr>
              <w:jc w:val="right"/>
              <w:spacing w:after="0"/>
              <w:rPr>
                <w:sz w:val="20"/>
                <w:szCs w:val="20"/>
                <w:color w:val="auto"/>
              </w:rPr>
            </w:pPr>
            <w:r>
              <w:rPr>
                <w:rFonts w:ascii="Arial" w:cs="Arial" w:eastAsia="Arial" w:hAnsi="Arial"/>
                <w:sz w:val="13"/>
                <w:szCs w:val="13"/>
                <w:color w:val="auto"/>
              </w:rPr>
              <w:t>7.4</w:t>
            </w:r>
          </w:p>
        </w:tc>
        <w:tc>
          <w:tcPr>
            <w:tcW w:w="3900" w:type="dxa"/>
            <w:vAlign w:val="bottom"/>
          </w:tcPr>
          <w:p>
            <w:pPr>
              <w:ind w:left="20"/>
              <w:spacing w:after="0"/>
              <w:rPr>
                <w:sz w:val="20"/>
                <w:szCs w:val="20"/>
                <w:color w:val="auto"/>
              </w:rPr>
            </w:pPr>
            <w:r>
              <w:rPr>
                <w:rFonts w:ascii="Arial" w:cs="Arial" w:eastAsia="Arial" w:hAnsi="Arial"/>
                <w:sz w:val="13"/>
                <w:szCs w:val="13"/>
                <w:color w:val="auto"/>
              </w:rPr>
              <w:t>Exercise of SARs</w:t>
            </w:r>
          </w:p>
        </w:tc>
        <w:tc>
          <w:tcPr>
            <w:tcW w:w="7240" w:type="dxa"/>
            <w:vAlign w:val="bottom"/>
            <w:gridSpan w:val="2"/>
          </w:tcPr>
          <w:p>
            <w:pPr>
              <w:jc w:val="right"/>
              <w:ind w:right="18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60" w:type="dxa"/>
            <w:vAlign w:val="bottom"/>
          </w:tcPr>
          <w:p>
            <w:pPr>
              <w:ind w:left="4660"/>
              <w:spacing w:after="0"/>
              <w:rPr>
                <w:sz w:val="20"/>
                <w:szCs w:val="20"/>
                <w:color w:val="auto"/>
              </w:rPr>
            </w:pPr>
            <w:r>
              <w:rPr>
                <w:rFonts w:ascii="Arial" w:cs="Arial" w:eastAsia="Arial" w:hAnsi="Arial"/>
                <w:sz w:val="13"/>
                <w:szCs w:val="13"/>
                <w:color w:val="auto"/>
              </w:rPr>
              <w:t>TABLE OF CONTENTS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60" w:type="dxa"/>
            <w:vAlign w:val="bottom"/>
          </w:tcPr>
          <w:p>
            <w:pPr>
              <w:ind w:left="5040"/>
              <w:spacing w:after="0"/>
              <w:rPr>
                <w:sz w:val="20"/>
                <w:szCs w:val="20"/>
                <w:color w:val="auto"/>
              </w:rPr>
            </w:pPr>
            <w:r>
              <w:rPr>
                <w:rFonts w:ascii="Arial" w:cs="Arial" w:eastAsia="Arial" w:hAnsi="Arial"/>
                <w:sz w:val="13"/>
                <w:szCs w:val="13"/>
                <w:color w:val="auto"/>
              </w:rPr>
              <w:t>(continued)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20" w:type="dxa"/>
            <w:vAlign w:val="bottom"/>
            <w:vMerge w:val="restart"/>
          </w:tcPr>
          <w:p>
            <w:pPr>
              <w:ind w:left="140"/>
              <w:spacing w:after="0"/>
              <w:rPr>
                <w:sz w:val="20"/>
                <w:szCs w:val="20"/>
                <w:color w:val="auto"/>
              </w:rPr>
            </w:pPr>
            <w:r>
              <w:rPr>
                <w:rFonts w:ascii="Arial" w:cs="Arial" w:eastAsia="Arial" w:hAnsi="Arial"/>
                <w:sz w:val="13"/>
                <w:szCs w:val="13"/>
                <w:color w:val="auto"/>
                <w:w w:val="88"/>
              </w:rPr>
              <w:t>7.5</w:t>
            </w:r>
          </w:p>
        </w:tc>
        <w:tc>
          <w:tcPr>
            <w:tcW w:w="10540" w:type="dxa"/>
            <w:vAlign w:val="bottom"/>
            <w:gridSpan w:val="2"/>
            <w:vMerge w:val="restart"/>
          </w:tcPr>
          <w:p>
            <w:pPr>
              <w:ind w:left="20"/>
              <w:spacing w:after="0"/>
              <w:rPr>
                <w:sz w:val="20"/>
                <w:szCs w:val="20"/>
                <w:color w:val="auto"/>
              </w:rPr>
            </w:pPr>
            <w:r>
              <w:rPr>
                <w:rFonts w:ascii="Arial" w:cs="Arial" w:eastAsia="Arial" w:hAnsi="Arial"/>
                <w:sz w:val="13"/>
                <w:szCs w:val="13"/>
                <w:color w:val="auto"/>
              </w:rPr>
              <w:t>Deemed Exercise of SARs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320" w:type="dxa"/>
            <w:vAlign w:val="bottom"/>
            <w:vMerge w:val="continue"/>
          </w:tcPr>
          <w:p>
            <w:pPr>
              <w:spacing w:after="0"/>
              <w:rPr>
                <w:sz w:val="12"/>
                <w:szCs w:val="12"/>
                <w:color w:val="auto"/>
              </w:rPr>
            </w:pPr>
          </w:p>
        </w:tc>
        <w:tc>
          <w:tcPr>
            <w:tcW w:w="10540" w:type="dxa"/>
            <w:vAlign w:val="bottom"/>
            <w:gridSpan w:val="2"/>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color w:val="auto"/>
                <w:w w:val="82"/>
              </w:rPr>
              <w:t>17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7.6</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Effect of Termination of Service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17</w:t>
            </w: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7.7</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Transferability of SARs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17</w:t>
            </w:r>
          </w:p>
        </w:tc>
        <w:tc>
          <w:tcPr>
            <w:tcW w:w="0" w:type="dxa"/>
            <w:vAlign w:val="bottom"/>
          </w:tcPr>
          <w:p>
            <w:pPr>
              <w:spacing w:after="0"/>
              <w:rPr>
                <w:sz w:val="1"/>
                <w:szCs w:val="1"/>
                <w:color w:val="auto"/>
              </w:rPr>
            </w:pPr>
          </w:p>
        </w:tc>
      </w:tr>
      <w:tr>
        <w:trPr>
          <w:trHeight w:val="315"/>
        </w:trPr>
        <w:tc>
          <w:tcPr>
            <w:tcW w:w="10860" w:type="dxa"/>
            <w:vAlign w:val="bottom"/>
            <w:gridSpan w:val="3"/>
          </w:tcPr>
          <w:p>
            <w:pPr>
              <w:spacing w:after="0"/>
              <w:rPr>
                <w:sz w:val="20"/>
                <w:szCs w:val="20"/>
                <w:color w:val="auto"/>
              </w:rPr>
            </w:pPr>
            <w:r>
              <w:rPr>
                <w:rFonts w:ascii="Arial" w:cs="Arial" w:eastAsia="Arial" w:hAnsi="Arial"/>
                <w:sz w:val="13"/>
                <w:szCs w:val="13"/>
                <w:color w:val="auto"/>
              </w:rPr>
              <w:t>8. Restricted Stock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8.1</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Types of Restricted Stock Awards Authorized</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8.2</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Purchase Price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8.3</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Purchase Period</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8.4</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Payment of Purchase Price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8.5</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Vesting and Restrictions on Transfer</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8.6</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Voting Rights; Dividends and Distributions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8.7</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Effect of Termination of Service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8.8</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Nontransferability of Restricted Stock Award Rights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315"/>
        </w:trPr>
        <w:tc>
          <w:tcPr>
            <w:tcW w:w="10860" w:type="dxa"/>
            <w:vAlign w:val="bottom"/>
            <w:gridSpan w:val="3"/>
          </w:tcPr>
          <w:p>
            <w:pPr>
              <w:spacing w:after="0"/>
              <w:rPr>
                <w:sz w:val="20"/>
                <w:szCs w:val="20"/>
                <w:color w:val="auto"/>
              </w:rPr>
            </w:pPr>
            <w:r>
              <w:rPr>
                <w:rFonts w:ascii="Arial" w:cs="Arial" w:eastAsia="Arial" w:hAnsi="Arial"/>
                <w:sz w:val="13"/>
                <w:szCs w:val="13"/>
                <w:color w:val="auto"/>
              </w:rPr>
              <w:t>9. Restricted Stock Unit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9.1</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Grant of Restricted Stock Unit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9.2</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Purchase Price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9.3</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Vesting</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9.4</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Voting Rights, Dividend Equivalent Rights and Distributions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9.5</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Effect of Termination of Service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9.6</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Settlement of Restricted Stock Unit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9.7</w:t>
            </w:r>
          </w:p>
        </w:tc>
        <w:tc>
          <w:tcPr>
            <w:tcW w:w="10540" w:type="dxa"/>
            <w:vAlign w:val="bottom"/>
            <w:gridSpan w:val="2"/>
          </w:tcPr>
          <w:p>
            <w:pPr>
              <w:ind w:left="20"/>
              <w:spacing w:after="0"/>
              <w:rPr>
                <w:sz w:val="20"/>
                <w:szCs w:val="20"/>
                <w:color w:val="auto"/>
              </w:rPr>
            </w:pPr>
            <w:r>
              <w:rPr>
                <w:rFonts w:ascii="Arial" w:cs="Arial" w:eastAsia="Arial" w:hAnsi="Arial"/>
                <w:sz w:val="13"/>
                <w:szCs w:val="13"/>
                <w:color w:val="auto"/>
              </w:rPr>
              <w:t>Nontransferability of Restricted Stock Unit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315"/>
        </w:trPr>
        <w:tc>
          <w:tcPr>
            <w:tcW w:w="10860" w:type="dxa"/>
            <w:vAlign w:val="bottom"/>
            <w:gridSpan w:val="3"/>
          </w:tcPr>
          <w:p>
            <w:pPr>
              <w:spacing w:after="0"/>
              <w:rPr>
                <w:sz w:val="20"/>
                <w:szCs w:val="20"/>
                <w:color w:val="auto"/>
              </w:rPr>
            </w:pPr>
            <w:r>
              <w:rPr>
                <w:rFonts w:ascii="Arial" w:cs="Arial" w:eastAsia="Arial" w:hAnsi="Arial"/>
                <w:sz w:val="13"/>
                <w:szCs w:val="13"/>
                <w:color w:val="auto"/>
              </w:rPr>
              <w:t>10. Performance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10.1</w:t>
            </w:r>
          </w:p>
        </w:tc>
        <w:tc>
          <w:tcPr>
            <w:tcW w:w="10460" w:type="dxa"/>
            <w:vAlign w:val="bottom"/>
          </w:tcPr>
          <w:p>
            <w:pPr>
              <w:spacing w:after="0"/>
              <w:rPr>
                <w:sz w:val="20"/>
                <w:szCs w:val="20"/>
                <w:color w:val="auto"/>
              </w:rPr>
            </w:pPr>
            <w:r>
              <w:rPr>
                <w:rFonts w:ascii="Arial" w:cs="Arial" w:eastAsia="Arial" w:hAnsi="Arial"/>
                <w:sz w:val="13"/>
                <w:szCs w:val="13"/>
                <w:color w:val="auto"/>
              </w:rPr>
              <w:t>Types of Performance Awards Authorized</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10.2</w:t>
            </w:r>
          </w:p>
        </w:tc>
        <w:tc>
          <w:tcPr>
            <w:tcW w:w="10460" w:type="dxa"/>
            <w:vAlign w:val="bottom"/>
          </w:tcPr>
          <w:p>
            <w:pPr>
              <w:spacing w:after="0"/>
              <w:rPr>
                <w:sz w:val="20"/>
                <w:szCs w:val="20"/>
                <w:color w:val="auto"/>
              </w:rPr>
            </w:pPr>
            <w:r>
              <w:rPr>
                <w:rFonts w:ascii="Arial" w:cs="Arial" w:eastAsia="Arial" w:hAnsi="Arial"/>
                <w:sz w:val="13"/>
                <w:szCs w:val="13"/>
                <w:color w:val="auto"/>
              </w:rPr>
              <w:t>Initial Value of Performance Shares and Performance Units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10.3</w:t>
            </w:r>
          </w:p>
        </w:tc>
        <w:tc>
          <w:tcPr>
            <w:tcW w:w="10460" w:type="dxa"/>
            <w:vAlign w:val="bottom"/>
          </w:tcPr>
          <w:p>
            <w:pPr>
              <w:spacing w:after="0"/>
              <w:rPr>
                <w:sz w:val="20"/>
                <w:szCs w:val="20"/>
                <w:color w:val="auto"/>
              </w:rPr>
            </w:pPr>
            <w:r>
              <w:rPr>
                <w:rFonts w:ascii="Arial" w:cs="Arial" w:eastAsia="Arial" w:hAnsi="Arial"/>
                <w:sz w:val="13"/>
                <w:szCs w:val="13"/>
                <w:color w:val="auto"/>
              </w:rPr>
              <w:t>Establishment of Performance Period, Performance Goals and Performance Award Formula</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10.4</w:t>
            </w:r>
          </w:p>
        </w:tc>
        <w:tc>
          <w:tcPr>
            <w:tcW w:w="10460" w:type="dxa"/>
            <w:vAlign w:val="bottom"/>
          </w:tcPr>
          <w:p>
            <w:pPr>
              <w:spacing w:after="0"/>
              <w:rPr>
                <w:sz w:val="20"/>
                <w:szCs w:val="20"/>
                <w:color w:val="auto"/>
              </w:rPr>
            </w:pPr>
            <w:r>
              <w:rPr>
                <w:rFonts w:ascii="Arial" w:cs="Arial" w:eastAsia="Arial" w:hAnsi="Arial"/>
                <w:sz w:val="13"/>
                <w:szCs w:val="13"/>
                <w:color w:val="auto"/>
              </w:rPr>
              <w:t>Measurement of Performance Goals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10.5</w:t>
            </w:r>
          </w:p>
        </w:tc>
        <w:tc>
          <w:tcPr>
            <w:tcW w:w="10460" w:type="dxa"/>
            <w:vAlign w:val="bottom"/>
          </w:tcPr>
          <w:p>
            <w:pPr>
              <w:spacing w:after="0"/>
              <w:rPr>
                <w:sz w:val="20"/>
                <w:szCs w:val="20"/>
                <w:color w:val="auto"/>
              </w:rPr>
            </w:pPr>
            <w:r>
              <w:rPr>
                <w:rFonts w:ascii="Arial" w:cs="Arial" w:eastAsia="Arial" w:hAnsi="Arial"/>
                <w:sz w:val="13"/>
                <w:szCs w:val="13"/>
                <w:color w:val="auto"/>
              </w:rPr>
              <w:t>Settlement of Performance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10.6</w:t>
            </w:r>
          </w:p>
        </w:tc>
        <w:tc>
          <w:tcPr>
            <w:tcW w:w="10460" w:type="dxa"/>
            <w:vAlign w:val="bottom"/>
          </w:tcPr>
          <w:p>
            <w:pPr>
              <w:spacing w:after="0"/>
              <w:rPr>
                <w:sz w:val="20"/>
                <w:szCs w:val="20"/>
                <w:color w:val="auto"/>
              </w:rPr>
            </w:pPr>
            <w:r>
              <w:rPr>
                <w:rFonts w:ascii="Arial" w:cs="Arial" w:eastAsia="Arial" w:hAnsi="Arial"/>
                <w:sz w:val="13"/>
                <w:szCs w:val="13"/>
                <w:color w:val="auto"/>
              </w:rPr>
              <w:t>Voting Rights; Dividend Equivalent Rights and Distributions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10.7</w:t>
            </w:r>
          </w:p>
        </w:tc>
        <w:tc>
          <w:tcPr>
            <w:tcW w:w="10460" w:type="dxa"/>
            <w:vAlign w:val="bottom"/>
          </w:tcPr>
          <w:p>
            <w:pPr>
              <w:spacing w:after="0"/>
              <w:rPr>
                <w:sz w:val="20"/>
                <w:szCs w:val="20"/>
                <w:color w:val="auto"/>
              </w:rPr>
            </w:pPr>
            <w:r>
              <w:rPr>
                <w:rFonts w:ascii="Arial" w:cs="Arial" w:eastAsia="Arial" w:hAnsi="Arial"/>
                <w:sz w:val="13"/>
                <w:szCs w:val="13"/>
                <w:color w:val="auto"/>
              </w:rPr>
              <w:t>Effect of Termination of Service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10.8</w:t>
            </w:r>
          </w:p>
        </w:tc>
        <w:tc>
          <w:tcPr>
            <w:tcW w:w="10460" w:type="dxa"/>
            <w:vAlign w:val="bottom"/>
          </w:tcPr>
          <w:p>
            <w:pPr>
              <w:spacing w:after="0"/>
              <w:rPr>
                <w:sz w:val="20"/>
                <w:szCs w:val="20"/>
                <w:color w:val="auto"/>
              </w:rPr>
            </w:pPr>
            <w:r>
              <w:rPr>
                <w:rFonts w:ascii="Arial" w:cs="Arial" w:eastAsia="Arial" w:hAnsi="Arial"/>
                <w:sz w:val="13"/>
                <w:szCs w:val="13"/>
                <w:color w:val="auto"/>
              </w:rPr>
              <w:t>Nontransferability of Performance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315"/>
        </w:trPr>
        <w:tc>
          <w:tcPr>
            <w:tcW w:w="10860" w:type="dxa"/>
            <w:vAlign w:val="bottom"/>
            <w:gridSpan w:val="3"/>
          </w:tcPr>
          <w:p>
            <w:pPr>
              <w:spacing w:after="0"/>
              <w:rPr>
                <w:sz w:val="20"/>
                <w:szCs w:val="20"/>
                <w:color w:val="auto"/>
              </w:rPr>
            </w:pPr>
            <w:r>
              <w:rPr>
                <w:rFonts w:ascii="Arial" w:cs="Arial" w:eastAsia="Arial" w:hAnsi="Arial"/>
                <w:sz w:val="13"/>
                <w:szCs w:val="13"/>
                <w:color w:val="auto"/>
              </w:rPr>
              <w:t>11. Cash-Based Awards and Other Stock-Based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307"/>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11.1 Grant of Cash-Based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11.2 Grant of Other Stock-Based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11.3 Value of Cash-Based and Other Stock-Based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11.4 Payment or Settlement of Cash-Based Awards and Other Stock-Based Awards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11.5 Voting Rights; Dividend Equivalent Rights and Distributions</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10860" w:type="dxa"/>
            <w:vAlign w:val="bottom"/>
            <w:gridSpan w:val="3"/>
          </w:tcPr>
          <w:p>
            <w:pPr>
              <w:ind w:left="140"/>
              <w:spacing w:after="0"/>
              <w:rPr>
                <w:sz w:val="20"/>
                <w:szCs w:val="20"/>
                <w:color w:val="auto"/>
              </w:rPr>
            </w:pPr>
            <w:r>
              <w:rPr>
                <w:rFonts w:ascii="Arial" w:cs="Arial" w:eastAsia="Arial" w:hAnsi="Arial"/>
                <w:sz w:val="13"/>
                <w:szCs w:val="13"/>
                <w:color w:val="auto"/>
              </w:rPr>
              <w:t>11.6 Effect of Termination of Service</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157"/>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6800" w:type="dxa"/>
            <w:vAlign w:val="bottom"/>
            <w:gridSpan w:val="2"/>
          </w:tcPr>
          <w:p>
            <w:pPr>
              <w:jc w:val="center"/>
              <w:ind w:right="4601"/>
              <w:spacing w:after="0"/>
              <w:rPr>
                <w:sz w:val="20"/>
                <w:szCs w:val="20"/>
                <w:color w:val="auto"/>
              </w:rPr>
            </w:pPr>
            <w:r>
              <w:rPr>
                <w:rFonts w:ascii="Arial" w:cs="Arial" w:eastAsia="Arial" w:hAnsi="Arial"/>
                <w:sz w:val="13"/>
                <w:szCs w:val="13"/>
                <w:color w:val="auto"/>
                <w:w w:val="97"/>
              </w:rPr>
              <w:t>TABLE OF CONTENTS</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800" w:type="dxa"/>
            <w:vAlign w:val="bottom"/>
            <w:gridSpan w:val="2"/>
          </w:tcPr>
          <w:p>
            <w:pPr>
              <w:jc w:val="center"/>
              <w:ind w:right="4581"/>
              <w:spacing w:after="0"/>
              <w:rPr>
                <w:sz w:val="20"/>
                <w:szCs w:val="20"/>
                <w:color w:val="auto"/>
              </w:rPr>
            </w:pPr>
            <w:r>
              <w:rPr>
                <w:rFonts w:ascii="Arial" w:cs="Arial" w:eastAsia="Arial" w:hAnsi="Arial"/>
                <w:sz w:val="13"/>
                <w:szCs w:val="13"/>
                <w:color w:val="auto"/>
                <w:w w:val="92"/>
              </w:rPr>
              <w:t>(continued)</w:t>
            </w:r>
          </w:p>
        </w:tc>
        <w:tc>
          <w:tcPr>
            <w:tcW w:w="0" w:type="dxa"/>
            <w:vAlign w:val="bottom"/>
          </w:tcPr>
          <w:p>
            <w:pPr>
              <w:spacing w:after="0"/>
              <w:rPr>
                <w:sz w:val="1"/>
                <w:szCs w:val="1"/>
                <w:color w:val="auto"/>
              </w:rPr>
            </w:pPr>
          </w:p>
        </w:tc>
      </w:tr>
      <w:tr>
        <w:trPr>
          <w:trHeight w:val="267"/>
        </w:trPr>
        <w:tc>
          <w:tcPr>
            <w:tcW w:w="4660" w:type="dxa"/>
            <w:vAlign w:val="bottom"/>
            <w:gridSpan w:val="3"/>
            <w:vMerge w:val="restart"/>
          </w:tcPr>
          <w:p>
            <w:pPr>
              <w:ind w:left="140"/>
              <w:spacing w:after="0"/>
              <w:rPr>
                <w:sz w:val="20"/>
                <w:szCs w:val="20"/>
                <w:color w:val="auto"/>
              </w:rPr>
            </w:pPr>
            <w:r>
              <w:rPr>
                <w:rFonts w:ascii="Arial" w:cs="Arial" w:eastAsia="Arial" w:hAnsi="Arial"/>
                <w:sz w:val="13"/>
                <w:szCs w:val="13"/>
                <w:color w:val="auto"/>
                <w:w w:val="99"/>
              </w:rPr>
              <w:t>11.7 Nontransferability of Cash-Based Awards and Other Stock-Based Awards</w:t>
            </w:r>
          </w:p>
        </w:tc>
        <w:tc>
          <w:tcPr>
            <w:tcW w:w="6200" w:type="dxa"/>
            <w:vAlign w:val="bottom"/>
          </w:tcPr>
          <w:p>
            <w:pPr>
              <w:spacing w:after="0"/>
              <w:rPr>
                <w:sz w:val="23"/>
                <w:szCs w:val="2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55"/>
        </w:trPr>
        <w:tc>
          <w:tcPr>
            <w:tcW w:w="4660" w:type="dxa"/>
            <w:vAlign w:val="bottom"/>
            <w:gridSpan w:val="3"/>
            <w:vMerge w:val="continue"/>
          </w:tcPr>
          <w:p>
            <w:pPr>
              <w:spacing w:after="0"/>
              <w:rPr>
                <w:sz w:val="13"/>
                <w:szCs w:val="13"/>
                <w:color w:val="auto"/>
              </w:rPr>
            </w:pPr>
          </w:p>
        </w:tc>
        <w:tc>
          <w:tcPr>
            <w:tcW w:w="6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306"/>
        </w:trPr>
        <w:tc>
          <w:tcPr>
            <w:tcW w:w="180" w:type="dxa"/>
            <w:vAlign w:val="bottom"/>
          </w:tcPr>
          <w:p>
            <w:pPr>
              <w:spacing w:after="0"/>
              <w:rPr>
                <w:sz w:val="20"/>
                <w:szCs w:val="20"/>
                <w:color w:val="auto"/>
              </w:rPr>
            </w:pPr>
            <w:r>
              <w:rPr>
                <w:rFonts w:ascii="Arial" w:cs="Arial" w:eastAsia="Arial" w:hAnsi="Arial"/>
                <w:sz w:val="13"/>
                <w:szCs w:val="13"/>
                <w:color w:val="auto"/>
                <w:w w:val="88"/>
              </w:rPr>
              <w:t>12.</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Nonemployee Director Awards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13.</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Standard Forms of Award Agreement</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13.1</w:t>
            </w:r>
          </w:p>
        </w:tc>
        <w:tc>
          <w:tcPr>
            <w:tcW w:w="4260" w:type="dxa"/>
            <w:vAlign w:val="bottom"/>
          </w:tcPr>
          <w:p>
            <w:pPr>
              <w:spacing w:after="0"/>
              <w:rPr>
                <w:sz w:val="20"/>
                <w:szCs w:val="20"/>
                <w:color w:val="auto"/>
              </w:rPr>
            </w:pPr>
            <w:r>
              <w:rPr>
                <w:rFonts w:ascii="Arial" w:cs="Arial" w:eastAsia="Arial" w:hAnsi="Arial"/>
                <w:sz w:val="13"/>
                <w:szCs w:val="13"/>
                <w:color w:val="auto"/>
              </w:rPr>
              <w:t>Award Agreements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13.2</w:t>
            </w:r>
          </w:p>
        </w:tc>
        <w:tc>
          <w:tcPr>
            <w:tcW w:w="4260" w:type="dxa"/>
            <w:vAlign w:val="bottom"/>
          </w:tcPr>
          <w:p>
            <w:pPr>
              <w:spacing w:after="0"/>
              <w:rPr>
                <w:sz w:val="20"/>
                <w:szCs w:val="20"/>
                <w:color w:val="auto"/>
              </w:rPr>
            </w:pPr>
            <w:r>
              <w:rPr>
                <w:rFonts w:ascii="Arial" w:cs="Arial" w:eastAsia="Arial" w:hAnsi="Arial"/>
                <w:sz w:val="13"/>
                <w:szCs w:val="13"/>
                <w:color w:val="auto"/>
              </w:rPr>
              <w:t>Authority to Vary Terms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14.</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Change in Control</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14.1</w:t>
            </w:r>
          </w:p>
        </w:tc>
        <w:tc>
          <w:tcPr>
            <w:tcW w:w="4260" w:type="dxa"/>
            <w:vAlign w:val="bottom"/>
          </w:tcPr>
          <w:p>
            <w:pPr>
              <w:spacing w:after="0"/>
              <w:rPr>
                <w:sz w:val="20"/>
                <w:szCs w:val="20"/>
                <w:color w:val="auto"/>
              </w:rPr>
            </w:pPr>
            <w:r>
              <w:rPr>
                <w:rFonts w:ascii="Arial" w:cs="Arial" w:eastAsia="Arial" w:hAnsi="Arial"/>
                <w:sz w:val="13"/>
                <w:szCs w:val="13"/>
                <w:color w:val="auto"/>
              </w:rPr>
              <w:t>Effect of Change in Control on Awards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14.2</w:t>
            </w:r>
          </w:p>
        </w:tc>
        <w:tc>
          <w:tcPr>
            <w:tcW w:w="4260" w:type="dxa"/>
            <w:vAlign w:val="bottom"/>
          </w:tcPr>
          <w:p>
            <w:pPr>
              <w:spacing w:after="0"/>
              <w:rPr>
                <w:sz w:val="20"/>
                <w:szCs w:val="20"/>
                <w:color w:val="auto"/>
              </w:rPr>
            </w:pPr>
            <w:r>
              <w:rPr>
                <w:rFonts w:ascii="Arial" w:cs="Arial" w:eastAsia="Arial" w:hAnsi="Arial"/>
                <w:sz w:val="13"/>
                <w:szCs w:val="13"/>
                <w:color w:val="auto"/>
              </w:rPr>
              <w:t>Effect of Change in Control on Nonemployee Director Awards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14.3</w:t>
            </w:r>
          </w:p>
        </w:tc>
        <w:tc>
          <w:tcPr>
            <w:tcW w:w="4260" w:type="dxa"/>
            <w:vAlign w:val="bottom"/>
          </w:tcPr>
          <w:p>
            <w:pPr>
              <w:spacing w:after="0"/>
              <w:rPr>
                <w:sz w:val="20"/>
                <w:szCs w:val="20"/>
                <w:color w:val="auto"/>
              </w:rPr>
            </w:pPr>
            <w:r>
              <w:rPr>
                <w:rFonts w:ascii="Arial" w:cs="Arial" w:eastAsia="Arial" w:hAnsi="Arial"/>
                <w:sz w:val="13"/>
                <w:szCs w:val="13"/>
                <w:color w:val="auto"/>
              </w:rPr>
              <w:t>Federal Excise Tax Under Section 4999 of the Code</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15.</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Compliance with Securities Law</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16.</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Compliance with Section 409A</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16.1</w:t>
            </w:r>
          </w:p>
        </w:tc>
        <w:tc>
          <w:tcPr>
            <w:tcW w:w="4260" w:type="dxa"/>
            <w:vAlign w:val="bottom"/>
          </w:tcPr>
          <w:p>
            <w:pPr>
              <w:spacing w:after="0"/>
              <w:rPr>
                <w:sz w:val="20"/>
                <w:szCs w:val="20"/>
                <w:color w:val="auto"/>
              </w:rPr>
            </w:pPr>
            <w:r>
              <w:rPr>
                <w:rFonts w:ascii="Arial" w:cs="Arial" w:eastAsia="Arial" w:hAnsi="Arial"/>
                <w:sz w:val="13"/>
                <w:szCs w:val="13"/>
                <w:color w:val="auto"/>
              </w:rPr>
              <w:t>Awards Subject to Section 409A</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16.2</w:t>
            </w:r>
          </w:p>
        </w:tc>
        <w:tc>
          <w:tcPr>
            <w:tcW w:w="4260" w:type="dxa"/>
            <w:vAlign w:val="bottom"/>
          </w:tcPr>
          <w:p>
            <w:pPr>
              <w:spacing w:after="0"/>
              <w:rPr>
                <w:sz w:val="20"/>
                <w:szCs w:val="20"/>
                <w:color w:val="auto"/>
              </w:rPr>
            </w:pPr>
            <w:r>
              <w:rPr>
                <w:rFonts w:ascii="Arial" w:cs="Arial" w:eastAsia="Arial" w:hAnsi="Arial"/>
                <w:sz w:val="13"/>
                <w:szCs w:val="13"/>
                <w:color w:val="auto"/>
              </w:rPr>
              <w:t>Deferral and/or Distribution Elections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16.3</w:t>
            </w:r>
          </w:p>
        </w:tc>
        <w:tc>
          <w:tcPr>
            <w:tcW w:w="4260" w:type="dxa"/>
            <w:vAlign w:val="bottom"/>
          </w:tcPr>
          <w:p>
            <w:pPr>
              <w:spacing w:after="0"/>
              <w:rPr>
                <w:sz w:val="20"/>
                <w:szCs w:val="20"/>
                <w:color w:val="auto"/>
              </w:rPr>
            </w:pPr>
            <w:r>
              <w:rPr>
                <w:rFonts w:ascii="Arial" w:cs="Arial" w:eastAsia="Arial" w:hAnsi="Arial"/>
                <w:sz w:val="13"/>
                <w:szCs w:val="13"/>
                <w:color w:val="auto"/>
              </w:rPr>
              <w:t>Subsequent Elections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16.4</w:t>
            </w:r>
          </w:p>
        </w:tc>
        <w:tc>
          <w:tcPr>
            <w:tcW w:w="4260" w:type="dxa"/>
            <w:vAlign w:val="bottom"/>
          </w:tcPr>
          <w:p>
            <w:pPr>
              <w:spacing w:after="0"/>
              <w:rPr>
                <w:sz w:val="20"/>
                <w:szCs w:val="20"/>
                <w:color w:val="auto"/>
              </w:rPr>
            </w:pPr>
            <w:r>
              <w:rPr>
                <w:rFonts w:ascii="Arial" w:cs="Arial" w:eastAsia="Arial" w:hAnsi="Arial"/>
                <w:sz w:val="13"/>
                <w:szCs w:val="13"/>
                <w:color w:val="auto"/>
              </w:rPr>
              <w:t>Payment of Section 409A Deferred Compensation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17.</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Tax Withholding</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17.1</w:t>
            </w:r>
          </w:p>
        </w:tc>
        <w:tc>
          <w:tcPr>
            <w:tcW w:w="4260" w:type="dxa"/>
            <w:vAlign w:val="bottom"/>
          </w:tcPr>
          <w:p>
            <w:pPr>
              <w:spacing w:after="0"/>
              <w:rPr>
                <w:sz w:val="20"/>
                <w:szCs w:val="20"/>
                <w:color w:val="auto"/>
              </w:rPr>
            </w:pPr>
            <w:r>
              <w:rPr>
                <w:rFonts w:ascii="Arial" w:cs="Arial" w:eastAsia="Arial" w:hAnsi="Arial"/>
                <w:sz w:val="13"/>
                <w:szCs w:val="13"/>
                <w:color w:val="auto"/>
              </w:rPr>
              <w:t>Tax Withholding in General</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65"/>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17.2</w:t>
            </w:r>
          </w:p>
        </w:tc>
        <w:tc>
          <w:tcPr>
            <w:tcW w:w="4260" w:type="dxa"/>
            <w:vAlign w:val="bottom"/>
          </w:tcPr>
          <w:p>
            <w:pPr>
              <w:spacing w:after="0"/>
              <w:rPr>
                <w:sz w:val="20"/>
                <w:szCs w:val="20"/>
                <w:color w:val="auto"/>
              </w:rPr>
            </w:pPr>
            <w:r>
              <w:rPr>
                <w:rFonts w:ascii="Arial" w:cs="Arial" w:eastAsia="Arial" w:hAnsi="Arial"/>
                <w:sz w:val="13"/>
                <w:szCs w:val="13"/>
                <w:color w:val="auto"/>
              </w:rPr>
              <w:t>Withholding in Shares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18.</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Amendment or Termination of Plan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19.</w:t>
            </w:r>
          </w:p>
        </w:tc>
        <w:tc>
          <w:tcPr>
            <w:tcW w:w="4480" w:type="dxa"/>
            <w:vAlign w:val="bottom"/>
            <w:gridSpan w:val="2"/>
          </w:tcPr>
          <w:p>
            <w:pPr>
              <w:ind w:left="20"/>
              <w:spacing w:after="0"/>
              <w:rPr>
                <w:sz w:val="20"/>
                <w:szCs w:val="20"/>
                <w:color w:val="auto"/>
              </w:rPr>
            </w:pPr>
            <w:r>
              <w:rPr>
                <w:rFonts w:ascii="Arial" w:cs="Arial" w:eastAsia="Arial" w:hAnsi="Arial"/>
                <w:sz w:val="13"/>
                <w:szCs w:val="13"/>
                <w:color w:val="auto"/>
              </w:rPr>
              <w:t>Miscellaneous Provisions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30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19.1</w:t>
            </w:r>
          </w:p>
        </w:tc>
        <w:tc>
          <w:tcPr>
            <w:tcW w:w="4260" w:type="dxa"/>
            <w:vAlign w:val="bottom"/>
          </w:tcPr>
          <w:p>
            <w:pPr>
              <w:spacing w:after="0"/>
              <w:rPr>
                <w:sz w:val="20"/>
                <w:szCs w:val="20"/>
                <w:color w:val="auto"/>
              </w:rPr>
            </w:pPr>
            <w:r>
              <w:rPr>
                <w:rFonts w:ascii="Arial" w:cs="Arial" w:eastAsia="Arial" w:hAnsi="Arial"/>
                <w:sz w:val="13"/>
                <w:szCs w:val="13"/>
                <w:color w:val="auto"/>
              </w:rPr>
              <w:t>Repurchase Rights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19.2</w:t>
            </w:r>
          </w:p>
        </w:tc>
        <w:tc>
          <w:tcPr>
            <w:tcW w:w="4260" w:type="dxa"/>
            <w:vAlign w:val="bottom"/>
          </w:tcPr>
          <w:p>
            <w:pPr>
              <w:spacing w:after="0"/>
              <w:rPr>
                <w:sz w:val="20"/>
                <w:szCs w:val="20"/>
                <w:color w:val="auto"/>
              </w:rPr>
            </w:pPr>
            <w:r>
              <w:rPr>
                <w:rFonts w:ascii="Arial" w:cs="Arial" w:eastAsia="Arial" w:hAnsi="Arial"/>
                <w:sz w:val="13"/>
                <w:szCs w:val="13"/>
                <w:color w:val="auto"/>
              </w:rPr>
              <w:t>Forfeiture Events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19.3</w:t>
            </w:r>
          </w:p>
        </w:tc>
        <w:tc>
          <w:tcPr>
            <w:tcW w:w="4260" w:type="dxa"/>
            <w:vAlign w:val="bottom"/>
          </w:tcPr>
          <w:p>
            <w:pPr>
              <w:spacing w:after="0"/>
              <w:rPr>
                <w:sz w:val="20"/>
                <w:szCs w:val="20"/>
                <w:color w:val="auto"/>
              </w:rPr>
            </w:pPr>
            <w:r>
              <w:rPr>
                <w:rFonts w:ascii="Arial" w:cs="Arial" w:eastAsia="Arial" w:hAnsi="Arial"/>
                <w:sz w:val="13"/>
                <w:szCs w:val="13"/>
                <w:color w:val="auto"/>
              </w:rPr>
              <w:t>Provision of Information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19.4</w:t>
            </w:r>
          </w:p>
        </w:tc>
        <w:tc>
          <w:tcPr>
            <w:tcW w:w="4260" w:type="dxa"/>
            <w:vAlign w:val="bottom"/>
          </w:tcPr>
          <w:p>
            <w:pPr>
              <w:spacing w:after="0"/>
              <w:rPr>
                <w:sz w:val="20"/>
                <w:szCs w:val="20"/>
                <w:color w:val="auto"/>
              </w:rPr>
            </w:pPr>
            <w:r>
              <w:rPr>
                <w:rFonts w:ascii="Arial" w:cs="Arial" w:eastAsia="Arial" w:hAnsi="Arial"/>
                <w:sz w:val="13"/>
                <w:szCs w:val="13"/>
                <w:color w:val="auto"/>
              </w:rPr>
              <w:t>Rights as Employee, Consultant or Director</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19.5</w:t>
            </w:r>
          </w:p>
        </w:tc>
        <w:tc>
          <w:tcPr>
            <w:tcW w:w="4260" w:type="dxa"/>
            <w:vAlign w:val="bottom"/>
          </w:tcPr>
          <w:p>
            <w:pPr>
              <w:spacing w:after="0"/>
              <w:rPr>
                <w:sz w:val="20"/>
                <w:szCs w:val="20"/>
                <w:color w:val="auto"/>
              </w:rPr>
            </w:pPr>
            <w:r>
              <w:rPr>
                <w:rFonts w:ascii="Arial" w:cs="Arial" w:eastAsia="Arial" w:hAnsi="Arial"/>
                <w:sz w:val="13"/>
                <w:szCs w:val="13"/>
                <w:color w:val="auto"/>
              </w:rPr>
              <w:t>Rights as a Stockholder</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19.6</w:t>
            </w:r>
          </w:p>
        </w:tc>
        <w:tc>
          <w:tcPr>
            <w:tcW w:w="4260" w:type="dxa"/>
            <w:vAlign w:val="bottom"/>
          </w:tcPr>
          <w:p>
            <w:pPr>
              <w:spacing w:after="0"/>
              <w:rPr>
                <w:sz w:val="20"/>
                <w:szCs w:val="20"/>
                <w:color w:val="auto"/>
              </w:rPr>
            </w:pPr>
            <w:r>
              <w:rPr>
                <w:rFonts w:ascii="Arial" w:cs="Arial" w:eastAsia="Arial" w:hAnsi="Arial"/>
                <w:sz w:val="13"/>
                <w:szCs w:val="13"/>
                <w:color w:val="auto"/>
              </w:rPr>
              <w:t>Delivery of Title to Shares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19.7</w:t>
            </w:r>
          </w:p>
        </w:tc>
        <w:tc>
          <w:tcPr>
            <w:tcW w:w="4260" w:type="dxa"/>
            <w:vAlign w:val="bottom"/>
          </w:tcPr>
          <w:p>
            <w:pPr>
              <w:spacing w:after="0"/>
              <w:rPr>
                <w:sz w:val="20"/>
                <w:szCs w:val="20"/>
                <w:color w:val="auto"/>
              </w:rPr>
            </w:pPr>
            <w:r>
              <w:rPr>
                <w:rFonts w:ascii="Arial" w:cs="Arial" w:eastAsia="Arial" w:hAnsi="Arial"/>
                <w:sz w:val="13"/>
                <w:szCs w:val="13"/>
                <w:color w:val="auto"/>
              </w:rPr>
              <w:t>Fractional Shares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19.8</w:t>
            </w:r>
          </w:p>
        </w:tc>
        <w:tc>
          <w:tcPr>
            <w:tcW w:w="4260" w:type="dxa"/>
            <w:vAlign w:val="bottom"/>
          </w:tcPr>
          <w:p>
            <w:pPr>
              <w:spacing w:after="0"/>
              <w:rPr>
                <w:sz w:val="20"/>
                <w:szCs w:val="20"/>
                <w:color w:val="auto"/>
              </w:rPr>
            </w:pPr>
            <w:r>
              <w:rPr>
                <w:rFonts w:ascii="Arial" w:cs="Arial" w:eastAsia="Arial" w:hAnsi="Arial"/>
                <w:sz w:val="13"/>
                <w:szCs w:val="13"/>
                <w:color w:val="auto"/>
              </w:rPr>
              <w:t>Retirement and Welfare Plans</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19.9</w:t>
            </w:r>
          </w:p>
        </w:tc>
        <w:tc>
          <w:tcPr>
            <w:tcW w:w="4260" w:type="dxa"/>
            <w:vAlign w:val="bottom"/>
          </w:tcPr>
          <w:p>
            <w:pPr>
              <w:spacing w:after="0"/>
              <w:rPr>
                <w:sz w:val="20"/>
                <w:szCs w:val="20"/>
                <w:color w:val="auto"/>
              </w:rPr>
            </w:pPr>
            <w:r>
              <w:rPr>
                <w:rFonts w:ascii="Arial" w:cs="Arial" w:eastAsia="Arial" w:hAnsi="Arial"/>
                <w:sz w:val="13"/>
                <w:szCs w:val="13"/>
                <w:color w:val="auto"/>
              </w:rPr>
              <w:t>Beneficiary Designation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660" w:type="dxa"/>
            <w:vAlign w:val="bottom"/>
            <w:gridSpan w:val="3"/>
          </w:tcPr>
          <w:p>
            <w:pPr>
              <w:ind w:left="140"/>
              <w:spacing w:after="0"/>
              <w:rPr>
                <w:sz w:val="20"/>
                <w:szCs w:val="20"/>
                <w:color w:val="auto"/>
              </w:rPr>
            </w:pPr>
            <w:r>
              <w:rPr>
                <w:rFonts w:ascii="Arial" w:cs="Arial" w:eastAsia="Arial" w:hAnsi="Arial"/>
                <w:sz w:val="13"/>
                <w:szCs w:val="13"/>
                <w:color w:val="auto"/>
              </w:rPr>
              <w:t>19.10 Severability</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660" w:type="dxa"/>
            <w:vAlign w:val="bottom"/>
            <w:gridSpan w:val="3"/>
          </w:tcPr>
          <w:p>
            <w:pPr>
              <w:ind w:left="140"/>
              <w:spacing w:after="0"/>
              <w:rPr>
                <w:sz w:val="20"/>
                <w:szCs w:val="20"/>
                <w:color w:val="auto"/>
              </w:rPr>
            </w:pPr>
            <w:r>
              <w:rPr>
                <w:rFonts w:ascii="Arial" w:cs="Arial" w:eastAsia="Arial" w:hAnsi="Arial"/>
                <w:sz w:val="13"/>
                <w:szCs w:val="13"/>
                <w:color w:val="auto"/>
              </w:rPr>
              <w:t>19.11 No Constraint on Corporate Action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4660" w:type="dxa"/>
            <w:vAlign w:val="bottom"/>
            <w:gridSpan w:val="3"/>
          </w:tcPr>
          <w:p>
            <w:pPr>
              <w:ind w:left="140"/>
              <w:spacing w:after="0"/>
              <w:rPr>
                <w:sz w:val="20"/>
                <w:szCs w:val="20"/>
                <w:color w:val="auto"/>
              </w:rPr>
            </w:pPr>
            <w:r>
              <w:rPr>
                <w:rFonts w:ascii="Arial" w:cs="Arial" w:eastAsia="Arial" w:hAnsi="Arial"/>
                <w:sz w:val="13"/>
                <w:szCs w:val="13"/>
                <w:color w:val="auto"/>
              </w:rPr>
              <w:t>19.12 Unfunded Obligation</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65"/>
        </w:trPr>
        <w:tc>
          <w:tcPr>
            <w:tcW w:w="4660" w:type="dxa"/>
            <w:vAlign w:val="bottom"/>
            <w:gridSpan w:val="3"/>
          </w:tcPr>
          <w:p>
            <w:pPr>
              <w:ind w:left="140"/>
              <w:spacing w:after="0"/>
              <w:rPr>
                <w:sz w:val="20"/>
                <w:szCs w:val="20"/>
                <w:color w:val="auto"/>
              </w:rPr>
            </w:pPr>
            <w:r>
              <w:rPr>
                <w:rFonts w:ascii="Arial" w:cs="Arial" w:eastAsia="Arial" w:hAnsi="Arial"/>
                <w:sz w:val="13"/>
                <w:szCs w:val="13"/>
                <w:color w:val="auto"/>
              </w:rPr>
              <w:t>19.13 Choice of Law</w:t>
            </w:r>
          </w:p>
        </w:tc>
        <w:tc>
          <w:tcPr>
            <w:tcW w:w="6800" w:type="dxa"/>
            <w:vAlign w:val="bottom"/>
            <w:gridSpan w:val="2"/>
          </w:tcPr>
          <w:p>
            <w:pPr>
              <w:jc w:val="center"/>
              <w:ind w:left="6134"/>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13"/>
          <w:szCs w:val="13"/>
          <w:b w:val="1"/>
          <w:bCs w:val="1"/>
          <w:color w:val="auto"/>
        </w:rPr>
        <w:t>Grand Canyon Education,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2008 Equity Incentive Plan</w:t>
      </w:r>
    </w:p>
    <w:p>
      <w:pPr>
        <w:spacing w:after="0" w:line="75" w:lineRule="exact"/>
        <w:rPr>
          <w:sz w:val="20"/>
          <w:szCs w:val="20"/>
          <w:color w:val="auto"/>
        </w:rPr>
      </w:pPr>
    </w:p>
    <w:p>
      <w:pPr>
        <w:ind w:left="300" w:hanging="138"/>
        <w:spacing w:after="0"/>
        <w:tabs>
          <w:tab w:leader="none" w:pos="300" w:val="left"/>
        </w:tabs>
        <w:numPr>
          <w:ilvl w:val="0"/>
          <w:numId w:val="175"/>
        </w:numPr>
        <w:rPr>
          <w:rFonts w:ascii="Arial" w:cs="Arial" w:eastAsia="Arial" w:hAnsi="Arial"/>
          <w:sz w:val="13"/>
          <w:szCs w:val="13"/>
          <w:color w:val="auto"/>
        </w:rPr>
      </w:pP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STABLISHMENT</w:t>
      </w:r>
      <w:r>
        <w:rPr>
          <w:rFonts w:ascii="Arial" w:cs="Arial" w:eastAsia="Arial" w:hAnsi="Arial"/>
          <w:sz w:val="13"/>
          <w:szCs w:val="13"/>
          <w:b w:val="1"/>
          <w:bCs w:val="1"/>
          <w:u w:val="single" w:color="auto"/>
          <w:color w:val="auto"/>
        </w:rPr>
        <w:t>, P</w:t>
      </w:r>
      <w:r>
        <w:rPr>
          <w:rFonts w:ascii="Arial" w:cs="Arial" w:eastAsia="Arial" w:hAnsi="Arial"/>
          <w:sz w:val="8"/>
          <w:szCs w:val="8"/>
          <w:b w:val="1"/>
          <w:bCs w:val="1"/>
          <w:u w:val="single" w:color="auto"/>
          <w:color w:val="auto"/>
        </w:rPr>
        <w:t>URPOSE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ERM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86" w:lineRule="exact"/>
        <w:rPr>
          <w:sz w:val="20"/>
          <w:szCs w:val="20"/>
          <w:color w:val="auto"/>
        </w:rPr>
      </w:pPr>
    </w:p>
    <w:p>
      <w:pPr>
        <w:ind w:right="400" w:firstLine="328"/>
        <w:spacing w:after="0" w:line="283"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Establishment</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Grand Canyon Education, Inc. 2008 Equity Incentive Plan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i w:val="1"/>
          <w:iCs w:val="1"/>
          <w:color w:val="auto"/>
        </w:rPr>
        <w:t>”</w:t>
      </w:r>
      <w:r>
        <w:rPr>
          <w:rFonts w:ascii="Arial" w:cs="Arial" w:eastAsia="Arial" w:hAnsi="Arial"/>
          <w:sz w:val="13"/>
          <w:szCs w:val="13"/>
          <w:color w:val="auto"/>
        </w:rPr>
        <w:t xml:space="preserve">) is hereby established effective as of September 26, 2008, the date of its approval by the stockholders of the Company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41"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Purpose</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Performance Units, Cash-Based and Other Stock-Based Awards and Nonemployee Director Awards.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b w:val="1"/>
          <w:bCs w:val="1"/>
          <w:color w:val="auto"/>
        </w:rPr>
        <w:t>Term of Plan.</w:t>
      </w:r>
      <w:r>
        <w:rPr>
          <w:rFonts w:ascii="Arial" w:cs="Arial" w:eastAsia="Arial" w:hAnsi="Arial"/>
          <w:sz w:val="12"/>
          <w:szCs w:val="12"/>
          <w:color w:val="auto"/>
        </w:rPr>
        <w:t xml:space="preserve"> The Plan shall continue in effect until its termination by the Committee; provided, however, that all Awards shall be granted, if at all, within ten (10) years from the Effective Date.</w:t>
      </w:r>
    </w:p>
    <w:p>
      <w:pPr>
        <w:spacing w:after="0" w:line="98" w:lineRule="exact"/>
        <w:rPr>
          <w:sz w:val="20"/>
          <w:szCs w:val="20"/>
          <w:color w:val="auto"/>
        </w:rPr>
      </w:pPr>
    </w:p>
    <w:p>
      <w:pPr>
        <w:ind w:left="300" w:hanging="138"/>
        <w:spacing w:after="0"/>
        <w:tabs>
          <w:tab w:leader="none" w:pos="300" w:val="left"/>
        </w:tabs>
        <w:numPr>
          <w:ilvl w:val="0"/>
          <w:numId w:val="176"/>
        </w:numPr>
        <w:rPr>
          <w:rFonts w:ascii="Arial" w:cs="Arial" w:eastAsia="Arial" w:hAnsi="Arial"/>
          <w:sz w:val="13"/>
          <w:szCs w:val="13"/>
          <w:color w:val="auto"/>
        </w:rPr>
      </w:pP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EFINITIONS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ONSTRUCTION</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color w:val="auto"/>
        </w:rPr>
        <w:t>Definitions.</w:t>
      </w:r>
      <w:r>
        <w:rPr>
          <w:rFonts w:ascii="Arial" w:cs="Arial" w:eastAsia="Arial" w:hAnsi="Arial"/>
          <w:sz w:val="13"/>
          <w:szCs w:val="13"/>
          <w:color w:val="auto"/>
        </w:rPr>
        <w:t xml:space="preserve"> Whenever used herein, the following terms shall have their respective meanings set forth below:</w:t>
      </w:r>
    </w:p>
    <w:p>
      <w:pPr>
        <w:spacing w:after="0" w:line="90" w:lineRule="exact"/>
        <w:rPr>
          <w:sz w:val="20"/>
          <w:szCs w:val="20"/>
          <w:color w:val="auto"/>
        </w:rPr>
      </w:pPr>
    </w:p>
    <w:p>
      <w:pPr>
        <w:ind w:right="20" w:firstLine="490"/>
        <w:spacing w:after="0" w:line="260" w:lineRule="auto"/>
        <w:tabs>
          <w:tab w:leader="none" w:pos="669" w:val="left"/>
        </w:tabs>
        <w:numPr>
          <w:ilvl w:val="0"/>
          <w:numId w:val="17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Affiliate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(i) an entity, other than a Parent Corporation, that directly, or indirectly through one or more intermediary entities, controls the Company or (ii) an entity, other than a 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59" w:lineRule="exact"/>
        <w:rPr>
          <w:rFonts w:ascii="Arial" w:cs="Arial" w:eastAsia="Arial" w:hAnsi="Arial"/>
          <w:sz w:val="13"/>
          <w:szCs w:val="13"/>
          <w:color w:val="auto"/>
        </w:rPr>
      </w:pPr>
    </w:p>
    <w:p>
      <w:pPr>
        <w:ind w:right="140" w:firstLine="490"/>
        <w:spacing w:after="0" w:line="276" w:lineRule="auto"/>
        <w:tabs>
          <w:tab w:leader="none" w:pos="677" w:val="left"/>
        </w:tabs>
        <w:numPr>
          <w:ilvl w:val="0"/>
          <w:numId w:val="17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Option, Stock Appreciation Right, Restricted Stock Purchase Right, Restricted Stock Bonus, Restricted Stock Unit, Performance Share, Performance Unit, Cash-Based Award, Other</w:t>
      </w:r>
      <w:r>
        <w:rPr>
          <w:rFonts w:ascii="Arial" w:cs="Arial" w:eastAsia="Arial" w:hAnsi="Arial"/>
          <w:sz w:val="13"/>
          <w:szCs w:val="13"/>
          <w:i w:val="1"/>
          <w:iCs w:val="1"/>
          <w:color w:val="auto"/>
        </w:rPr>
        <w:t xml:space="preserve"> </w:t>
      </w:r>
      <w:r>
        <w:rPr>
          <w:rFonts w:ascii="Arial" w:cs="Arial" w:eastAsia="Arial" w:hAnsi="Arial"/>
          <w:sz w:val="13"/>
          <w:szCs w:val="13"/>
          <w:color w:val="auto"/>
        </w:rPr>
        <w:t>Stock-Based Award or Nonemployee Director Award granted under the Plan.</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177"/>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Award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written or electronic agreement between the Company and a Participant setting forth the terms, conditions and restrictions of the Award granted to the Participant.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71" w:name="page272"/>
    <w:bookmarkEnd w:id="271"/>
    <w:p>
      <w:pPr>
        <w:ind w:left="620" w:hanging="190"/>
        <w:spacing w:after="0"/>
        <w:tabs>
          <w:tab w:leader="none" w:pos="620" w:val="left"/>
        </w:tabs>
        <w:numPr>
          <w:ilvl w:val="0"/>
          <w:numId w:val="17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Board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Board of Directors of the Company.</w:t>
      </w:r>
    </w:p>
    <w:p>
      <w:pPr>
        <w:spacing w:after="0" w:line="86" w:lineRule="exact"/>
        <w:rPr>
          <w:rFonts w:ascii="Arial" w:cs="Arial" w:eastAsia="Arial" w:hAnsi="Arial"/>
          <w:sz w:val="13"/>
          <w:szCs w:val="13"/>
          <w:color w:val="auto"/>
        </w:rPr>
      </w:pPr>
    </w:p>
    <w:p>
      <w:pPr>
        <w:ind w:left="600" w:hanging="170"/>
        <w:spacing w:after="0"/>
        <w:tabs>
          <w:tab w:leader="none" w:pos="600" w:val="left"/>
        </w:tabs>
        <w:numPr>
          <w:ilvl w:val="0"/>
          <w:numId w:val="17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Cash-Based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denominated in cash and granted pursuant to Section 11.</w:t>
      </w:r>
    </w:p>
    <w:p>
      <w:pPr>
        <w:spacing w:after="0" w:line="86" w:lineRule="exact"/>
        <w:rPr>
          <w:rFonts w:ascii="Arial" w:cs="Arial" w:eastAsia="Arial" w:hAnsi="Arial"/>
          <w:sz w:val="13"/>
          <w:szCs w:val="13"/>
          <w:color w:val="auto"/>
        </w:rPr>
      </w:pPr>
    </w:p>
    <w:p>
      <w:pPr>
        <w:ind w:left="-60" w:right="40" w:firstLine="490"/>
        <w:spacing w:after="0" w:line="279" w:lineRule="auto"/>
        <w:tabs>
          <w:tab w:leader="none" w:pos="595" w:val="left"/>
        </w:tabs>
        <w:numPr>
          <w:ilvl w:val="0"/>
          <w:numId w:val="178"/>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Cause</w:t>
      </w:r>
      <w:r>
        <w:rPr>
          <w:rFonts w:ascii="Arial" w:cs="Arial" w:eastAsia="Arial" w:hAnsi="Arial"/>
          <w:sz w:val="12"/>
          <w:szCs w:val="12"/>
          <w:i w:val="1"/>
          <w:iCs w:val="1"/>
          <w:color w:val="auto"/>
        </w:rPr>
        <w:t xml:space="preserve">” </w:t>
      </w:r>
      <w:r>
        <w:rPr>
          <w:rFonts w:ascii="Arial" w:cs="Arial" w:eastAsia="Arial" w:hAnsi="Arial"/>
          <w:sz w:val="12"/>
          <w:szCs w:val="12"/>
          <w:color w:val="auto"/>
        </w:rPr>
        <w:t>means, unless such term or an equivalent term is otherwise defined with respect to an Award by the Participant’s Award Agreement or by a written contract of employment or service,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50" w:lineRule="exact"/>
        <w:rPr>
          <w:rFonts w:ascii="Arial" w:cs="Arial" w:eastAsia="Arial" w:hAnsi="Arial"/>
          <w:sz w:val="12"/>
          <w:szCs w:val="12"/>
          <w:color w:val="auto"/>
        </w:rPr>
      </w:pPr>
    </w:p>
    <w:p>
      <w:pPr>
        <w:ind w:left="-60" w:firstLine="490"/>
        <w:spacing w:after="0" w:line="276" w:lineRule="auto"/>
        <w:tabs>
          <w:tab w:leader="none" w:pos="617" w:val="left"/>
        </w:tabs>
        <w:numPr>
          <w:ilvl w:val="0"/>
          <w:numId w:val="17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Change in Control</w:t>
      </w:r>
      <w:r>
        <w:rPr>
          <w:rFonts w:ascii="Arial" w:cs="Arial" w:eastAsia="Arial" w:hAnsi="Arial"/>
          <w:sz w:val="13"/>
          <w:szCs w:val="13"/>
          <w:i w:val="1"/>
          <w:iCs w:val="1"/>
          <w:color w:val="auto"/>
        </w:rPr>
        <w:t xml:space="preserve">” </w:t>
      </w:r>
      <w:r>
        <w:rPr>
          <w:rFonts w:ascii="Arial" w:cs="Arial" w:eastAsia="Arial" w:hAnsi="Arial"/>
          <w:sz w:val="13"/>
          <w:szCs w:val="13"/>
          <w:color w:val="auto"/>
        </w:rPr>
        <w:t>means, unless such term or an equivalent term is otherwise defined with respect to an Award by the Participant’s Award Agreement or by a written contract of employment or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the occurrence of any of the following:</w:t>
      </w:r>
    </w:p>
    <w:p>
      <w:pPr>
        <w:spacing w:after="0" w:line="49" w:lineRule="exact"/>
        <w:rPr>
          <w:rFonts w:ascii="Arial" w:cs="Arial" w:eastAsia="Arial" w:hAnsi="Arial"/>
          <w:sz w:val="13"/>
          <w:szCs w:val="13"/>
          <w:color w:val="auto"/>
        </w:rPr>
      </w:pPr>
    </w:p>
    <w:p>
      <w:pPr>
        <w:ind w:left="-60" w:firstLine="654"/>
        <w:spacing w:after="0" w:line="282" w:lineRule="auto"/>
        <w:tabs>
          <w:tab w:leader="none" w:pos="751" w:val="left"/>
        </w:tabs>
        <w:numPr>
          <w:ilvl w:val="1"/>
          <w:numId w:val="178"/>
        </w:numPr>
        <w:rPr>
          <w:rFonts w:ascii="Arial" w:cs="Arial" w:eastAsia="Arial" w:hAnsi="Arial"/>
          <w:sz w:val="12"/>
          <w:szCs w:val="12"/>
          <w:color w:val="auto"/>
        </w:rPr>
      </w:pPr>
      <w:r>
        <w:rPr>
          <w:rFonts w:ascii="Arial" w:cs="Arial" w:eastAsia="Arial" w:hAnsi="Arial"/>
          <w:sz w:val="12"/>
          <w:szCs w:val="12"/>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level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49" w:lineRule="exact"/>
        <w:rPr>
          <w:rFonts w:ascii="Arial" w:cs="Arial" w:eastAsia="Arial" w:hAnsi="Arial"/>
          <w:sz w:val="12"/>
          <w:szCs w:val="12"/>
          <w:color w:val="auto"/>
        </w:rPr>
      </w:pPr>
    </w:p>
    <w:p>
      <w:pPr>
        <w:ind w:left="780" w:hanging="186"/>
        <w:spacing w:after="0"/>
        <w:tabs>
          <w:tab w:leader="none" w:pos="7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an Ownership Change Event or series of related Ownership Change Events (collectively,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Transaction</w:t>
      </w:r>
      <w:r>
        <w:rPr>
          <w:rFonts w:ascii="Arial" w:cs="Arial" w:eastAsia="Arial" w:hAnsi="Arial"/>
          <w:sz w:val="13"/>
          <w:szCs w:val="13"/>
          <w:i w:val="1"/>
          <w:iCs w:val="1"/>
          <w:color w:val="auto"/>
        </w:rPr>
        <w:t>”</w:t>
      </w:r>
      <w:r>
        <w:rPr>
          <w:rFonts w:ascii="Arial" w:cs="Arial" w:eastAsia="Arial" w:hAnsi="Arial"/>
          <w:sz w:val="13"/>
          <w:szCs w:val="13"/>
          <w:color w:val="auto"/>
        </w:rPr>
        <w:t>) in which the stockholders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21" w:right="259" w:bottom="1440" w:gutter="0" w:footer="0" w:header="0"/>
        </w:sectPr>
      </w:pPr>
    </w:p>
    <w:bookmarkStart w:id="272" w:name="page273"/>
    <w:bookmarkEnd w:id="272"/>
    <w:p>
      <w:pPr>
        <w:jc w:val="both"/>
        <w:ind w:right="480"/>
        <w:spacing w:after="0" w:line="264" w:lineRule="auto"/>
        <w:rPr>
          <w:sz w:val="20"/>
          <w:szCs w:val="20"/>
          <w:color w:val="auto"/>
        </w:rPr>
      </w:pPr>
      <w:r>
        <w:rPr>
          <w:rFonts w:ascii="Arial" w:cs="Arial" w:eastAsia="Arial" w:hAnsi="Arial"/>
          <w:sz w:val="13"/>
          <w:szCs w:val="13"/>
          <w:color w:val="auto"/>
        </w:rPr>
        <w:t xml:space="preserve">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Transferee</w:t>
      </w:r>
      <w:r>
        <w:rPr>
          <w:rFonts w:ascii="Arial" w:cs="Arial" w:eastAsia="Arial" w:hAnsi="Arial"/>
          <w:sz w:val="13"/>
          <w:szCs w:val="13"/>
          <w:i w:val="1"/>
          <w:iCs w:val="1"/>
          <w:color w:val="auto"/>
        </w:rPr>
        <w:t>”</w:t>
      </w:r>
      <w:r>
        <w:rPr>
          <w:rFonts w:ascii="Arial" w:cs="Arial" w:eastAsia="Arial" w:hAnsi="Arial"/>
          <w:sz w:val="13"/>
          <w:szCs w:val="13"/>
          <w:color w:val="auto"/>
        </w:rPr>
        <w:t>), as the case may be; or</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(iii) a liquidation or dissolution of the Company;</w:t>
      </w:r>
    </w:p>
    <w:p>
      <w:pPr>
        <w:spacing w:after="0" w:line="8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provided, however, that a Change in Control shall be deemed not to include a transaction described in subsections (i) or (ii) of this Section 2.1(g) in which a majority of the members of the board of directors of the continuing, surviving or successor entity, or parent thereof, immediately after such transaction is comprised of Incumbent Directors.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sales or exchanges of the voting securities of the Company or multiple Ownership Change Events are related, and its determination shall be final, binding and conclusive.</w:t>
      </w:r>
    </w:p>
    <w:p>
      <w:pPr>
        <w:spacing w:after="0" w:line="61" w:lineRule="exact"/>
        <w:rPr>
          <w:sz w:val="20"/>
          <w:szCs w:val="20"/>
          <w:color w:val="auto"/>
        </w:rPr>
      </w:pPr>
    </w:p>
    <w:p>
      <w:pPr>
        <w:ind w:left="680" w:hanging="190"/>
        <w:spacing w:after="0"/>
        <w:tabs>
          <w:tab w:leader="none" w:pos="680"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Internal Revenue Code of 1986, as amended, and any applicable regulations or administrative guidelines promulgated thereunder.</w:t>
      </w:r>
    </w:p>
    <w:p>
      <w:pPr>
        <w:spacing w:after="0" w:line="86" w:lineRule="exact"/>
        <w:rPr>
          <w:rFonts w:ascii="Arial" w:cs="Arial" w:eastAsia="Arial" w:hAnsi="Arial"/>
          <w:sz w:val="13"/>
          <w:szCs w:val="13"/>
          <w:color w:val="auto"/>
        </w:rPr>
      </w:pPr>
    </w:p>
    <w:p>
      <w:pPr>
        <w:ind w:right="20" w:firstLine="490"/>
        <w:spacing w:after="0" w:line="264" w:lineRule="auto"/>
        <w:tabs>
          <w:tab w:leader="none" w:pos="648"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Compensation Committee and such other committee or subcommittee of the Board, if any, duly appointed to administer the Plan and having such powers in each instance as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57" w:lineRule="exact"/>
        <w:rPr>
          <w:rFonts w:ascii="Arial" w:cs="Arial" w:eastAsia="Arial" w:hAnsi="Arial"/>
          <w:sz w:val="13"/>
          <w:szCs w:val="13"/>
          <w:color w:val="auto"/>
        </w:rPr>
      </w:pPr>
    </w:p>
    <w:p>
      <w:pPr>
        <w:ind w:left="640" w:hanging="150"/>
        <w:spacing w:after="0"/>
        <w:tabs>
          <w:tab w:leader="none" w:pos="640"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means Grand Canyon Education, Inc., a Delaware corporation, or any successor corporation thereto.</w:t>
      </w:r>
    </w:p>
    <w:p>
      <w:pPr>
        <w:spacing w:after="0" w:line="86" w:lineRule="exact"/>
        <w:rPr>
          <w:rFonts w:ascii="Arial" w:cs="Arial" w:eastAsia="Arial" w:hAnsi="Arial"/>
          <w:sz w:val="13"/>
          <w:szCs w:val="13"/>
          <w:color w:val="auto"/>
        </w:rPr>
      </w:pPr>
    </w:p>
    <w:p>
      <w:pPr>
        <w:ind w:right="100" w:firstLine="490"/>
        <w:spacing w:after="0" w:line="264" w:lineRule="auto"/>
        <w:tabs>
          <w:tab w:leader="none" w:pos="677"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Consultant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person engaged to provide consulting or advisory services (other than as an Employee or a member of the Board) to a Participating Company, provided that the identity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57" w:lineRule="exact"/>
        <w:rPr>
          <w:rFonts w:ascii="Arial" w:cs="Arial" w:eastAsia="Arial" w:hAnsi="Arial"/>
          <w:sz w:val="13"/>
          <w:szCs w:val="13"/>
          <w:color w:val="auto"/>
        </w:rPr>
      </w:pPr>
    </w:p>
    <w:p>
      <w:pPr>
        <w:ind w:right="20" w:firstLine="490"/>
        <w:spacing w:after="0" w:line="296" w:lineRule="auto"/>
        <w:tabs>
          <w:tab w:leader="none" w:pos="64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Covered Employee</w:t>
      </w:r>
      <w:r>
        <w:rPr>
          <w:rFonts w:ascii="Arial" w:cs="Arial" w:eastAsia="Arial" w:hAnsi="Arial"/>
          <w:sz w:val="12"/>
          <w:szCs w:val="12"/>
          <w:i w:val="1"/>
          <w:iCs w:val="1"/>
          <w:color w:val="auto"/>
        </w:rPr>
        <w:t>”</w:t>
      </w:r>
      <w:r>
        <w:rPr>
          <w:rFonts w:ascii="Arial" w:cs="Arial" w:eastAsia="Arial" w:hAnsi="Arial"/>
          <w:sz w:val="12"/>
          <w:szCs w:val="12"/>
          <w:color w:val="auto"/>
        </w:rPr>
        <w:t xml:space="preserve"> means, at any time the Plan is subject to Section 162(m), any Employee who is or may reasonably be expected to become a “covered employee” as defined in Section 162(m), or any successor statute, and who is designated, either as an individual Employee or a member of a class of Employees, by the Committee no later than (i) the date that is ninety (90) days after the beginning of the Performance Period, or (ii) the date on which twenty-five percent (25%) of the Performance Period has elapsed, as a “Covered Employee” under this Plan for such applicable Performance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3" w:name="page274"/>
    <w:bookmarkEnd w:id="273"/>
    <w:p>
      <w:pPr>
        <w:ind w:left="720" w:hanging="230"/>
        <w:spacing w:after="0"/>
        <w:tabs>
          <w:tab w:leader="none" w:pos="720"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member of the Board.</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Disability</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permanent and total disability of the Participant, within the meaning of Section 22(e)(3) of the Code.</w:t>
      </w:r>
    </w:p>
    <w:p>
      <w:pPr>
        <w:spacing w:after="0" w:line="86" w:lineRule="exact"/>
        <w:rPr>
          <w:rFonts w:ascii="Arial" w:cs="Arial" w:eastAsia="Arial" w:hAnsi="Arial"/>
          <w:sz w:val="13"/>
          <w:szCs w:val="13"/>
          <w:color w:val="auto"/>
        </w:rPr>
      </w:pPr>
    </w:p>
    <w:p>
      <w:pPr>
        <w:ind w:right="180" w:firstLine="490"/>
        <w:spacing w:after="0" w:line="276" w:lineRule="auto"/>
        <w:tabs>
          <w:tab w:leader="none" w:pos="677"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Dividend Equivalent Right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right of a Participant, granted at the discretion of the Committee or as otherwise provided by the Plan, to receive a credit for the account of such Participant in an</w:t>
      </w:r>
      <w:r>
        <w:rPr>
          <w:rFonts w:ascii="Arial" w:cs="Arial" w:eastAsia="Arial" w:hAnsi="Arial"/>
          <w:sz w:val="13"/>
          <w:szCs w:val="13"/>
          <w:i w:val="1"/>
          <w:iCs w:val="1"/>
          <w:color w:val="auto"/>
        </w:rPr>
        <w:t xml:space="preserve"> </w:t>
      </w:r>
      <w:r>
        <w:rPr>
          <w:rFonts w:ascii="Arial" w:cs="Arial" w:eastAsia="Arial" w:hAnsi="Arial"/>
          <w:sz w:val="13"/>
          <w:szCs w:val="13"/>
          <w:color w:val="auto"/>
        </w:rPr>
        <w:t>amount equal to the cash dividends paid on one share of Stock for each share of Stock represented by an Award held by such Participant.</w:t>
      </w:r>
    </w:p>
    <w:p>
      <w:pPr>
        <w:spacing w:after="0" w:line="49" w:lineRule="exact"/>
        <w:rPr>
          <w:rFonts w:ascii="Arial" w:cs="Arial" w:eastAsia="Arial" w:hAnsi="Arial"/>
          <w:sz w:val="13"/>
          <w:szCs w:val="13"/>
          <w:color w:val="auto"/>
        </w:rPr>
      </w:pPr>
    </w:p>
    <w:p>
      <w:pPr>
        <w:ind w:firstLine="490"/>
        <w:spacing w:after="0" w:line="282" w:lineRule="auto"/>
        <w:tabs>
          <w:tab w:leader="none" w:pos="677" w:val="left"/>
        </w:tabs>
        <w:numPr>
          <w:ilvl w:val="0"/>
          <w:numId w:val="18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person treated as an employee (including an Officer or a member of the Board who is also treated as an employee) in the records of a Participating Company and, with respect to</w:t>
      </w:r>
      <w:r>
        <w:rPr>
          <w:rFonts w:ascii="Arial" w:cs="Arial" w:eastAsia="Arial" w:hAnsi="Arial"/>
          <w:sz w:val="12"/>
          <w:szCs w:val="12"/>
          <w:i w:val="1"/>
          <w:iCs w:val="1"/>
          <w:color w:val="auto"/>
        </w:rPr>
        <w:t xml:space="preserve"> </w:t>
      </w:r>
      <w:r>
        <w:rPr>
          <w:rFonts w:ascii="Arial" w:cs="Arial" w:eastAsia="Arial" w:hAnsi="Arial"/>
          <w:sz w:val="12"/>
          <w:szCs w:val="12"/>
          <w:color w:val="auto"/>
        </w:rPr>
        <w:t>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49" w:lineRule="exact"/>
        <w:rPr>
          <w:rFonts w:ascii="Arial" w:cs="Arial" w:eastAsia="Arial" w:hAnsi="Arial"/>
          <w:sz w:val="12"/>
          <w:szCs w:val="12"/>
          <w:color w:val="auto"/>
        </w:rPr>
      </w:pPr>
    </w:p>
    <w:p>
      <w:pPr>
        <w:ind w:left="680" w:hanging="190"/>
        <w:spacing w:after="0"/>
        <w:tabs>
          <w:tab w:leader="none" w:pos="680"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Exchange Act of 1934, as amended.</w:t>
      </w:r>
    </w:p>
    <w:p>
      <w:pPr>
        <w:spacing w:after="0" w:line="86" w:lineRule="exact"/>
        <w:rPr>
          <w:rFonts w:ascii="Arial" w:cs="Arial" w:eastAsia="Arial" w:hAnsi="Arial"/>
          <w:sz w:val="13"/>
          <w:szCs w:val="13"/>
          <w:color w:val="auto"/>
        </w:rPr>
      </w:pPr>
    </w:p>
    <w:p>
      <w:pPr>
        <w:ind w:right="180" w:firstLine="490"/>
        <w:spacing w:after="0" w:line="276" w:lineRule="auto"/>
        <w:tabs>
          <w:tab w:leader="none" w:pos="655"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as of any date, the value of a share of Stock or other property as determined by the Committee, in its discretion, or by the Company, in its discretion, if such determination is</w:t>
      </w:r>
      <w:r>
        <w:rPr>
          <w:rFonts w:ascii="Arial" w:cs="Arial" w:eastAsia="Arial" w:hAnsi="Arial"/>
          <w:sz w:val="13"/>
          <w:szCs w:val="13"/>
          <w:i w:val="1"/>
          <w:iCs w:val="1"/>
          <w:color w:val="auto"/>
        </w:rPr>
        <w:t xml:space="preserve"> </w:t>
      </w:r>
      <w:r>
        <w:rPr>
          <w:rFonts w:ascii="Arial" w:cs="Arial" w:eastAsia="Arial" w:hAnsi="Arial"/>
          <w:sz w:val="13"/>
          <w:szCs w:val="13"/>
          <w:color w:val="auto"/>
        </w:rPr>
        <w:t>expressly allocated to the Company herein, subject to the following:</w:t>
      </w:r>
    </w:p>
    <w:p>
      <w:pPr>
        <w:spacing w:after="0" w:line="49" w:lineRule="exact"/>
        <w:rPr>
          <w:rFonts w:ascii="Arial" w:cs="Arial" w:eastAsia="Arial" w:hAnsi="Arial"/>
          <w:sz w:val="13"/>
          <w:szCs w:val="13"/>
          <w:color w:val="auto"/>
        </w:rPr>
      </w:pPr>
    </w:p>
    <w:p>
      <w:pPr>
        <w:ind w:right="40" w:firstLine="654"/>
        <w:spacing w:after="0" w:line="289" w:lineRule="auto"/>
        <w:tabs>
          <w:tab w:leader="none" w:pos="811" w:val="left"/>
        </w:tabs>
        <w:numPr>
          <w:ilvl w:val="1"/>
          <w:numId w:val="180"/>
        </w:numPr>
        <w:rPr>
          <w:rFonts w:ascii="Arial" w:cs="Arial" w:eastAsia="Arial" w:hAnsi="Arial"/>
          <w:sz w:val="12"/>
          <w:szCs w:val="12"/>
          <w:color w:val="auto"/>
        </w:rPr>
      </w:pPr>
      <w:r>
        <w:rPr>
          <w:rFonts w:ascii="Arial" w:cs="Arial" w:eastAsia="Arial" w:hAnsi="Arial"/>
          <w:sz w:val="12"/>
          <w:szCs w:val="12"/>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43" w:lineRule="exact"/>
        <w:rPr>
          <w:rFonts w:ascii="Arial" w:cs="Arial" w:eastAsia="Arial" w:hAnsi="Arial"/>
          <w:sz w:val="12"/>
          <w:szCs w:val="12"/>
          <w:color w:val="auto"/>
        </w:rPr>
      </w:pPr>
    </w:p>
    <w:p>
      <w:pPr>
        <w:ind w:right="120" w:firstLine="654"/>
        <w:spacing w:after="0" w:line="276" w:lineRule="auto"/>
        <w:tabs>
          <w:tab w:leader="none" w:pos="848" w:val="left"/>
        </w:tabs>
        <w:numPr>
          <w:ilvl w:val="1"/>
          <w:numId w:val="180"/>
        </w:numPr>
        <w:rPr>
          <w:rFonts w:ascii="Arial" w:cs="Arial" w:eastAsia="Arial" w:hAnsi="Arial"/>
          <w:sz w:val="13"/>
          <w:szCs w:val="13"/>
          <w:color w:val="auto"/>
        </w:rPr>
      </w:pPr>
      <w:r>
        <w:rPr>
          <w:rFonts w:ascii="Arial" w:cs="Arial" w:eastAsia="Arial" w:hAnsi="Arial"/>
          <w:sz w:val="13"/>
          <w:szCs w:val="13"/>
          <w:color w:val="auto"/>
        </w:rPr>
        <w:t>Notwithstanding the foregoing, the Committee may, in its discretion, determine the Fair Market Value on the basis of the opening, closing, or average of the high and low sale prices of a share of Stock on such date or the preceding trading day, the actual sale price of a share of Stock received by a Participant, any other reasonable basis using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4" w:name="page275"/>
    <w:bookmarkEnd w:id="274"/>
    <w:p>
      <w:pPr>
        <w:spacing w:after="0" w:line="260" w:lineRule="auto"/>
        <w:rPr>
          <w:sz w:val="20"/>
          <w:szCs w:val="20"/>
          <w:color w:val="auto"/>
        </w:rPr>
      </w:pPr>
      <w:r>
        <w:rPr>
          <w:rFonts w:ascii="Arial" w:cs="Arial" w:eastAsia="Arial" w:hAnsi="Arial"/>
          <w:sz w:val="13"/>
          <w:szCs w:val="13"/>
          <w:color w:val="auto"/>
        </w:rPr>
        <w:t>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60" w:lineRule="exact"/>
        <w:rPr>
          <w:sz w:val="20"/>
          <w:szCs w:val="20"/>
          <w:color w:val="auto"/>
        </w:rPr>
      </w:pPr>
    </w:p>
    <w:p>
      <w:pPr>
        <w:ind w:right="20" w:firstLine="654"/>
        <w:spacing w:after="0" w:line="276" w:lineRule="auto"/>
        <w:tabs>
          <w:tab w:leader="none" w:pos="884" w:val="left"/>
        </w:tabs>
        <w:numPr>
          <w:ilvl w:val="1"/>
          <w:numId w:val="181"/>
        </w:numPr>
        <w:rPr>
          <w:rFonts w:ascii="Arial" w:cs="Arial" w:eastAsia="Arial" w:hAnsi="Arial"/>
          <w:sz w:val="13"/>
          <w:szCs w:val="13"/>
          <w:color w:val="auto"/>
        </w:rPr>
      </w:pPr>
      <w:r>
        <w:rPr>
          <w:rFonts w:ascii="Arial" w:cs="Arial" w:eastAsia="Arial" w:hAnsi="Arial"/>
          <w:sz w:val="13"/>
          <w:szCs w:val="13"/>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182"/>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Incentive Stock Option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 Option intended to be (as set forth in the Award Agreement) and which qualifies as an incentive stock option within the meaning of Section 422(b) of the Code.</w:t>
      </w:r>
    </w:p>
    <w:p>
      <w:pPr>
        <w:spacing w:after="0" w:line="97" w:lineRule="exact"/>
        <w:rPr>
          <w:rFonts w:ascii="Arial" w:cs="Arial" w:eastAsia="Arial" w:hAnsi="Arial"/>
          <w:sz w:val="12"/>
          <w:szCs w:val="12"/>
          <w:color w:val="auto"/>
        </w:rPr>
      </w:pPr>
    </w:p>
    <w:p>
      <w:pPr>
        <w:ind w:right="80" w:firstLine="490"/>
        <w:spacing w:after="0" w:line="264" w:lineRule="auto"/>
        <w:tabs>
          <w:tab w:leader="none" w:pos="648" w:val="left"/>
        </w:tabs>
        <w:numPr>
          <w:ilvl w:val="0"/>
          <w:numId w:val="18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Incumbent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director who either (i) is a member of the Board as of the Effective Date, or (ii) is elected, or nominated for election, to the Board with the affirmative votes of at least a</w:t>
      </w:r>
      <w:r>
        <w:rPr>
          <w:rFonts w:ascii="Arial" w:cs="Arial" w:eastAsia="Arial" w:hAnsi="Arial"/>
          <w:sz w:val="13"/>
          <w:szCs w:val="13"/>
          <w:i w:val="1"/>
          <w:iCs w:val="1"/>
          <w:color w:val="auto"/>
        </w:rPr>
        <w:t xml:space="preserve"> </w:t>
      </w:r>
      <w:r>
        <w:rPr>
          <w:rFonts w:ascii="Arial" w:cs="Arial" w:eastAsia="Arial" w:hAnsi="Arial"/>
          <w:sz w:val="13"/>
          <w:szCs w:val="13"/>
          <w:color w:val="auto"/>
        </w:rPr>
        <w:t>majority of the Incumbent Directors at the time of such election or nomination, but who was not elected or nominated in connection with an actual or threatened proxy contest relating to the election of directors of the Company.</w:t>
      </w:r>
    </w:p>
    <w:p>
      <w:pPr>
        <w:spacing w:after="0" w:line="57" w:lineRule="exact"/>
        <w:rPr>
          <w:rFonts w:ascii="Arial" w:cs="Arial" w:eastAsia="Arial" w:hAnsi="Arial"/>
          <w:sz w:val="13"/>
          <w:szCs w:val="13"/>
          <w:color w:val="auto"/>
        </w:rPr>
      </w:pPr>
    </w:p>
    <w:p>
      <w:pPr>
        <w:ind w:left="680" w:hanging="190"/>
        <w:spacing w:after="0"/>
        <w:tabs>
          <w:tab w:leader="none" w:pos="680" w:val="left"/>
        </w:tabs>
        <w:numPr>
          <w:ilvl w:val="0"/>
          <w:numId w:val="18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Insider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Officer, Director or any other person whose transactions in Stock are subject to Section 16 of the Exchange Act.</w:t>
      </w:r>
    </w:p>
    <w:p>
      <w:pPr>
        <w:spacing w:after="0" w:line="86" w:lineRule="exact"/>
        <w:rPr>
          <w:rFonts w:ascii="Arial" w:cs="Arial" w:eastAsia="Arial" w:hAnsi="Arial"/>
          <w:sz w:val="13"/>
          <w:szCs w:val="13"/>
          <w:color w:val="auto"/>
        </w:rPr>
      </w:pPr>
    </w:p>
    <w:p>
      <w:pPr>
        <w:ind w:right="160" w:firstLine="490"/>
        <w:spacing w:after="0" w:line="276" w:lineRule="auto"/>
        <w:tabs>
          <w:tab w:leader="none" w:pos="677" w:val="left"/>
        </w:tabs>
        <w:numPr>
          <w:ilvl w:val="0"/>
          <w:numId w:val="18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Insider Trading Policy</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written policy of the Company pertaining to the purchase, sale, transfer or other disposition of the Company’s equity securities by Directors, Officers, Employees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 service providers who may possess material, nonpublic information regarding the Company or its securities.</w:t>
      </w:r>
    </w:p>
    <w:p>
      <w:pPr>
        <w:spacing w:after="0" w:line="49" w:lineRule="exact"/>
        <w:rPr>
          <w:rFonts w:ascii="Arial" w:cs="Arial" w:eastAsia="Arial" w:hAnsi="Arial"/>
          <w:sz w:val="13"/>
          <w:szCs w:val="13"/>
          <w:color w:val="auto"/>
        </w:rPr>
      </w:pPr>
    </w:p>
    <w:p>
      <w:pPr>
        <w:ind w:left="700" w:hanging="210"/>
        <w:spacing w:after="0"/>
        <w:tabs>
          <w:tab w:leader="none" w:pos="700" w:val="left"/>
        </w:tabs>
        <w:numPr>
          <w:ilvl w:val="0"/>
          <w:numId w:val="182"/>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Net-Exercise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procedure by which the Participant will be issued a number of shares of Stock upon the exercise of an Option determined in accordance with the following formula:</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N = X*((A-B)/A), where</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“N” = the number of shares of Stock to be issued to the Participant upon exercise of the Option;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“X” = the total number of shares with respect to which the Participant has elected to exercise the Option;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 = the Fair Market Value of one (1) share of Stock determined on the exercise date;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“B” = the exercise price per share (as defined in the Participant’s Award Agreement)</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75" w:name="page276"/>
    <w:bookmarkEnd w:id="275"/>
    <w:p>
      <w:pPr>
        <w:ind w:left="420" w:hanging="190"/>
        <w:spacing w:after="0"/>
        <w:tabs>
          <w:tab w:leader="none" w:pos="420" w:val="left"/>
        </w:tabs>
        <w:numPr>
          <w:ilvl w:val="0"/>
          <w:numId w:val="18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Nonemployee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Director who is not an Employee.</w:t>
      </w:r>
    </w:p>
    <w:p>
      <w:pPr>
        <w:spacing w:after="0" w:line="86" w:lineRule="exact"/>
        <w:rPr>
          <w:rFonts w:ascii="Arial" w:cs="Arial" w:eastAsia="Arial" w:hAnsi="Arial"/>
          <w:sz w:val="13"/>
          <w:szCs w:val="13"/>
          <w:color w:val="auto"/>
        </w:rPr>
      </w:pPr>
    </w:p>
    <w:p>
      <w:pPr>
        <w:ind w:left="-260" w:firstLine="490"/>
        <w:spacing w:after="0" w:line="276" w:lineRule="auto"/>
        <w:tabs>
          <w:tab w:leader="none" w:pos="417" w:val="left"/>
        </w:tabs>
        <w:numPr>
          <w:ilvl w:val="0"/>
          <w:numId w:val="18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Nonemployee Director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Nonstatutory Stock Option, Stock Appreciation Right, Restricted Stock Award or Restricted Stock Unit Award granted to a Nonemployee Director pursuant to</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12 of the Plan.</w:t>
      </w:r>
    </w:p>
    <w:p>
      <w:pPr>
        <w:spacing w:after="0" w:line="49" w:lineRule="exact"/>
        <w:rPr>
          <w:rFonts w:ascii="Arial" w:cs="Arial" w:eastAsia="Arial" w:hAnsi="Arial"/>
          <w:sz w:val="13"/>
          <w:szCs w:val="13"/>
          <w:color w:val="auto"/>
        </w:rPr>
      </w:pPr>
    </w:p>
    <w:p>
      <w:pPr>
        <w:ind w:left="400" w:hanging="170"/>
        <w:spacing w:after="0"/>
        <w:tabs>
          <w:tab w:leader="none" w:pos="400" w:val="left"/>
        </w:tabs>
        <w:numPr>
          <w:ilvl w:val="0"/>
          <w:numId w:val="18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Nonstatutory Stock Option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Option not intended to be (as set forth in the Award Agreement) an incentive stock option within the meaning of Section 422(b) of the Code.</w:t>
      </w:r>
    </w:p>
    <w:p>
      <w:pPr>
        <w:spacing w:after="0" w:line="86" w:lineRule="exact"/>
        <w:rPr>
          <w:sz w:val="20"/>
          <w:szCs w:val="20"/>
          <w:color w:val="auto"/>
        </w:rPr>
      </w:pPr>
    </w:p>
    <w:p>
      <w:pPr>
        <w:ind w:left="460" w:hanging="230"/>
        <w:spacing w:after="0"/>
        <w:tabs>
          <w:tab w:leader="none" w:pos="460" w:val="left"/>
        </w:tabs>
        <w:numPr>
          <w:ilvl w:val="0"/>
          <w:numId w:val="184"/>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Officer</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person designated by the Board as an officer of the Company.</w:t>
      </w:r>
    </w:p>
    <w:p>
      <w:pPr>
        <w:spacing w:after="0" w:line="97" w:lineRule="exact"/>
        <w:rPr>
          <w:rFonts w:ascii="Arial" w:cs="Arial" w:eastAsia="Arial" w:hAnsi="Arial"/>
          <w:sz w:val="12"/>
          <w:szCs w:val="12"/>
          <w:color w:val="auto"/>
        </w:rPr>
      </w:pPr>
    </w:p>
    <w:p>
      <w:pPr>
        <w:ind w:left="480" w:hanging="250"/>
        <w:spacing w:after="0"/>
        <w:tabs>
          <w:tab w:leader="none" w:pos="48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Option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Incentive Stock Option or a Nonstatutory Stock Option granted pursuant to the Plan.</w:t>
      </w:r>
    </w:p>
    <w:p>
      <w:pPr>
        <w:spacing w:after="0" w:line="86" w:lineRule="exact"/>
        <w:rPr>
          <w:rFonts w:ascii="Arial" w:cs="Arial" w:eastAsia="Arial" w:hAnsi="Arial"/>
          <w:sz w:val="13"/>
          <w:szCs w:val="13"/>
          <w:color w:val="auto"/>
        </w:rPr>
      </w:pPr>
    </w:p>
    <w:p>
      <w:pPr>
        <w:ind w:left="460" w:hanging="230"/>
        <w:spacing w:after="0"/>
        <w:tabs>
          <w:tab w:leader="none" w:pos="46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Other Stock-Based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denominated in shares of Stock and granted pursuant to Section 11.</w:t>
      </w:r>
    </w:p>
    <w:p>
      <w:pPr>
        <w:spacing w:after="0" w:line="86" w:lineRule="exact"/>
        <w:rPr>
          <w:rFonts w:ascii="Arial" w:cs="Arial" w:eastAsia="Arial" w:hAnsi="Arial"/>
          <w:sz w:val="13"/>
          <w:szCs w:val="13"/>
          <w:color w:val="auto"/>
        </w:rPr>
      </w:pPr>
    </w:p>
    <w:p>
      <w:pPr>
        <w:ind w:left="-260" w:right="200" w:firstLine="490"/>
        <w:spacing w:after="0" w:line="264" w:lineRule="auto"/>
        <w:tabs>
          <w:tab w:leader="none" w:pos="482"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Ownership Change Event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occurrence of any of the following with respect to the Company: (i) the direct or indirect sale or exchange in a single or series of related transactions by the</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57" w:lineRule="exact"/>
        <w:rPr>
          <w:rFonts w:ascii="Arial" w:cs="Arial" w:eastAsia="Arial" w:hAnsi="Arial"/>
          <w:sz w:val="13"/>
          <w:szCs w:val="13"/>
          <w:color w:val="auto"/>
        </w:rPr>
      </w:pPr>
    </w:p>
    <w:p>
      <w:pPr>
        <w:ind w:left="460" w:hanging="230"/>
        <w:spacing w:after="0"/>
        <w:tabs>
          <w:tab w:leader="none" w:pos="460" w:val="left"/>
        </w:tabs>
        <w:numPr>
          <w:ilvl w:val="0"/>
          <w:numId w:val="184"/>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Parent Corporation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present or future “parent corporation” of the Company, as defined in Section 424(e) of the Code.</w:t>
      </w:r>
    </w:p>
    <w:p>
      <w:pPr>
        <w:spacing w:after="0" w:line="97" w:lineRule="exact"/>
        <w:rPr>
          <w:rFonts w:ascii="Arial" w:cs="Arial" w:eastAsia="Arial" w:hAnsi="Arial"/>
          <w:sz w:val="12"/>
          <w:szCs w:val="12"/>
          <w:color w:val="auto"/>
        </w:rPr>
      </w:pPr>
    </w:p>
    <w:p>
      <w:pPr>
        <w:ind w:left="440" w:hanging="210"/>
        <w:spacing w:after="0"/>
        <w:tabs>
          <w:tab w:leader="none" w:pos="44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eligible person who has been granted one or more Awards.</w:t>
      </w:r>
    </w:p>
    <w:p>
      <w:pPr>
        <w:spacing w:after="0" w:line="86" w:lineRule="exact"/>
        <w:rPr>
          <w:rFonts w:ascii="Arial" w:cs="Arial" w:eastAsia="Arial" w:hAnsi="Arial"/>
          <w:sz w:val="13"/>
          <w:szCs w:val="13"/>
          <w:color w:val="auto"/>
        </w:rPr>
      </w:pPr>
    </w:p>
    <w:p>
      <w:pPr>
        <w:ind w:left="480" w:hanging="250"/>
        <w:spacing w:after="0"/>
        <w:tabs>
          <w:tab w:leader="none" w:pos="48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Participating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Company or any Parent Corporation, Subsidiary Corporation or Affiliate.</w:t>
      </w:r>
    </w:p>
    <w:p>
      <w:pPr>
        <w:spacing w:after="0" w:line="86" w:lineRule="exact"/>
        <w:rPr>
          <w:rFonts w:ascii="Arial" w:cs="Arial" w:eastAsia="Arial" w:hAnsi="Arial"/>
          <w:sz w:val="13"/>
          <w:szCs w:val="13"/>
          <w:color w:val="auto"/>
        </w:rPr>
      </w:pPr>
    </w:p>
    <w:p>
      <w:pPr>
        <w:ind w:left="480" w:hanging="250"/>
        <w:spacing w:after="0"/>
        <w:tabs>
          <w:tab w:leader="none" w:pos="48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Participating Company Group</w:t>
      </w:r>
      <w:r>
        <w:rPr>
          <w:rFonts w:ascii="Arial" w:cs="Arial" w:eastAsia="Arial" w:hAnsi="Arial"/>
          <w:sz w:val="13"/>
          <w:szCs w:val="13"/>
          <w:i w:val="1"/>
          <w:iCs w:val="1"/>
          <w:color w:val="auto"/>
        </w:rPr>
        <w:t xml:space="preserve">” </w:t>
      </w:r>
      <w:r>
        <w:rPr>
          <w:rFonts w:ascii="Arial" w:cs="Arial" w:eastAsia="Arial" w:hAnsi="Arial"/>
          <w:sz w:val="13"/>
          <w:szCs w:val="13"/>
          <w:color w:val="auto"/>
        </w:rPr>
        <w:t>means, at any point in time, the Company and all other entities collectively which are then Participating Companies.</w:t>
      </w:r>
    </w:p>
    <w:p>
      <w:pPr>
        <w:spacing w:after="0" w:line="86" w:lineRule="exact"/>
        <w:rPr>
          <w:rFonts w:ascii="Arial" w:cs="Arial" w:eastAsia="Arial" w:hAnsi="Arial"/>
          <w:sz w:val="13"/>
          <w:szCs w:val="13"/>
          <w:color w:val="auto"/>
        </w:rPr>
      </w:pPr>
    </w:p>
    <w:p>
      <w:pPr>
        <w:ind w:left="420" w:hanging="190"/>
        <w:spacing w:after="0"/>
        <w:tabs>
          <w:tab w:leader="none" w:pos="42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of Performance Shares or Performance Units.</w:t>
      </w:r>
    </w:p>
    <w:p>
      <w:pPr>
        <w:spacing w:after="0" w:line="86" w:lineRule="exact"/>
        <w:rPr>
          <w:rFonts w:ascii="Arial" w:cs="Arial" w:eastAsia="Arial" w:hAnsi="Arial"/>
          <w:sz w:val="13"/>
          <w:szCs w:val="13"/>
          <w:color w:val="auto"/>
        </w:rPr>
      </w:pPr>
    </w:p>
    <w:p>
      <w:pPr>
        <w:ind w:left="-260" w:right="160" w:firstLine="490"/>
        <w:spacing w:after="0" w:line="276" w:lineRule="auto"/>
        <w:tabs>
          <w:tab w:leader="none" w:pos="424"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Award Formula</w:t>
      </w:r>
      <w:r>
        <w:rPr>
          <w:rFonts w:ascii="Arial" w:cs="Arial" w:eastAsia="Arial" w:hAnsi="Arial"/>
          <w:sz w:val="13"/>
          <w:szCs w:val="13"/>
          <w:i w:val="1"/>
          <w:iCs w:val="1"/>
          <w:color w:val="auto"/>
        </w:rPr>
        <w:t xml:space="preserve">” </w:t>
      </w:r>
      <w:r>
        <w:rPr>
          <w:rFonts w:ascii="Arial" w:cs="Arial" w:eastAsia="Arial" w:hAnsi="Arial"/>
          <w:sz w:val="13"/>
          <w:szCs w:val="13"/>
          <w:color w:val="auto"/>
        </w:rPr>
        <w:t>means, for any Performance Award, a formula or table established by the Committee pursuant to Section 10.3 which provides the basis for computing the value of a</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Award at one or more threshold levels of attainment of the applicable Performance Goal(s) measured as of the end of the applicable Performance Period.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480" w:top="720" w:right="459" w:bottom="1440" w:gutter="0" w:footer="0" w:header="0"/>
        </w:sectPr>
      </w:pPr>
    </w:p>
    <w:bookmarkStart w:id="276" w:name="page277"/>
    <w:bookmarkEnd w:id="276"/>
    <w:p>
      <w:pPr>
        <w:ind w:left="740" w:hanging="250"/>
        <w:spacing w:after="0"/>
        <w:tabs>
          <w:tab w:leader="none" w:pos="740" w:val="left"/>
        </w:tabs>
        <w:numPr>
          <w:ilvl w:val="0"/>
          <w:numId w:val="18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Performance-Based Compensation</w:t>
      </w:r>
      <w:r>
        <w:rPr>
          <w:rFonts w:ascii="Arial" w:cs="Arial" w:eastAsia="Arial" w:hAnsi="Arial"/>
          <w:sz w:val="11"/>
          <w:szCs w:val="11"/>
          <w:color w:val="auto"/>
        </w:rPr>
        <w:t>” means compensation under an Award that satisfies the requirements of Section 162(m) for certain performance-based compensation paid to Covered Employees.</w:t>
      </w:r>
    </w:p>
    <w:p>
      <w:pPr>
        <w:spacing w:after="0" w:line="109" w:lineRule="exact"/>
        <w:rPr>
          <w:rFonts w:ascii="Arial" w:cs="Arial" w:eastAsia="Arial" w:hAnsi="Arial"/>
          <w:sz w:val="11"/>
          <w:szCs w:val="11"/>
          <w:color w:val="auto"/>
        </w:rPr>
      </w:pPr>
    </w:p>
    <w:p>
      <w:pPr>
        <w:ind w:left="680" w:hanging="190"/>
        <w:spacing w:after="0"/>
        <w:tabs>
          <w:tab w:leader="none" w:pos="68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Goal</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performance goal established by the Committee pursuant to Section 10.3.</w:t>
      </w:r>
    </w:p>
    <w:p>
      <w:pPr>
        <w:spacing w:after="0" w:line="86" w:lineRule="exact"/>
        <w:rPr>
          <w:rFonts w:ascii="Arial" w:cs="Arial" w:eastAsia="Arial" w:hAnsi="Arial"/>
          <w:sz w:val="13"/>
          <w:szCs w:val="13"/>
          <w:color w:val="auto"/>
        </w:rPr>
      </w:pPr>
    </w:p>
    <w:p>
      <w:pPr>
        <w:ind w:left="820" w:hanging="330"/>
        <w:spacing w:after="0"/>
        <w:tabs>
          <w:tab w:leader="none" w:pos="82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Period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period established by the Committee pursuant to Section 10.3 at the end of which one or more Performance Goals are to be measured.</w:t>
      </w:r>
    </w:p>
    <w:p>
      <w:pPr>
        <w:spacing w:after="0" w:line="86" w:lineRule="exact"/>
        <w:rPr>
          <w:rFonts w:ascii="Arial" w:cs="Arial" w:eastAsia="Arial" w:hAnsi="Arial"/>
          <w:sz w:val="13"/>
          <w:szCs w:val="13"/>
          <w:color w:val="auto"/>
        </w:rPr>
      </w:pPr>
    </w:p>
    <w:p>
      <w:pPr>
        <w:ind w:left="740" w:hanging="250"/>
        <w:spacing w:after="0"/>
        <w:tabs>
          <w:tab w:leader="none" w:pos="740" w:val="left"/>
        </w:tabs>
        <w:numPr>
          <w:ilvl w:val="0"/>
          <w:numId w:val="185"/>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Performance Share</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right granted to a Participant pursuant to Section 10 to receive a payment equal to the value of a Performance Share, as determined by the Committee, based on</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performance.</w:t>
      </w:r>
    </w:p>
    <w:p>
      <w:pPr>
        <w:spacing w:after="0" w:line="78" w:lineRule="exact"/>
        <w:rPr>
          <w:rFonts w:ascii="Arial" w:cs="Arial" w:eastAsia="Arial" w:hAnsi="Arial"/>
          <w:sz w:val="12"/>
          <w:szCs w:val="12"/>
          <w:color w:val="auto"/>
        </w:rPr>
      </w:pPr>
    </w:p>
    <w:p>
      <w:pPr>
        <w:ind w:left="740" w:hanging="250"/>
        <w:spacing w:after="0"/>
        <w:tabs>
          <w:tab w:leader="none" w:pos="740" w:val="left"/>
        </w:tabs>
        <w:numPr>
          <w:ilvl w:val="0"/>
          <w:numId w:val="185"/>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Performance Unit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right granted to a Participant pursuant to Section 10 to receive a payment equal to the value of a Performance Unit, as determined by the Committee, based upon</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performance.</w:t>
      </w:r>
    </w:p>
    <w:p>
      <w:pPr>
        <w:spacing w:after="0" w:line="78" w:lineRule="exact"/>
        <w:rPr>
          <w:rFonts w:ascii="Arial" w:cs="Arial" w:eastAsia="Arial" w:hAnsi="Arial"/>
          <w:sz w:val="12"/>
          <w:szCs w:val="12"/>
          <w:color w:val="auto"/>
        </w:rPr>
      </w:pPr>
    </w:p>
    <w:p>
      <w:pPr>
        <w:ind w:left="740" w:hanging="250"/>
        <w:spacing w:after="0"/>
        <w:tabs>
          <w:tab w:leader="none" w:pos="74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Restricted Stock Award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Award of a Restricted Stock Bonus or a Restricted Stock Purchase Right.</w:t>
      </w:r>
    </w:p>
    <w:p>
      <w:pPr>
        <w:spacing w:after="0" w:line="86" w:lineRule="exact"/>
        <w:rPr>
          <w:rFonts w:ascii="Arial" w:cs="Arial" w:eastAsia="Arial" w:hAnsi="Arial"/>
          <w:sz w:val="13"/>
          <w:szCs w:val="13"/>
          <w:color w:val="auto"/>
        </w:rPr>
      </w:pPr>
    </w:p>
    <w:p>
      <w:pPr>
        <w:ind w:left="740" w:hanging="250"/>
        <w:spacing w:after="0"/>
        <w:tabs>
          <w:tab w:leader="none" w:pos="74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Restricted Stock Bonus</w:t>
      </w:r>
      <w:r>
        <w:rPr>
          <w:rFonts w:ascii="Arial" w:cs="Arial" w:eastAsia="Arial" w:hAnsi="Arial"/>
          <w:sz w:val="13"/>
          <w:szCs w:val="13"/>
          <w:i w:val="1"/>
          <w:iCs w:val="1"/>
          <w:color w:val="auto"/>
        </w:rPr>
        <w:t xml:space="preserve">” </w:t>
      </w:r>
      <w:r>
        <w:rPr>
          <w:rFonts w:ascii="Arial" w:cs="Arial" w:eastAsia="Arial" w:hAnsi="Arial"/>
          <w:sz w:val="13"/>
          <w:szCs w:val="13"/>
          <w:color w:val="auto"/>
        </w:rPr>
        <w:t>means Stock granted to a Participant pursuant to Section 8 or Section 12.</w:t>
      </w:r>
    </w:p>
    <w:p>
      <w:pPr>
        <w:spacing w:after="0" w:line="86" w:lineRule="exact"/>
        <w:rPr>
          <w:rFonts w:ascii="Arial" w:cs="Arial" w:eastAsia="Arial" w:hAnsi="Arial"/>
          <w:sz w:val="13"/>
          <w:szCs w:val="13"/>
          <w:color w:val="auto"/>
        </w:rPr>
      </w:pPr>
    </w:p>
    <w:p>
      <w:pPr>
        <w:ind w:left="700" w:hanging="210"/>
        <w:spacing w:after="0"/>
        <w:tabs>
          <w:tab w:leader="none" w:pos="70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Restricted Stock Purchase Right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right to purchase Stock granted to a Participant pursuant to Section 8 or Section 12.</w:t>
      </w:r>
    </w:p>
    <w:p>
      <w:pPr>
        <w:spacing w:after="0" w:line="86" w:lineRule="exact"/>
        <w:rPr>
          <w:rFonts w:ascii="Arial" w:cs="Arial" w:eastAsia="Arial" w:hAnsi="Arial"/>
          <w:sz w:val="13"/>
          <w:szCs w:val="13"/>
          <w:color w:val="auto"/>
        </w:rPr>
      </w:pPr>
    </w:p>
    <w:p>
      <w:pPr>
        <w:ind w:right="140" w:firstLine="490"/>
        <w:spacing w:after="0" w:line="276" w:lineRule="auto"/>
        <w:tabs>
          <w:tab w:leader="none" w:pos="713"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Restricted Stock Unit</w:t>
      </w:r>
      <w:r>
        <w:rPr>
          <w:rFonts w:ascii="Arial" w:cs="Arial" w:eastAsia="Arial" w:hAnsi="Arial"/>
          <w:sz w:val="13"/>
          <w:szCs w:val="13"/>
          <w:i w:val="1"/>
          <w:iCs w:val="1"/>
          <w:color w:val="auto"/>
        </w:rPr>
        <w:t xml:space="preserve">” </w:t>
      </w:r>
      <w:r>
        <w:rPr>
          <w:rFonts w:ascii="Arial" w:cs="Arial" w:eastAsia="Arial" w:hAnsi="Arial"/>
          <w:sz w:val="13"/>
          <w:szCs w:val="13"/>
          <w:color w:val="auto"/>
        </w:rPr>
        <w:t>or</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Stock Unit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right granted to a Participant pursuant to Section 9 or Section 12 to receive a share of Stock on a date determined in accordance with the provisions of</w:t>
      </w:r>
      <w:r>
        <w:rPr>
          <w:rFonts w:ascii="Arial" w:cs="Arial" w:eastAsia="Arial" w:hAnsi="Arial"/>
          <w:sz w:val="13"/>
          <w:szCs w:val="13"/>
          <w:i w:val="1"/>
          <w:iCs w:val="1"/>
          <w:color w:val="auto"/>
        </w:rPr>
        <w:t xml:space="preserve"> </w:t>
      </w:r>
      <w:r>
        <w:rPr>
          <w:rFonts w:ascii="Arial" w:cs="Arial" w:eastAsia="Arial" w:hAnsi="Arial"/>
          <w:sz w:val="13"/>
          <w:szCs w:val="13"/>
          <w:color w:val="auto"/>
        </w:rPr>
        <w:t>such Sections, as applicable, and the Participant’s Award Agreement.</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Rule 16b-3</w:t>
      </w:r>
      <w:r>
        <w:rPr>
          <w:rFonts w:ascii="Arial" w:cs="Arial" w:eastAsia="Arial" w:hAnsi="Arial"/>
          <w:sz w:val="13"/>
          <w:szCs w:val="13"/>
          <w:i w:val="1"/>
          <w:iCs w:val="1"/>
          <w:color w:val="auto"/>
        </w:rPr>
        <w:t xml:space="preserve">” </w:t>
      </w:r>
      <w:r>
        <w:rPr>
          <w:rFonts w:ascii="Arial" w:cs="Arial" w:eastAsia="Arial" w:hAnsi="Arial"/>
          <w:sz w:val="13"/>
          <w:szCs w:val="13"/>
          <w:color w:val="auto"/>
        </w:rPr>
        <w:t>means Rule 16b-3 under the Exchange Act, as amended from time to time, or any successor rule or regulation.</w:t>
      </w:r>
    </w:p>
    <w:p>
      <w:pPr>
        <w:spacing w:after="0" w:line="86" w:lineRule="exact"/>
        <w:rPr>
          <w:rFonts w:ascii="Arial" w:cs="Arial" w:eastAsia="Arial" w:hAnsi="Arial"/>
          <w:sz w:val="13"/>
          <w:szCs w:val="13"/>
          <w:color w:val="auto"/>
        </w:rPr>
      </w:pPr>
    </w:p>
    <w:p>
      <w:pPr>
        <w:ind w:right="100" w:firstLine="490"/>
        <w:spacing w:after="0" w:line="276" w:lineRule="auto"/>
        <w:tabs>
          <w:tab w:leader="none" w:pos="742"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SAR</w:t>
      </w:r>
      <w:r>
        <w:rPr>
          <w:rFonts w:ascii="Arial" w:cs="Arial" w:eastAsia="Arial" w:hAnsi="Arial"/>
          <w:sz w:val="13"/>
          <w:szCs w:val="13"/>
          <w:i w:val="1"/>
          <w:iCs w:val="1"/>
          <w:color w:val="auto"/>
        </w:rPr>
        <w:t xml:space="preserve">” </w:t>
      </w:r>
      <w:r>
        <w:rPr>
          <w:rFonts w:ascii="Arial" w:cs="Arial" w:eastAsia="Arial" w:hAnsi="Arial"/>
          <w:sz w:val="13"/>
          <w:szCs w:val="13"/>
          <w:color w:val="auto"/>
        </w:rPr>
        <w:t>or</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Stock Appreciation Right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right granted to a Participant pursuant to Section 7 or Section 12 to receive payment, for each share of Stock subject to such SAR, of an amount equal to</w:t>
      </w:r>
      <w:r>
        <w:rPr>
          <w:rFonts w:ascii="Arial" w:cs="Arial" w:eastAsia="Arial" w:hAnsi="Arial"/>
          <w:sz w:val="13"/>
          <w:szCs w:val="13"/>
          <w:i w:val="1"/>
          <w:iCs w:val="1"/>
          <w:color w:val="auto"/>
        </w:rPr>
        <w:t xml:space="preserve"> </w:t>
      </w:r>
      <w:r>
        <w:rPr>
          <w:rFonts w:ascii="Arial" w:cs="Arial" w:eastAsia="Arial" w:hAnsi="Arial"/>
          <w:sz w:val="13"/>
          <w:szCs w:val="13"/>
          <w:color w:val="auto"/>
        </w:rPr>
        <w:t>the excess, if any, of the Fair Market Value of a share of Stock on the date of exercise of the SAR over the exercise price.</w:t>
      </w:r>
    </w:p>
    <w:p>
      <w:pPr>
        <w:spacing w:after="0" w:line="49" w:lineRule="exact"/>
        <w:rPr>
          <w:rFonts w:ascii="Arial" w:cs="Arial" w:eastAsia="Arial" w:hAnsi="Arial"/>
          <w:sz w:val="13"/>
          <w:szCs w:val="13"/>
          <w:color w:val="auto"/>
        </w:rPr>
      </w:pPr>
    </w:p>
    <w:p>
      <w:pPr>
        <w:ind w:left="740" w:hanging="250"/>
        <w:spacing w:after="0"/>
        <w:tabs>
          <w:tab w:leader="none" w:pos="74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Section 162(m)</w:t>
      </w:r>
      <w:r>
        <w:rPr>
          <w:rFonts w:ascii="Arial" w:cs="Arial" w:eastAsia="Arial" w:hAnsi="Arial"/>
          <w:sz w:val="13"/>
          <w:szCs w:val="13"/>
          <w:i w:val="1"/>
          <w:iCs w:val="1"/>
          <w:color w:val="auto"/>
        </w:rPr>
        <w:t xml:space="preserve">” </w:t>
      </w:r>
      <w:r>
        <w:rPr>
          <w:rFonts w:ascii="Arial" w:cs="Arial" w:eastAsia="Arial" w:hAnsi="Arial"/>
          <w:sz w:val="13"/>
          <w:szCs w:val="13"/>
          <w:color w:val="auto"/>
        </w:rPr>
        <w:t>means Section 162(m) of the Code.</w:t>
      </w:r>
    </w:p>
    <w:p>
      <w:pPr>
        <w:spacing w:after="0" w:line="86" w:lineRule="exact"/>
        <w:rPr>
          <w:rFonts w:ascii="Arial" w:cs="Arial" w:eastAsia="Arial" w:hAnsi="Arial"/>
          <w:sz w:val="13"/>
          <w:szCs w:val="13"/>
          <w:color w:val="auto"/>
        </w:rPr>
      </w:pPr>
    </w:p>
    <w:p>
      <w:pPr>
        <w:ind w:left="800" w:hanging="310"/>
        <w:spacing w:after="0"/>
        <w:tabs>
          <w:tab w:leader="none" w:pos="800" w:val="left"/>
        </w:tabs>
        <w:numPr>
          <w:ilvl w:val="0"/>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Section 409A</w:t>
      </w:r>
      <w:r>
        <w:rPr>
          <w:rFonts w:ascii="Arial" w:cs="Arial" w:eastAsia="Arial" w:hAnsi="Arial"/>
          <w:sz w:val="13"/>
          <w:szCs w:val="13"/>
          <w:i w:val="1"/>
          <w:iCs w:val="1"/>
          <w:color w:val="auto"/>
        </w:rPr>
        <w:t xml:space="preserve">” </w:t>
      </w:r>
      <w:r>
        <w:rPr>
          <w:rFonts w:ascii="Arial" w:cs="Arial" w:eastAsia="Arial" w:hAnsi="Arial"/>
          <w:sz w:val="13"/>
          <w:szCs w:val="13"/>
          <w:color w:val="auto"/>
        </w:rPr>
        <w:t>means Section 409A of the Code.</w:t>
      </w:r>
    </w:p>
    <w:p>
      <w:pPr>
        <w:spacing w:after="0" w:line="86" w:lineRule="exact"/>
        <w:rPr>
          <w:rFonts w:ascii="Arial" w:cs="Arial" w:eastAsia="Arial" w:hAnsi="Arial"/>
          <w:sz w:val="13"/>
          <w:szCs w:val="13"/>
          <w:color w:val="auto"/>
        </w:rPr>
      </w:pPr>
    </w:p>
    <w:p>
      <w:pPr>
        <w:ind w:left="740" w:hanging="250"/>
        <w:spacing w:after="0"/>
        <w:tabs>
          <w:tab w:leader="none" w:pos="740" w:val="left"/>
        </w:tabs>
        <w:numPr>
          <w:ilvl w:val="0"/>
          <w:numId w:val="185"/>
        </w:numPr>
        <w:rPr>
          <w:rFonts w:ascii="Arial" w:cs="Arial" w:eastAsia="Arial" w:hAnsi="Arial"/>
          <w:sz w:val="11"/>
          <w:szCs w:val="11"/>
          <w:color w:val="auto"/>
        </w:rPr>
      </w:pP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Section 409A Deferred Compensation</w:t>
      </w:r>
      <w:r>
        <w:rPr>
          <w:rFonts w:ascii="Arial" w:cs="Arial" w:eastAsia="Arial" w:hAnsi="Arial"/>
          <w:sz w:val="11"/>
          <w:szCs w:val="11"/>
          <w:i w:val="1"/>
          <w:iCs w:val="1"/>
          <w:color w:val="auto"/>
        </w:rPr>
        <w:t xml:space="preserve">” </w:t>
      </w:r>
      <w:r>
        <w:rPr>
          <w:rFonts w:ascii="Arial" w:cs="Arial" w:eastAsia="Arial" w:hAnsi="Arial"/>
          <w:sz w:val="11"/>
          <w:szCs w:val="11"/>
          <w:color w:val="auto"/>
        </w:rPr>
        <w:t>means compensation provided pursuant to an Award that constitutes deferred compensation subject to and not exempted from the requirements of Section 409A.</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77" w:name="page278"/>
    <w:bookmarkEnd w:id="277"/>
    <w:p>
      <w:pPr>
        <w:ind w:left="740" w:hanging="250"/>
        <w:spacing w:after="0"/>
        <w:tabs>
          <w:tab w:leader="none" w:pos="740" w:val="left"/>
        </w:tabs>
        <w:numPr>
          <w:ilvl w:val="0"/>
          <w:numId w:val="18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Act of 1933, as amended.</w:t>
      </w:r>
    </w:p>
    <w:p>
      <w:pPr>
        <w:spacing w:after="0" w:line="86" w:lineRule="exact"/>
        <w:rPr>
          <w:rFonts w:ascii="Arial" w:cs="Arial" w:eastAsia="Arial" w:hAnsi="Arial"/>
          <w:sz w:val="13"/>
          <w:szCs w:val="13"/>
          <w:color w:val="auto"/>
        </w:rPr>
      </w:pPr>
    </w:p>
    <w:p>
      <w:pPr>
        <w:ind w:right="40" w:firstLine="490"/>
        <w:spacing w:after="0" w:line="308" w:lineRule="auto"/>
        <w:tabs>
          <w:tab w:leader="none" w:pos="728" w:val="left"/>
        </w:tabs>
        <w:numPr>
          <w:ilvl w:val="0"/>
          <w:numId w:val="186"/>
        </w:numPr>
        <w:rPr>
          <w:rFonts w:ascii="Arial" w:cs="Arial" w:eastAsia="Arial" w:hAnsi="Arial"/>
          <w:sz w:val="11"/>
          <w:szCs w:val="11"/>
          <w:color w:val="auto"/>
        </w:rPr>
      </w:pP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Service</w:t>
      </w:r>
      <w:r>
        <w:rPr>
          <w:rFonts w:ascii="Arial" w:cs="Arial" w:eastAsia="Arial" w:hAnsi="Arial"/>
          <w:sz w:val="11"/>
          <w:szCs w:val="11"/>
          <w:i w:val="1"/>
          <w:iCs w:val="1"/>
          <w:color w:val="auto"/>
        </w:rPr>
        <w:t xml:space="preserve">” </w:t>
      </w:r>
      <w:r>
        <w:rPr>
          <w:rFonts w:ascii="Arial" w:cs="Arial" w:eastAsia="Arial" w:hAnsi="Arial"/>
          <w:sz w:val="11"/>
          <w:szCs w:val="11"/>
          <w:color w:val="auto"/>
        </w:rPr>
        <w:t>means a Participant’s employment or service with the Participating Company Group, whether in the capacity of an Employee, a Director or a Consultant. Unless otherwise provided by the</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38" w:lineRule="exact"/>
        <w:rPr>
          <w:sz w:val="20"/>
          <w:szCs w:val="20"/>
          <w:color w:val="auto"/>
        </w:rPr>
      </w:pPr>
    </w:p>
    <w:p>
      <w:pPr>
        <w:ind w:left="780" w:hanging="290"/>
        <w:spacing w:after="0"/>
        <w:tabs>
          <w:tab w:leader="none" w:pos="780" w:val="left"/>
        </w:tabs>
        <w:numPr>
          <w:ilvl w:val="0"/>
          <w:numId w:val="187"/>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Stock</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common stock of the Company, as adjusted from time to time in accordance with Section 4.4.</w:t>
      </w:r>
    </w:p>
    <w:p>
      <w:pPr>
        <w:spacing w:after="0" w:line="97" w:lineRule="exact"/>
        <w:rPr>
          <w:rFonts w:ascii="Arial" w:cs="Arial" w:eastAsia="Arial" w:hAnsi="Arial"/>
          <w:sz w:val="12"/>
          <w:szCs w:val="12"/>
          <w:color w:val="auto"/>
        </w:rPr>
      </w:pPr>
    </w:p>
    <w:p>
      <w:pPr>
        <w:ind w:left="800" w:hanging="310"/>
        <w:spacing w:after="0"/>
        <w:tabs>
          <w:tab w:leader="none" w:pos="800"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Subsidiary Corporation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present or future “subsidiary corporation” of the Company, as defined in Section 424(f) of the Code.</w:t>
      </w:r>
    </w:p>
    <w:p>
      <w:pPr>
        <w:spacing w:after="0" w:line="86" w:lineRule="exact"/>
        <w:rPr>
          <w:rFonts w:ascii="Arial" w:cs="Arial" w:eastAsia="Arial" w:hAnsi="Arial"/>
          <w:sz w:val="13"/>
          <w:szCs w:val="13"/>
          <w:color w:val="auto"/>
        </w:rPr>
      </w:pPr>
    </w:p>
    <w:p>
      <w:pPr>
        <w:ind w:firstLine="490"/>
        <w:spacing w:after="0" w:line="276" w:lineRule="auto"/>
        <w:tabs>
          <w:tab w:leader="none" w:pos="786"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Ten Percent Owner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Participant who, at the time an Option is granted to the Participant, owns stock possessing more than ten percent (10%) of the total combined voting power of all classes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 of a Participating Company (other than an Affiliate) within the meaning of Section 422(b)(6) of the Code.</w:t>
      </w:r>
    </w:p>
    <w:p>
      <w:pPr>
        <w:spacing w:after="0" w:line="49" w:lineRule="exact"/>
        <w:rPr>
          <w:rFonts w:ascii="Arial" w:cs="Arial" w:eastAsia="Arial" w:hAnsi="Arial"/>
          <w:sz w:val="13"/>
          <w:szCs w:val="13"/>
          <w:color w:val="auto"/>
        </w:rPr>
      </w:pPr>
    </w:p>
    <w:p>
      <w:pPr>
        <w:ind w:right="200" w:firstLine="490"/>
        <w:spacing w:after="0" w:line="276" w:lineRule="auto"/>
        <w:tabs>
          <w:tab w:leader="none" w:pos="808"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Vesting Conditions</w:t>
      </w:r>
      <w:r>
        <w:rPr>
          <w:rFonts w:ascii="Arial" w:cs="Arial" w:eastAsia="Arial" w:hAnsi="Arial"/>
          <w:sz w:val="13"/>
          <w:szCs w:val="13"/>
          <w:i w:val="1"/>
          <w:iCs w:val="1"/>
          <w:color w:val="auto"/>
        </w:rPr>
        <w:t xml:space="preserve">” </w:t>
      </w:r>
      <w:r>
        <w:rPr>
          <w:rFonts w:ascii="Arial" w:cs="Arial" w:eastAsia="Arial" w:hAnsi="Arial"/>
          <w:sz w:val="13"/>
          <w:szCs w:val="13"/>
          <w:color w:val="auto"/>
        </w:rPr>
        <w:t>mean those conditions established in accordance with the Plan prior to the satisfaction of which shares subject to an Award remain subject to forfeiture or a repurchase option in</w:t>
      </w:r>
      <w:r>
        <w:rPr>
          <w:rFonts w:ascii="Arial" w:cs="Arial" w:eastAsia="Arial" w:hAnsi="Arial"/>
          <w:sz w:val="13"/>
          <w:szCs w:val="13"/>
          <w:i w:val="1"/>
          <w:iCs w:val="1"/>
          <w:color w:val="auto"/>
        </w:rPr>
        <w:t xml:space="preserve"> </w:t>
      </w:r>
      <w:r>
        <w:rPr>
          <w:rFonts w:ascii="Arial" w:cs="Arial" w:eastAsia="Arial" w:hAnsi="Arial"/>
          <w:sz w:val="13"/>
          <w:szCs w:val="13"/>
          <w:color w:val="auto"/>
        </w:rPr>
        <w:t>favor of the Company exercisable for the Participant’s monetary purchase price, if any, for such shares upon the Participant’s termination of Service.</w:t>
      </w:r>
    </w:p>
    <w:p>
      <w:pPr>
        <w:spacing w:after="0" w:line="45" w:lineRule="exact"/>
        <w:rPr>
          <w:sz w:val="20"/>
          <w:szCs w:val="20"/>
          <w:color w:val="auto"/>
        </w:rPr>
      </w:pPr>
    </w:p>
    <w:p>
      <w:pPr>
        <w:ind w:right="20" w:firstLine="328"/>
        <w:spacing w:after="0" w:line="283"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Construction.</w:t>
      </w:r>
      <w:r>
        <w:rPr>
          <w:rFonts w:ascii="Arial" w:cs="Arial" w:eastAsia="Arial" w:hAnsi="Arial"/>
          <w:sz w:val="13"/>
          <w:szCs w:val="13"/>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8" w:name="page279"/>
    <w:bookmarkEnd w:id="278"/>
    <w:p>
      <w:pPr>
        <w:ind w:left="300" w:hanging="138"/>
        <w:spacing w:after="0"/>
        <w:tabs>
          <w:tab w:leader="none" w:pos="300"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DMINISTRATION</w:t>
      </w:r>
      <w:r>
        <w:rPr>
          <w:rFonts w:ascii="Arial" w:cs="Arial" w:eastAsia="Arial" w:hAnsi="Arial"/>
          <w:sz w:val="13"/>
          <w:szCs w:val="13"/>
          <w:b w:val="1"/>
          <w:bCs w:val="1"/>
          <w:color w:val="auto"/>
        </w:rPr>
        <w:t>.</w:t>
      </w:r>
    </w:p>
    <w:p>
      <w:pPr>
        <w:spacing w:after="0" w:line="86"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color w:val="auto"/>
        </w:rPr>
        <w:t>Administration by the Committee.</w:t>
      </w:r>
      <w:r>
        <w:rPr>
          <w:rFonts w:ascii="Arial" w:cs="Arial" w:eastAsia="Arial" w:hAnsi="Arial"/>
          <w:sz w:val="13"/>
          <w:szCs w:val="13"/>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55"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Authority of Officers.</w:t>
      </w:r>
      <w:r>
        <w:rPr>
          <w:rFonts w:ascii="Arial" w:cs="Arial" w:eastAsia="Arial" w:hAnsi="Arial"/>
          <w:sz w:val="13"/>
          <w:szCs w:val="13"/>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(b) each such Award shall be subject to the terms and conditions of the appropriate standard form of Award Agreement approved by the Board or the Committee and shall conform to the provisions of the Plan, and (c) each such Award shall conform to guidelines as shall be established from time to time by resolution of the Board or the Committee.</w:t>
      </w:r>
    </w:p>
    <w:p>
      <w:pPr>
        <w:spacing w:after="0" w:line="59" w:lineRule="exact"/>
        <w:rPr>
          <w:sz w:val="20"/>
          <w:szCs w:val="20"/>
          <w:color w:val="auto"/>
        </w:rPr>
      </w:pPr>
    </w:p>
    <w:p>
      <w:pPr>
        <w:ind w:right="520" w:firstLine="328"/>
        <w:spacing w:after="0" w:line="283"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Administration with Respect to Insiders.</w:t>
      </w:r>
      <w:r>
        <w:rPr>
          <w:rFonts w:ascii="Arial" w:cs="Arial" w:eastAsia="Arial" w:hAnsi="Arial"/>
          <w:sz w:val="13"/>
          <w:szCs w:val="13"/>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41" w:lineRule="exact"/>
        <w:rPr>
          <w:sz w:val="20"/>
          <w:szCs w:val="20"/>
          <w:color w:val="auto"/>
        </w:rPr>
      </w:pPr>
    </w:p>
    <w:p>
      <w:pPr>
        <w:ind w:right="160" w:firstLine="328"/>
        <w:spacing w:after="0" w:line="283"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b w:val="1"/>
          <w:bCs w:val="1"/>
          <w:color w:val="auto"/>
        </w:rPr>
        <w:t>Committee Complying with Section 162(m).</w:t>
      </w:r>
      <w:r>
        <w:rPr>
          <w:rFonts w:ascii="Arial" w:cs="Arial" w:eastAsia="Arial" w:hAnsi="Arial"/>
          <w:sz w:val="13"/>
          <w:szCs w:val="13"/>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b w:val="1"/>
          <w:bCs w:val="1"/>
          <w:color w:val="auto"/>
        </w:rPr>
        <w:t>Powers of the Committee</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In addition to any other powers set forth in the Plan and subject to the provisions of the Plan, the Committee shall have the full and final power and authority, in its discretion:</w:t>
      </w:r>
    </w:p>
    <w:p>
      <w:pPr>
        <w:spacing w:after="0" w:line="102" w:lineRule="exact"/>
        <w:rPr>
          <w:sz w:val="20"/>
          <w:szCs w:val="20"/>
          <w:color w:val="auto"/>
        </w:rPr>
      </w:pPr>
    </w:p>
    <w:p>
      <w:pPr>
        <w:ind w:left="5700" w:right="1400" w:hanging="5210"/>
        <w:spacing w:after="0" w:line="497" w:lineRule="auto"/>
        <w:tabs>
          <w:tab w:leader="none" w:pos="667"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to determine the persons to whom, and the time or times at which, Awards shall be granted and the number of shares of Stock, units or monetary value to be subject to each Award;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79" w:name="page280"/>
    <w:bookmarkEnd w:id="279"/>
    <w:p>
      <w:pPr>
        <w:ind w:left="681" w:hanging="190"/>
        <w:spacing w:after="0"/>
        <w:tabs>
          <w:tab w:leader="none" w:pos="681" w:val="left"/>
        </w:tabs>
        <w:numPr>
          <w:ilvl w:val="1"/>
          <w:numId w:val="190"/>
        </w:numPr>
        <w:rPr>
          <w:rFonts w:ascii="Arial" w:cs="Arial" w:eastAsia="Arial" w:hAnsi="Arial"/>
          <w:sz w:val="13"/>
          <w:szCs w:val="13"/>
          <w:color w:val="auto"/>
        </w:rPr>
      </w:pPr>
      <w:r>
        <w:rPr>
          <w:rFonts w:ascii="Arial" w:cs="Arial" w:eastAsia="Arial" w:hAnsi="Arial"/>
          <w:sz w:val="13"/>
          <w:szCs w:val="13"/>
          <w:color w:val="auto"/>
        </w:rPr>
        <w:t>to determine the type of Award granted;</w:t>
      </w:r>
    </w:p>
    <w:p>
      <w:pPr>
        <w:spacing w:after="0" w:line="86" w:lineRule="exact"/>
        <w:rPr>
          <w:rFonts w:ascii="Arial" w:cs="Arial" w:eastAsia="Arial" w:hAnsi="Arial"/>
          <w:sz w:val="13"/>
          <w:szCs w:val="13"/>
          <w:color w:val="auto"/>
        </w:rPr>
      </w:pPr>
    </w:p>
    <w:p>
      <w:pPr>
        <w:ind w:left="661" w:hanging="170"/>
        <w:spacing w:after="0"/>
        <w:tabs>
          <w:tab w:leader="none" w:pos="661" w:val="left"/>
        </w:tabs>
        <w:numPr>
          <w:ilvl w:val="1"/>
          <w:numId w:val="190"/>
        </w:numPr>
        <w:rPr>
          <w:rFonts w:ascii="Arial" w:cs="Arial" w:eastAsia="Arial" w:hAnsi="Arial"/>
          <w:sz w:val="13"/>
          <w:szCs w:val="13"/>
          <w:color w:val="auto"/>
        </w:rPr>
      </w:pPr>
      <w:r>
        <w:rPr>
          <w:rFonts w:ascii="Arial" w:cs="Arial" w:eastAsia="Arial" w:hAnsi="Arial"/>
          <w:sz w:val="13"/>
          <w:szCs w:val="13"/>
          <w:color w:val="auto"/>
        </w:rPr>
        <w:t>to determine the Fair Market Value of shares of Stock or other property;</w:t>
      </w:r>
    </w:p>
    <w:p>
      <w:pPr>
        <w:spacing w:after="0" w:line="86" w:lineRule="exact"/>
        <w:rPr>
          <w:rFonts w:ascii="Arial" w:cs="Arial" w:eastAsia="Arial" w:hAnsi="Arial"/>
          <w:sz w:val="13"/>
          <w:szCs w:val="13"/>
          <w:color w:val="auto"/>
        </w:rPr>
      </w:pPr>
    </w:p>
    <w:p>
      <w:pPr>
        <w:ind w:left="1" w:right="20" w:firstLine="490"/>
        <w:spacing w:after="0" w:line="301" w:lineRule="auto"/>
        <w:tabs>
          <w:tab w:leader="none" w:pos="678" w:val="left"/>
        </w:tabs>
        <w:numPr>
          <w:ilvl w:val="1"/>
          <w:numId w:val="190"/>
        </w:numPr>
        <w:rPr>
          <w:rFonts w:ascii="Arial" w:cs="Arial" w:eastAsia="Arial" w:hAnsi="Arial"/>
          <w:sz w:val="11"/>
          <w:szCs w:val="11"/>
          <w:color w:val="auto"/>
        </w:rPr>
      </w:pPr>
      <w:r>
        <w:rPr>
          <w:rFonts w:ascii="Arial" w:cs="Arial" w:eastAsia="Arial" w:hAnsi="Arial"/>
          <w:sz w:val="11"/>
          <w:szCs w:val="11"/>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w:t>
      </w:r>
    </w:p>
    <w:p>
      <w:pPr>
        <w:spacing w:after="0" w:line="2" w:lineRule="exact"/>
        <w:rPr>
          <w:rFonts w:ascii="Arial" w:cs="Arial" w:eastAsia="Arial" w:hAnsi="Arial"/>
          <w:sz w:val="11"/>
          <w:szCs w:val="11"/>
          <w:color w:val="auto"/>
        </w:rPr>
      </w:pPr>
    </w:p>
    <w:p>
      <w:pPr>
        <w:ind w:left="1" w:right="140" w:hanging="1"/>
        <w:spacing w:after="0" w:line="264" w:lineRule="auto"/>
        <w:tabs>
          <w:tab w:leader="none" w:pos="26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effect of the Participant’s termination of Service on any of the foregoing, and (viii) all other terms, conditions and restrictions applicable to any Award or shares acquired pursuant thereto not inconsistent with the terms of the Plan;</w:t>
      </w:r>
    </w:p>
    <w:p>
      <w:pPr>
        <w:spacing w:after="0" w:line="56" w:lineRule="exact"/>
        <w:rPr>
          <w:rFonts w:ascii="Arial" w:cs="Arial" w:eastAsia="Arial" w:hAnsi="Arial"/>
          <w:sz w:val="13"/>
          <w:szCs w:val="13"/>
          <w:color w:val="auto"/>
        </w:rPr>
      </w:pPr>
    </w:p>
    <w:p>
      <w:pPr>
        <w:ind w:left="661" w:hanging="170"/>
        <w:spacing w:after="0"/>
        <w:tabs>
          <w:tab w:leader="none" w:pos="66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to determine whether an Award will be settled in shares of Stock, cash, or in any combination thereof;</w:t>
      </w:r>
    </w:p>
    <w:p>
      <w:pPr>
        <w:spacing w:after="0" w:line="86" w:lineRule="exact"/>
        <w:rPr>
          <w:rFonts w:ascii="Arial" w:cs="Arial" w:eastAsia="Arial" w:hAnsi="Arial"/>
          <w:sz w:val="13"/>
          <w:szCs w:val="13"/>
          <w:color w:val="auto"/>
        </w:rPr>
      </w:pPr>
    </w:p>
    <w:p>
      <w:pPr>
        <w:ind w:left="661" w:hanging="170"/>
        <w:spacing w:after="0"/>
        <w:tabs>
          <w:tab w:leader="none" w:pos="66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to approve one or more forms of Award Agreement;</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to amend, modify, extend, cancel or renew any Award or to waive any restrictions or conditions applicable to any Award or any shares acquired pursuant thereto;</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1"/>
          <w:numId w:val="191"/>
        </w:numPr>
        <w:rPr>
          <w:rFonts w:ascii="Arial" w:cs="Arial" w:eastAsia="Arial" w:hAnsi="Arial"/>
          <w:sz w:val="12"/>
          <w:szCs w:val="12"/>
          <w:color w:val="auto"/>
        </w:rPr>
      </w:pPr>
      <w:r>
        <w:rPr>
          <w:rFonts w:ascii="Arial" w:cs="Arial" w:eastAsia="Arial" w:hAnsi="Arial"/>
          <w:sz w:val="12"/>
          <w:szCs w:val="12"/>
          <w:color w:val="auto"/>
        </w:rPr>
        <w:t>to accelerate, continue, extend or defer the exercisability or vesting of any Award or any shares acquired pursuant thereto, including with respect to the period following a Participant’s termination of</w:t>
      </w:r>
    </w:p>
    <w:p>
      <w:pPr>
        <w:spacing w:after="0" w:line="26"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Service;</w:t>
      </w:r>
    </w:p>
    <w:p>
      <w:pPr>
        <w:spacing w:after="0" w:line="78" w:lineRule="exact"/>
        <w:rPr>
          <w:rFonts w:ascii="Arial" w:cs="Arial" w:eastAsia="Arial" w:hAnsi="Arial"/>
          <w:sz w:val="12"/>
          <w:szCs w:val="12"/>
          <w:color w:val="auto"/>
        </w:rPr>
      </w:pPr>
    </w:p>
    <w:p>
      <w:pPr>
        <w:ind w:left="1" w:right="100" w:firstLine="490"/>
        <w:spacing w:after="0" w:line="371" w:lineRule="auto"/>
        <w:tabs>
          <w:tab w:leader="none" w:pos="649" w:val="left"/>
        </w:tabs>
        <w:numPr>
          <w:ilvl w:val="1"/>
          <w:numId w:val="191"/>
        </w:numPr>
        <w:rPr>
          <w:rFonts w:ascii="Arial" w:cs="Arial" w:eastAsia="Arial" w:hAnsi="Arial"/>
          <w:sz w:val="11"/>
          <w:szCs w:val="11"/>
          <w:color w:val="auto"/>
        </w:rPr>
      </w:pPr>
      <w:r>
        <w:rPr>
          <w:rFonts w:ascii="Arial" w:cs="Arial" w:eastAsia="Arial" w:hAnsi="Arial"/>
          <w:sz w:val="11"/>
          <w:szCs w:val="11"/>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2" w:lineRule="exact"/>
        <w:rPr>
          <w:rFonts w:ascii="Arial" w:cs="Arial" w:eastAsia="Arial" w:hAnsi="Arial"/>
          <w:sz w:val="11"/>
          <w:szCs w:val="11"/>
          <w:color w:val="auto"/>
        </w:rPr>
      </w:pPr>
    </w:p>
    <w:p>
      <w:pPr>
        <w:ind w:left="1" w:firstLine="490"/>
        <w:spacing w:after="0" w:line="276" w:lineRule="auto"/>
        <w:tabs>
          <w:tab w:leader="none" w:pos="649"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45" w:lineRule="exact"/>
        <w:rPr>
          <w:sz w:val="20"/>
          <w:szCs w:val="20"/>
          <w:color w:val="auto"/>
        </w:rPr>
      </w:pPr>
    </w:p>
    <w:p>
      <w:pPr>
        <w:ind w:left="1" w:right="20" w:firstLine="164"/>
        <w:spacing w:after="0" w:line="267"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b w:val="1"/>
          <w:bCs w:val="1"/>
          <w:color w:val="auto"/>
        </w:rPr>
        <w:t>Indemnification.</w:t>
      </w:r>
      <w:r>
        <w:rPr>
          <w:rFonts w:ascii="Arial" w:cs="Arial" w:eastAsia="Arial" w:hAnsi="Arial"/>
          <w:sz w:val="13"/>
          <w:szCs w:val="13"/>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0" w:name="page281"/>
    <w:bookmarkEnd w:id="280"/>
    <w:p>
      <w:pPr>
        <w:spacing w:after="0" w:line="258" w:lineRule="auto"/>
        <w:rPr>
          <w:sz w:val="20"/>
          <w:szCs w:val="20"/>
          <w:color w:val="auto"/>
        </w:rPr>
      </w:pPr>
      <w:r>
        <w:rPr>
          <w:rFonts w:ascii="Arial" w:cs="Arial" w:eastAsia="Arial" w:hAnsi="Arial"/>
          <w:sz w:val="13"/>
          <w:szCs w:val="13"/>
          <w:color w:val="auto"/>
        </w:rPr>
        <w:t>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57" w:lineRule="exact"/>
        <w:rPr>
          <w:sz w:val="20"/>
          <w:szCs w:val="20"/>
          <w:color w:val="auto"/>
        </w:rPr>
      </w:pPr>
    </w:p>
    <w:p>
      <w:pPr>
        <w:ind w:left="300" w:hanging="138"/>
        <w:spacing w:after="0"/>
        <w:tabs>
          <w:tab w:leader="none" w:pos="300" w:val="left"/>
        </w:tabs>
        <w:numPr>
          <w:ilvl w:val="0"/>
          <w:numId w:val="192"/>
        </w:numPr>
        <w:rPr>
          <w:rFonts w:ascii="Arial" w:cs="Arial" w:eastAsia="Arial" w:hAnsi="Arial"/>
          <w:sz w:val="13"/>
          <w:szCs w:val="13"/>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HARES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UBJECT TO</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b w:val="1"/>
          <w:bCs w:val="1"/>
          <w:color w:val="auto"/>
        </w:rPr>
        <w:t>Maximum Number of Shares Issuable.</w:t>
      </w:r>
      <w:r>
        <w:rPr>
          <w:rFonts w:ascii="Arial" w:cs="Arial" w:eastAsia="Arial" w:hAnsi="Arial"/>
          <w:sz w:val="11"/>
          <w:szCs w:val="11"/>
          <w:color w:val="auto"/>
        </w:rPr>
        <w:t xml:space="preserve"> Subject to adjustment as provided in Sections 4.2, 4.3 and 4.4, the maximum aggregate number of shares of Stock that may be issued under the Plan shall be equal to</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4,199,937 and shall consist of authorized but unissued or reacquired shares of Stock or any combination thereof.</w:t>
      </w:r>
    </w:p>
    <w:p>
      <w:pPr>
        <w:spacing w:after="0" w:line="75" w:lineRule="exact"/>
        <w:rPr>
          <w:sz w:val="20"/>
          <w:szCs w:val="20"/>
          <w:color w:val="auto"/>
        </w:rPr>
      </w:pPr>
    </w:p>
    <w:p>
      <w:pPr>
        <w:ind w:right="40" w:firstLine="328"/>
        <w:spacing w:after="0" w:line="300"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Annual Increase in Maximum Number of Shares Issuable.</w:t>
      </w:r>
      <w:r>
        <w:rPr>
          <w:rFonts w:ascii="Arial" w:cs="Arial" w:eastAsia="Arial" w:hAnsi="Arial"/>
          <w:sz w:val="12"/>
          <w:szCs w:val="12"/>
          <w:color w:val="auto"/>
        </w:rPr>
        <w:t xml:space="preserve"> Subject to adjustment as provided in Section 4.4, the maximum aggregate number of shares of Stock that may be issued under the Plan as set forth in Section 4.1 shall be cumulatively increased on January 1, 2009 and on each subsequent January 1 through and including January 1, 2018, by a number of shares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Annual Increase</w:t>
      </w:r>
      <w:r>
        <w:rPr>
          <w:rFonts w:ascii="Arial" w:cs="Arial" w:eastAsia="Arial" w:hAnsi="Arial"/>
          <w:sz w:val="12"/>
          <w:szCs w:val="12"/>
          <w:i w:val="1"/>
          <w:iCs w:val="1"/>
          <w:color w:val="auto"/>
        </w:rPr>
        <w:t>”</w:t>
      </w:r>
      <w:r>
        <w:rPr>
          <w:rFonts w:ascii="Arial" w:cs="Arial" w:eastAsia="Arial" w:hAnsi="Arial"/>
          <w:sz w:val="12"/>
          <w:szCs w:val="12"/>
          <w:color w:val="auto"/>
        </w:rPr>
        <w:t>) equal to the smaller of (a) two and one-half percent (2.5%) of the number of shares of Stock issued and outstanding on the immediately preceding December 31, or (b) an amount determined by the Board.</w:t>
      </w:r>
    </w:p>
    <w:p>
      <w:pPr>
        <w:spacing w:after="0" w:line="33"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Share Accounting.</w:t>
      </w:r>
      <w:r>
        <w:rPr>
          <w:rFonts w:ascii="Arial" w:cs="Arial" w:eastAsia="Arial" w:hAnsi="Arial"/>
          <w:sz w:val="13"/>
          <w:szCs w:val="13"/>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Section 17.2. Upon payment in shares of Stock pursuant to the exercise of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Net-Exercise, the number of shares available for issuance under the Plan shall be reduced by the net number of shares for which the Option is exercised.</w:t>
      </w:r>
    </w:p>
    <w:p>
      <w:pPr>
        <w:spacing w:after="0" w:line="59" w:lineRule="exact"/>
        <w:rPr>
          <w:sz w:val="20"/>
          <w:szCs w:val="20"/>
          <w:color w:val="auto"/>
        </w:rPr>
      </w:pPr>
    </w:p>
    <w:p>
      <w:pPr>
        <w:ind w:right="20" w:firstLine="328"/>
        <w:spacing w:after="0" w:line="283"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b w:val="1"/>
          <w:bCs w:val="1"/>
          <w:color w:val="auto"/>
        </w:rPr>
        <w:t>Adjustments for Changes in Capital Structure</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Subject to any required action by the stockholders of the Company and the requirements of Section 409A and 424 of the Code to the extent applicable, in the event of any change in the Stock effected without receipt of consideration by the Company, whether through merger, consolidation, reorganization,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81" w:name="page282"/>
    <w:bookmarkEnd w:id="281"/>
    <w:p>
      <w:pPr>
        <w:spacing w:after="0" w:line="278" w:lineRule="auto"/>
        <w:rPr>
          <w:sz w:val="20"/>
          <w:szCs w:val="20"/>
          <w:color w:val="auto"/>
        </w:rPr>
      </w:pPr>
      <w:r>
        <w:rPr>
          <w:rFonts w:ascii="Arial" w:cs="Arial" w:eastAsia="Arial" w:hAnsi="Arial"/>
          <w:sz w:val="12"/>
          <w:szCs w:val="12"/>
          <w:color w:val="auto"/>
        </w:rPr>
        <w:t xml:space="preserve">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and kind of shares subject to the Plan and to any outstanding Awards, in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New Shares</w:t>
      </w:r>
      <w:r>
        <w:rPr>
          <w:rFonts w:ascii="Arial" w:cs="Arial" w:eastAsia="Arial" w:hAnsi="Arial"/>
          <w:sz w:val="12"/>
          <w:szCs w:val="12"/>
          <w:i w:val="1"/>
          <w:iCs w:val="1"/>
          <w:color w:val="auto"/>
        </w:rPr>
        <w:t>”</w:t>
      </w:r>
      <w:r>
        <w:rPr>
          <w:rFonts w:ascii="Arial" w:cs="Arial" w:eastAsia="Arial" w:hAnsi="Arial"/>
          <w:sz w:val="12"/>
          <w:szCs w:val="12"/>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in no event may the exercise or purchase price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50" w:lineRule="exact"/>
        <w:rPr>
          <w:sz w:val="20"/>
          <w:szCs w:val="20"/>
          <w:color w:val="auto"/>
        </w:rPr>
      </w:pPr>
    </w:p>
    <w:p>
      <w:pPr>
        <w:ind w:right="140" w:firstLine="161"/>
        <w:spacing w:after="0" w:line="369" w:lineRule="auto"/>
        <w:rPr>
          <w:sz w:val="20"/>
          <w:szCs w:val="20"/>
          <w:color w:val="auto"/>
        </w:rPr>
      </w:pPr>
      <w:r>
        <w:rPr>
          <w:rFonts w:ascii="Arial" w:cs="Arial" w:eastAsia="Arial" w:hAnsi="Arial"/>
          <w:sz w:val="11"/>
          <w:szCs w:val="11"/>
          <w:color w:val="auto"/>
        </w:rPr>
        <w:t>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ind w:left="300" w:hanging="138"/>
        <w:spacing w:after="0"/>
        <w:tabs>
          <w:tab w:leader="none" w:pos="300" w:val="left"/>
        </w:tabs>
        <w:numPr>
          <w:ilvl w:val="0"/>
          <w:numId w:val="193"/>
        </w:numPr>
        <w:rPr>
          <w:rFonts w:ascii="Arial" w:cs="Arial" w:eastAsia="Arial" w:hAnsi="Arial"/>
          <w:sz w:val="13"/>
          <w:szCs w:val="13"/>
          <w:color w:val="auto"/>
        </w:rPr>
      </w:pP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LIGIBILITY</w:t>
      </w:r>
      <w:r>
        <w:rPr>
          <w:rFonts w:ascii="Arial" w:cs="Arial" w:eastAsia="Arial" w:hAnsi="Arial"/>
          <w:sz w:val="13"/>
          <w:szCs w:val="13"/>
          <w:b w:val="1"/>
          <w:bCs w:val="1"/>
          <w:u w:val="single" w:color="auto"/>
          <w:color w:val="auto"/>
        </w:rPr>
        <w:t>, P</w:t>
      </w:r>
      <w:r>
        <w:rPr>
          <w:rFonts w:ascii="Arial" w:cs="Arial" w:eastAsia="Arial" w:hAnsi="Arial"/>
          <w:sz w:val="8"/>
          <w:szCs w:val="8"/>
          <w:b w:val="1"/>
          <w:bCs w:val="1"/>
          <w:u w:val="single" w:color="auto"/>
          <w:color w:val="auto"/>
        </w:rPr>
        <w:t>ARTICIPATION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L</w:t>
      </w:r>
      <w:r>
        <w:rPr>
          <w:rFonts w:ascii="Arial" w:cs="Arial" w:eastAsia="Arial" w:hAnsi="Arial"/>
          <w:sz w:val="8"/>
          <w:szCs w:val="8"/>
          <w:b w:val="1"/>
          <w:bCs w:val="1"/>
          <w:u w:val="single" w:color="auto"/>
          <w:color w:val="auto"/>
        </w:rPr>
        <w:t>IMITATIONS</w:t>
      </w:r>
      <w:r>
        <w:rPr>
          <w:rFonts w:ascii="Arial" w:cs="Arial" w:eastAsia="Arial" w:hAnsi="Arial"/>
          <w:sz w:val="13"/>
          <w:szCs w:val="13"/>
          <w:b w:val="1"/>
          <w:bCs w:val="1"/>
          <w:color w:val="auto"/>
        </w:rPr>
        <w:t>.</w:t>
      </w:r>
    </w:p>
    <w:p>
      <w:pPr>
        <w:spacing w:after="0" w:line="86" w:lineRule="exact"/>
        <w:rPr>
          <w:sz w:val="20"/>
          <w:szCs w:val="20"/>
          <w:color w:val="auto"/>
        </w:rPr>
      </w:pPr>
    </w:p>
    <w:p>
      <w:pPr>
        <w:ind w:right="80" w:firstLine="328"/>
        <w:spacing w:after="0" w:line="283"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b w:val="1"/>
          <w:bCs w:val="1"/>
          <w:color w:val="auto"/>
        </w:rPr>
        <w:t>Persons Eligible for Awards.</w:t>
      </w:r>
      <w:r>
        <w:rPr>
          <w:rFonts w:ascii="Arial" w:cs="Arial" w:eastAsia="Arial" w:hAnsi="Arial"/>
          <w:sz w:val="13"/>
          <w:szCs w:val="13"/>
          <w:color w:val="auto"/>
        </w:rPr>
        <w:t xml:space="preserve"> Awards, other than Nonemployee Director Awards, may be granted only to Employees and Consultants. Nonemployee Director Awards may be granted only to persons who, at the time of grant, are Nonemployee Directors.</w:t>
      </w:r>
    </w:p>
    <w:p>
      <w:pPr>
        <w:spacing w:after="0" w:line="41" w:lineRule="exact"/>
        <w:rPr>
          <w:sz w:val="20"/>
          <w:szCs w:val="20"/>
          <w:color w:val="auto"/>
        </w:rPr>
      </w:pPr>
    </w:p>
    <w:p>
      <w:pPr>
        <w:ind w:right="580" w:firstLine="328"/>
        <w:spacing w:after="0" w:line="283"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b w:val="1"/>
          <w:bCs w:val="1"/>
          <w:color w:val="auto"/>
        </w:rPr>
        <w:t>Participation in the Plan.</w:t>
      </w:r>
      <w:r>
        <w:rPr>
          <w:rFonts w:ascii="Arial" w:cs="Arial" w:eastAsia="Arial" w:hAnsi="Arial"/>
          <w:sz w:val="13"/>
          <w:szCs w:val="13"/>
          <w:color w:val="auto"/>
        </w:rPr>
        <w:t xml:space="preserve"> Subject to Section 3.2 above,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b w:val="1"/>
          <w:bCs w:val="1"/>
          <w:color w:val="auto"/>
        </w:rPr>
        <w:t>Incentive Stock Option Limitations.</w:t>
      </w:r>
    </w:p>
    <w:p>
      <w:pPr>
        <w:spacing w:after="0" w:line="90" w:lineRule="exact"/>
        <w:rPr>
          <w:sz w:val="20"/>
          <w:szCs w:val="20"/>
          <w:color w:val="auto"/>
        </w:rPr>
      </w:pPr>
    </w:p>
    <w:p>
      <w:pPr>
        <w:ind w:left="5660" w:right="2780" w:hanging="5170"/>
        <w:spacing w:after="0" w:line="497" w:lineRule="auto"/>
        <w:tabs>
          <w:tab w:leader="none" w:pos="660" w:val="left"/>
        </w:tabs>
        <w:numPr>
          <w:ilvl w:val="0"/>
          <w:numId w:val="19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Maximum Number of Shares Issuable Pursuant to Incentive Stock Options. </w:t>
      </w:r>
      <w:r>
        <w:rPr>
          <w:rFonts w:ascii="Arial" w:cs="Arial" w:eastAsia="Arial" w:hAnsi="Arial"/>
          <w:sz w:val="13"/>
          <w:szCs w:val="13"/>
          <w:color w:val="auto"/>
        </w:rPr>
        <w:t>Subject to adjustment as provided in Section 4.4, the maximum aggregate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82" w:name="page283"/>
    <w:bookmarkEnd w:id="282"/>
    <w:p>
      <w:pPr>
        <w:spacing w:after="0" w:line="260" w:lineRule="auto"/>
        <w:rPr>
          <w:sz w:val="20"/>
          <w:szCs w:val="20"/>
          <w:color w:val="auto"/>
        </w:rPr>
      </w:pPr>
      <w:r>
        <w:rPr>
          <w:rFonts w:ascii="Arial" w:cs="Arial" w:eastAsia="Arial" w:hAnsi="Arial"/>
          <w:sz w:val="13"/>
          <w:szCs w:val="13"/>
          <w:color w:val="auto"/>
        </w:rPr>
        <w:t>number of shares of Stock that may be issued under the Plan pursuant to the exercise of Incentive Stock Options shall not exceed 4,199,937, cumulatively increased on January 1, 2009 and on each subsequent January 1, through and including January 1, 2018, by a number of shares equal to the smaller of the Annual Increase determined under Section 4.2 or 4,199,937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60" w:lineRule="exact"/>
        <w:rPr>
          <w:sz w:val="20"/>
          <w:szCs w:val="20"/>
          <w:color w:val="auto"/>
        </w:rPr>
      </w:pPr>
    </w:p>
    <w:p>
      <w:pPr>
        <w:ind w:firstLine="490"/>
        <w:spacing w:after="0" w:line="264" w:lineRule="auto"/>
        <w:tabs>
          <w:tab w:leader="none" w:pos="677" w:val="left"/>
        </w:tabs>
        <w:numPr>
          <w:ilvl w:val="1"/>
          <w:numId w:val="1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Persons Eligible. </w:t>
      </w:r>
      <w:r>
        <w:rPr>
          <w:rFonts w:ascii="Arial" w:cs="Arial" w:eastAsia="Arial" w:hAnsi="Arial"/>
          <w:sz w:val="13"/>
          <w:szCs w:val="13"/>
          <w:color w:val="auto"/>
        </w:rPr>
        <w:t>An Incentive Stock Option may be granted only to a person who, on the effective date of grant, is an Employee of the Company, a Parent Corporation or a Subsidiary Corporation (each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being an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ISO-Qualifying Corporation</w:t>
      </w:r>
      <w:r>
        <w:rPr>
          <w:rFonts w:ascii="Arial" w:cs="Arial" w:eastAsia="Arial" w:hAnsi="Arial"/>
          <w:sz w:val="13"/>
          <w:szCs w:val="13"/>
          <w:i w:val="1"/>
          <w:iCs w:val="1"/>
          <w:color w:val="auto"/>
        </w:rPr>
        <w:t>”</w:t>
      </w:r>
      <w:r>
        <w:rPr>
          <w:rFonts w:ascii="Arial" w:cs="Arial" w:eastAsia="Arial" w:hAnsi="Arial"/>
          <w:sz w:val="13"/>
          <w:szCs w:val="13"/>
          <w:color w:val="auto"/>
        </w:rPr>
        <w:t>). Any person who is not an Employee of an ISO-Qualifying Corporation on the effective date of the grant of an Option to such person may be granted only a Nonstatutory Stock Option.</w:t>
      </w:r>
    </w:p>
    <w:p>
      <w:pPr>
        <w:spacing w:after="0" w:line="57" w:lineRule="exact"/>
        <w:rPr>
          <w:rFonts w:ascii="Arial" w:cs="Arial" w:eastAsia="Arial" w:hAnsi="Arial"/>
          <w:sz w:val="13"/>
          <w:szCs w:val="13"/>
          <w:color w:val="auto"/>
        </w:rPr>
      </w:pPr>
    </w:p>
    <w:p>
      <w:pPr>
        <w:ind w:right="160" w:firstLine="490"/>
        <w:spacing w:after="0" w:line="310" w:lineRule="auto"/>
        <w:tabs>
          <w:tab w:leader="none" w:pos="669" w:val="left"/>
        </w:tabs>
        <w:numPr>
          <w:ilvl w:val="1"/>
          <w:numId w:val="19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Fair Market Value Limitation. </w:t>
      </w:r>
      <w:r>
        <w:rPr>
          <w:rFonts w:ascii="Arial" w:cs="Arial" w:eastAsia="Arial" w:hAnsi="Arial"/>
          <w:sz w:val="11"/>
          <w:szCs w:val="11"/>
          <w:color w:val="auto"/>
        </w:rPr>
        <w:t>To the extent that options designated as Incentive Stock Options (granted under all stock option plans of the Participating Company Group, including the Plan) become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31" w:lineRule="exact"/>
        <w:rPr>
          <w:rFonts w:ascii="Arial" w:cs="Arial" w:eastAsia="Arial" w:hAnsi="Arial"/>
          <w:sz w:val="11"/>
          <w:szCs w:val="11"/>
          <w:color w:val="auto"/>
        </w:rPr>
      </w:pPr>
    </w:p>
    <w:p>
      <w:pPr>
        <w:ind w:left="300" w:hanging="138"/>
        <w:spacing w:after="0"/>
        <w:tabs>
          <w:tab w:leader="none" w:pos="300" w:val="left"/>
        </w:tabs>
        <w:numPr>
          <w:ilvl w:val="0"/>
          <w:numId w:val="19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O</w:t>
      </w:r>
      <w:r>
        <w:rPr>
          <w:rFonts w:ascii="Arial" w:cs="Arial" w:eastAsia="Arial" w:hAnsi="Arial"/>
          <w:sz w:val="8"/>
          <w:szCs w:val="8"/>
          <w:b w:val="1"/>
          <w:bCs w:val="1"/>
          <w:u w:val="single" w:color="auto"/>
          <w:color w:val="auto"/>
        </w:rPr>
        <w:t>PTIONS</w:t>
      </w:r>
      <w:r>
        <w:rPr>
          <w:rFonts w:ascii="Arial" w:cs="Arial" w:eastAsia="Arial" w:hAnsi="Arial"/>
          <w:sz w:val="13"/>
          <w:szCs w:val="13"/>
          <w:b w:val="1"/>
          <w:bCs w:val="1"/>
          <w:color w:val="auto"/>
        </w:rPr>
        <w: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Options shall be evidenced by Award Agreements specifying the number of shares of Stock covered thereby, in such form as the Committee shall from time to time establish. Award Agreements evidencing</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Options may incorporate all or any of the terms of the Plan by reference and shall comply with and be subject to the following terms and conditions:</w:t>
      </w:r>
    </w:p>
    <w:p>
      <w:pPr>
        <w:spacing w:after="0" w:line="75"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Exercise Price.</w:t>
      </w:r>
      <w:r>
        <w:rPr>
          <w:rFonts w:ascii="Arial" w:cs="Arial" w:eastAsia="Arial" w:hAnsi="Arial"/>
          <w:sz w:val="13"/>
          <w:szCs w:val="13"/>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3" w:name="page284"/>
    <w:bookmarkEnd w:id="283"/>
    <w:p>
      <w:pPr>
        <w:spacing w:after="0"/>
        <w:rPr>
          <w:sz w:val="20"/>
          <w:szCs w:val="20"/>
          <w:color w:val="auto"/>
        </w:rPr>
      </w:pPr>
      <w:r>
        <w:rPr>
          <w:rFonts w:ascii="Arial" w:cs="Arial" w:eastAsia="Arial" w:hAnsi="Arial"/>
          <w:sz w:val="13"/>
          <w:szCs w:val="13"/>
          <w:color w:val="auto"/>
        </w:rPr>
        <w:t>pursuant to an assumption or substitution for another option in a manner qualifying under the provisions of Section 424(a) of the Code.</w:t>
      </w:r>
    </w:p>
    <w:p>
      <w:pPr>
        <w:spacing w:after="0" w:line="82" w:lineRule="exact"/>
        <w:rPr>
          <w:sz w:val="20"/>
          <w:szCs w:val="20"/>
          <w:color w:val="auto"/>
        </w:rPr>
      </w:pPr>
    </w:p>
    <w:p>
      <w:pPr>
        <w:ind w:firstLine="328"/>
        <w:spacing w:after="0" w:line="325"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b w:val="1"/>
          <w:bCs w:val="1"/>
          <w:color w:val="auto"/>
        </w:rPr>
        <w:t>Exercisability and Term of Options.</w:t>
      </w:r>
      <w:r>
        <w:rPr>
          <w:rFonts w:ascii="Arial" w:cs="Arial" w:eastAsia="Arial" w:hAnsi="Arial"/>
          <w:sz w:val="11"/>
          <w:szCs w:val="11"/>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b w:val="1"/>
          <w:bCs w:val="1"/>
          <w:color w:val="auto"/>
        </w:rPr>
        <w:t>Payment of Exercise Price.</w:t>
      </w:r>
    </w:p>
    <w:p>
      <w:pPr>
        <w:spacing w:after="0" w:line="90" w:lineRule="exact"/>
        <w:rPr>
          <w:sz w:val="20"/>
          <w:szCs w:val="20"/>
          <w:color w:val="auto"/>
        </w:rPr>
      </w:pPr>
    </w:p>
    <w:p>
      <w:pPr>
        <w:ind w:firstLine="490"/>
        <w:spacing w:after="0" w:line="256" w:lineRule="auto"/>
        <w:tabs>
          <w:tab w:leader="none" w:pos="669" w:val="left"/>
        </w:tabs>
        <w:numPr>
          <w:ilvl w:val="0"/>
          <w:numId w:val="19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Forms of Consideration Authorized. </w:t>
      </w:r>
      <w:r>
        <w:rPr>
          <w:rFonts w:ascii="Arial" w:cs="Arial" w:eastAsia="Arial" w:hAnsi="Arial"/>
          <w:sz w:val="13"/>
          <w:szCs w:val="13"/>
          <w:color w:val="auto"/>
        </w:rPr>
        <w:t>Except as otherwise provided below, payment of the exercise price for the number of shares of Stock being purchased pursuant to any Option shall be made (i) in 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Cashless Exercise</w:t>
      </w:r>
      <w:r>
        <w:rPr>
          <w:rFonts w:ascii="Arial" w:cs="Arial" w:eastAsia="Arial" w:hAnsi="Arial"/>
          <w:sz w:val="13"/>
          <w:szCs w:val="13"/>
          <w:i w:val="1"/>
          <w:iCs w:val="1"/>
          <w:color w:val="auto"/>
        </w:rPr>
        <w:t>”</w:t>
      </w:r>
      <w:r>
        <w:rPr>
          <w:rFonts w:ascii="Arial" w:cs="Arial" w:eastAsia="Arial" w:hAnsi="Arial"/>
          <w:sz w:val="13"/>
          <w:szCs w:val="13"/>
          <w:color w:val="auto"/>
        </w:rPr>
        <w:t>), (iv) by delivery of a properly executed notice electing a Net-Exercise, (v) by such other consideration as may be approved by the Committee from time to time to the extent permitted by applicable law, or (vi)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63" w:lineRule="exact"/>
        <w:rPr>
          <w:rFonts w:ascii="Arial" w:cs="Arial" w:eastAsia="Arial" w:hAnsi="Arial"/>
          <w:sz w:val="13"/>
          <w:szCs w:val="13"/>
          <w:color w:val="auto"/>
        </w:rPr>
      </w:pPr>
    </w:p>
    <w:p>
      <w:pPr>
        <w:ind w:left="680" w:hanging="190"/>
        <w:spacing w:after="0"/>
        <w:tabs>
          <w:tab w:leader="none" w:pos="680" w:val="left"/>
        </w:tabs>
        <w:numPr>
          <w:ilvl w:val="0"/>
          <w:numId w:val="197"/>
        </w:numPr>
        <w:rPr>
          <w:rFonts w:ascii="Arial" w:cs="Arial" w:eastAsia="Arial" w:hAnsi="Arial"/>
          <w:sz w:val="13"/>
          <w:szCs w:val="13"/>
          <w:color w:val="auto"/>
        </w:rPr>
      </w:pPr>
      <w:r>
        <w:rPr>
          <w:rFonts w:ascii="Arial" w:cs="Arial" w:eastAsia="Arial" w:hAnsi="Arial"/>
          <w:sz w:val="13"/>
          <w:szCs w:val="13"/>
          <w:b w:val="1"/>
          <w:bCs w:val="1"/>
          <w:i w:val="1"/>
          <w:iCs w:val="1"/>
          <w:color w:val="auto"/>
        </w:rPr>
        <w:t>Limitations on Forms of Consideration.</w:t>
      </w:r>
    </w:p>
    <w:p>
      <w:pPr>
        <w:spacing w:after="0" w:line="82" w:lineRule="exact"/>
        <w:rPr>
          <w:rFonts w:ascii="Arial" w:cs="Arial" w:eastAsia="Arial" w:hAnsi="Arial"/>
          <w:sz w:val="13"/>
          <w:szCs w:val="13"/>
          <w:color w:val="auto"/>
        </w:rPr>
      </w:pPr>
    </w:p>
    <w:p>
      <w:pPr>
        <w:ind w:right="120" w:firstLine="654"/>
        <w:spacing w:after="0" w:line="291" w:lineRule="auto"/>
        <w:tabs>
          <w:tab w:leader="none" w:pos="811" w:val="left"/>
        </w:tabs>
        <w:numPr>
          <w:ilvl w:val="1"/>
          <w:numId w:val="197"/>
        </w:numPr>
        <w:rPr>
          <w:rFonts w:ascii="Arial" w:cs="Arial" w:eastAsia="Arial" w:hAnsi="Arial"/>
          <w:sz w:val="12"/>
          <w:szCs w:val="12"/>
          <w:color w:val="auto"/>
        </w:rPr>
      </w:pPr>
      <w:r>
        <w:rPr>
          <w:rFonts w:ascii="Arial" w:cs="Arial" w:eastAsia="Arial" w:hAnsi="Arial"/>
          <w:sz w:val="12"/>
          <w:szCs w:val="12"/>
          <w:b w:val="1"/>
          <w:bCs w:val="1"/>
          <w:color w:val="auto"/>
        </w:rPr>
        <w:t xml:space="preserve">Tender of Stock. </w:t>
      </w:r>
      <w:r>
        <w:rPr>
          <w:rFonts w:ascii="Arial" w:cs="Arial" w:eastAsia="Arial" w:hAnsi="Arial"/>
          <w:sz w:val="12"/>
          <w:szCs w:val="12"/>
          <w:color w:val="auto"/>
        </w:rPr>
        <w:t>Notwithstanding the foregoing, an Option may not be exercised by tender to the Company, or attestation to the ownership, of shares of Stock to the extent such tender or attestation</w:t>
      </w:r>
      <w:r>
        <w:rPr>
          <w:rFonts w:ascii="Arial" w:cs="Arial" w:eastAsia="Arial" w:hAnsi="Arial"/>
          <w:sz w:val="12"/>
          <w:szCs w:val="12"/>
          <w:b w:val="1"/>
          <w:bCs w:val="1"/>
          <w:color w:val="auto"/>
        </w:rPr>
        <w:t xml:space="preserve"> </w:t>
      </w:r>
      <w:r>
        <w:rPr>
          <w:rFonts w:ascii="Arial" w:cs="Arial" w:eastAsia="Arial" w:hAnsi="Arial"/>
          <w:sz w:val="12"/>
          <w:szCs w:val="12"/>
          <w:color w:val="auto"/>
        </w:rPr>
        <w:t>would constitute a violation of the provisions of any law, regulation or agreement restricting the redemption of the Company’s stock. Unless otherwise provided by the Committee, an Option may not be exercised by tender to the Company, or attestation to the ownership, of shares of Stock unless such shares either have been owned by the Participant for more than six (6) months (or such other period, if any, as the Committee may permit) and not used for another Option exercise by attestation during such period, or were not acquired, directly or indirectly, from the Company.</w:t>
      </w:r>
    </w:p>
    <w:p>
      <w:pPr>
        <w:spacing w:after="0" w:line="38" w:lineRule="exact"/>
        <w:rPr>
          <w:rFonts w:ascii="Arial" w:cs="Arial" w:eastAsia="Arial" w:hAnsi="Arial"/>
          <w:sz w:val="12"/>
          <w:szCs w:val="12"/>
          <w:color w:val="auto"/>
        </w:rPr>
      </w:pPr>
    </w:p>
    <w:p>
      <w:pPr>
        <w:ind w:right="100" w:firstLine="654"/>
        <w:spacing w:after="0" w:line="283" w:lineRule="auto"/>
        <w:tabs>
          <w:tab w:leader="none" w:pos="848" w:val="left"/>
        </w:tabs>
        <w:numPr>
          <w:ilvl w:val="1"/>
          <w:numId w:val="197"/>
        </w:numPr>
        <w:rPr>
          <w:rFonts w:ascii="Arial" w:cs="Arial" w:eastAsia="Arial" w:hAnsi="Arial"/>
          <w:sz w:val="13"/>
          <w:szCs w:val="13"/>
          <w:color w:val="auto"/>
        </w:rPr>
      </w:pPr>
      <w:r>
        <w:rPr>
          <w:rFonts w:ascii="Arial" w:cs="Arial" w:eastAsia="Arial" w:hAnsi="Arial"/>
          <w:sz w:val="13"/>
          <w:szCs w:val="13"/>
          <w:b w:val="1"/>
          <w:bCs w:val="1"/>
          <w:color w:val="auto"/>
        </w:rPr>
        <w:t xml:space="preserve">Cashless Exercise. </w:t>
      </w:r>
      <w:r>
        <w:rPr>
          <w:rFonts w:ascii="Arial" w:cs="Arial" w:eastAsia="Arial" w:hAnsi="Arial"/>
          <w:sz w:val="13"/>
          <w:szCs w:val="13"/>
          <w:color w:val="auto"/>
        </w:rPr>
        <w:t>The Company reserves, at any and all times, the right, in the Company’s sole and absolute discretion, to establish, decline to approve or terminate any program or procedures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of Options by means of a Cashless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4" w:name="page285"/>
    <w:bookmarkEnd w:id="284"/>
    <w:p>
      <w:pPr>
        <w:ind w:left="1"/>
        <w:spacing w:after="0"/>
        <w:rPr>
          <w:sz w:val="20"/>
          <w:szCs w:val="20"/>
          <w:color w:val="auto"/>
        </w:rPr>
      </w:pPr>
      <w:r>
        <w:rPr>
          <w:rFonts w:ascii="Arial" w:cs="Arial" w:eastAsia="Arial" w:hAnsi="Arial"/>
          <w:sz w:val="13"/>
          <w:szCs w:val="13"/>
          <w:color w:val="auto"/>
        </w:rPr>
        <w:t>Exercise, including with respect to one or more Participants specified by the Company notwithstanding that such program or procedures may be available to other Participants.</w:t>
      </w:r>
    </w:p>
    <w:p>
      <w:pPr>
        <w:spacing w:after="0" w:line="82"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b w:val="1"/>
          <w:bCs w:val="1"/>
          <w:color w:val="auto"/>
        </w:rPr>
        <w:t>Effect of Termination of Service.</w:t>
      </w:r>
    </w:p>
    <w:p>
      <w:pPr>
        <w:spacing w:after="0" w:line="90" w:lineRule="exact"/>
        <w:rPr>
          <w:sz w:val="20"/>
          <w:szCs w:val="20"/>
          <w:color w:val="auto"/>
        </w:rPr>
      </w:pPr>
    </w:p>
    <w:p>
      <w:pPr>
        <w:ind w:left="1" w:right="500" w:firstLine="490"/>
        <w:spacing w:after="0" w:line="264" w:lineRule="auto"/>
        <w:tabs>
          <w:tab w:leader="none" w:pos="671" w:val="left"/>
        </w:tabs>
        <w:numPr>
          <w:ilvl w:val="1"/>
          <w:numId w:val="19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Option Exercisability. </w:t>
      </w:r>
      <w:r>
        <w:rPr>
          <w:rFonts w:ascii="Arial" w:cs="Arial" w:eastAsia="Arial" w:hAnsi="Arial"/>
          <w:sz w:val="13"/>
          <w:szCs w:val="13"/>
          <w:color w:val="auto"/>
        </w:rPr>
        <w:t>Subject to earlier termination of the Option as otherwise provided herein and unless otherwise provided by the Committee, an Option shall terminate immediately upon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53" w:lineRule="exact"/>
        <w:rPr>
          <w:rFonts w:ascii="Arial" w:cs="Arial" w:eastAsia="Arial" w:hAnsi="Arial"/>
          <w:sz w:val="13"/>
          <w:szCs w:val="13"/>
          <w:color w:val="auto"/>
        </w:rPr>
      </w:pPr>
    </w:p>
    <w:p>
      <w:pPr>
        <w:ind w:left="1" w:right="60" w:firstLine="654"/>
        <w:spacing w:after="0" w:line="300" w:lineRule="auto"/>
        <w:tabs>
          <w:tab w:leader="none" w:pos="813" w:val="left"/>
        </w:tabs>
        <w:numPr>
          <w:ilvl w:val="2"/>
          <w:numId w:val="198"/>
        </w:numPr>
        <w:rPr>
          <w:rFonts w:ascii="Arial" w:cs="Arial" w:eastAsia="Arial" w:hAnsi="Arial"/>
          <w:sz w:val="12"/>
          <w:szCs w:val="12"/>
          <w:color w:val="auto"/>
        </w:rPr>
      </w:pPr>
      <w:r>
        <w:rPr>
          <w:rFonts w:ascii="Arial" w:cs="Arial" w:eastAsia="Arial" w:hAnsi="Arial"/>
          <w:sz w:val="12"/>
          <w:szCs w:val="12"/>
          <w:b w:val="1"/>
          <w:bCs w:val="1"/>
          <w:color w:val="auto"/>
        </w:rPr>
        <w:t xml:space="preserve">Disability. </w:t>
      </w:r>
      <w:r>
        <w:rPr>
          <w:rFonts w:ascii="Arial" w:cs="Arial" w:eastAsia="Arial" w:hAnsi="Arial"/>
          <w:sz w:val="12"/>
          <w:szCs w:val="12"/>
          <w:color w:val="auto"/>
        </w:rPr>
        <w:t>If the Participant’s Service terminates because of the Disability of the Participant, the Option, to the extent unexercised and exercisable for vested shares on the date on which the Participant’s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Option Expiration Date</w:t>
      </w:r>
      <w:r>
        <w:rPr>
          <w:rFonts w:ascii="Arial" w:cs="Arial" w:eastAsia="Arial" w:hAnsi="Arial"/>
          <w:sz w:val="12"/>
          <w:szCs w:val="12"/>
          <w:i w:val="1"/>
          <w:iCs w:val="1"/>
          <w:color w:val="auto"/>
        </w:rPr>
        <w:t>”</w:t>
      </w:r>
      <w:r>
        <w:rPr>
          <w:rFonts w:ascii="Arial" w:cs="Arial" w:eastAsia="Arial" w:hAnsi="Arial"/>
          <w:sz w:val="12"/>
          <w:szCs w:val="12"/>
          <w:color w:val="auto"/>
        </w:rPr>
        <w:t>).</w:t>
      </w:r>
    </w:p>
    <w:p>
      <w:pPr>
        <w:spacing w:after="0" w:line="32" w:lineRule="exact"/>
        <w:rPr>
          <w:rFonts w:ascii="Arial" w:cs="Arial" w:eastAsia="Arial" w:hAnsi="Arial"/>
          <w:sz w:val="12"/>
          <w:szCs w:val="12"/>
          <w:color w:val="auto"/>
        </w:rPr>
      </w:pPr>
    </w:p>
    <w:p>
      <w:pPr>
        <w:ind w:left="1" w:right="20" w:firstLine="654"/>
        <w:spacing w:after="0" w:line="309" w:lineRule="auto"/>
        <w:tabs>
          <w:tab w:leader="none" w:pos="849" w:val="left"/>
        </w:tabs>
        <w:numPr>
          <w:ilvl w:val="2"/>
          <w:numId w:val="198"/>
        </w:numPr>
        <w:rPr>
          <w:rFonts w:ascii="Arial" w:cs="Arial" w:eastAsia="Arial" w:hAnsi="Arial"/>
          <w:sz w:val="11"/>
          <w:szCs w:val="11"/>
          <w:color w:val="auto"/>
        </w:rPr>
      </w:pPr>
      <w:r>
        <w:rPr>
          <w:rFonts w:ascii="Arial" w:cs="Arial" w:eastAsia="Arial" w:hAnsi="Arial"/>
          <w:sz w:val="11"/>
          <w:szCs w:val="11"/>
          <w:b w:val="1"/>
          <w:bCs w:val="1"/>
          <w:color w:val="auto"/>
        </w:rPr>
        <w:t xml:space="preserve">Death. </w:t>
      </w:r>
      <w:r>
        <w:rPr>
          <w:rFonts w:ascii="Arial" w:cs="Arial" w:eastAsia="Arial" w:hAnsi="Arial"/>
          <w:sz w:val="11"/>
          <w:szCs w:val="11"/>
          <w:color w:val="auto"/>
        </w:rPr>
        <w:t>If the Participant’s Service terminates because of the death of the Participant, the Option, to the extent unexercised and exercisable for vested shares on the date on which the Participant’s Service</w:t>
      </w:r>
      <w:r>
        <w:rPr>
          <w:rFonts w:ascii="Arial" w:cs="Arial" w:eastAsia="Arial" w:hAnsi="Arial"/>
          <w:sz w:val="11"/>
          <w:szCs w:val="11"/>
          <w:b w:val="1"/>
          <w:bCs w:val="1"/>
          <w:color w:val="auto"/>
        </w:rPr>
        <w:t xml:space="preserve"> </w:t>
      </w:r>
      <w:r>
        <w:rPr>
          <w:rFonts w:ascii="Arial" w:cs="Arial" w:eastAsia="Arial" w:hAnsi="Arial"/>
          <w:sz w:val="11"/>
          <w:szCs w:val="11"/>
          <w:color w:val="auto"/>
        </w:rPr>
        <w:t>terminated, may be exercised by the Participant’s legal representative or other person who acquired the right to exercise the Option by reason of the Participant’s death at any time prior to the expiration of twelve</w:t>
      </w:r>
    </w:p>
    <w:p>
      <w:pPr>
        <w:ind w:left="1" w:hanging="1"/>
        <w:spacing w:after="0" w:line="264" w:lineRule="auto"/>
        <w:tabs>
          <w:tab w:leader="none" w:pos="25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52" w:lineRule="exact"/>
        <w:rPr>
          <w:rFonts w:ascii="Arial" w:cs="Arial" w:eastAsia="Arial" w:hAnsi="Arial"/>
          <w:sz w:val="13"/>
          <w:szCs w:val="13"/>
          <w:color w:val="auto"/>
        </w:rPr>
      </w:pPr>
    </w:p>
    <w:p>
      <w:pPr>
        <w:ind w:left="1" w:right="100" w:firstLine="654"/>
        <w:spacing w:after="0" w:line="267" w:lineRule="auto"/>
        <w:tabs>
          <w:tab w:leader="none" w:pos="886" w:val="left"/>
        </w:tabs>
        <w:numPr>
          <w:ilvl w:val="2"/>
          <w:numId w:val="199"/>
        </w:numPr>
        <w:rPr>
          <w:rFonts w:ascii="Arial" w:cs="Arial" w:eastAsia="Arial" w:hAnsi="Arial"/>
          <w:sz w:val="13"/>
          <w:szCs w:val="13"/>
          <w:color w:val="auto"/>
        </w:rPr>
      </w:pPr>
      <w:r>
        <w:rPr>
          <w:rFonts w:ascii="Arial" w:cs="Arial" w:eastAsia="Arial" w:hAnsi="Arial"/>
          <w:sz w:val="13"/>
          <w:szCs w:val="13"/>
          <w:b w:val="1"/>
          <w:bCs w:val="1"/>
          <w:color w:val="auto"/>
        </w:rPr>
        <w:t xml:space="preserve">Termination for Cause. </w:t>
      </w:r>
      <w:r>
        <w:rPr>
          <w:rFonts w:ascii="Arial" w:cs="Arial" w:eastAsia="Arial" w:hAnsi="Arial"/>
          <w:sz w:val="13"/>
          <w:szCs w:val="13"/>
          <w:color w:val="auto"/>
        </w:rPr>
        <w:t>Notwithstanding any other provision of the Plan to the contrary, if the Participant’s Service is terminated for Cause or if, following the Participant’s termination of Service and</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51" w:lineRule="exact"/>
        <w:rPr>
          <w:rFonts w:ascii="Arial" w:cs="Arial" w:eastAsia="Arial" w:hAnsi="Arial"/>
          <w:sz w:val="13"/>
          <w:szCs w:val="13"/>
          <w:color w:val="auto"/>
        </w:rPr>
      </w:pPr>
    </w:p>
    <w:p>
      <w:pPr>
        <w:ind w:left="1" w:right="20" w:firstLine="654"/>
        <w:spacing w:after="0" w:line="267" w:lineRule="auto"/>
        <w:tabs>
          <w:tab w:leader="none" w:pos="878" w:val="left"/>
        </w:tabs>
        <w:numPr>
          <w:ilvl w:val="2"/>
          <w:numId w:val="199"/>
        </w:numPr>
        <w:rPr>
          <w:rFonts w:ascii="Arial" w:cs="Arial" w:eastAsia="Arial" w:hAnsi="Arial"/>
          <w:sz w:val="13"/>
          <w:szCs w:val="13"/>
          <w:color w:val="auto"/>
        </w:rPr>
      </w:pPr>
      <w:r>
        <w:rPr>
          <w:rFonts w:ascii="Arial" w:cs="Arial" w:eastAsia="Arial" w:hAnsi="Arial"/>
          <w:sz w:val="13"/>
          <w:szCs w:val="13"/>
          <w:b w:val="1"/>
          <w:bCs w:val="1"/>
          <w:color w:val="auto"/>
        </w:rPr>
        <w:t xml:space="preserve">Other Termination of Service. </w:t>
      </w:r>
      <w:r>
        <w:rPr>
          <w:rFonts w:ascii="Arial" w:cs="Arial" w:eastAsia="Arial" w:hAnsi="Arial"/>
          <w:sz w:val="13"/>
          <w:szCs w:val="13"/>
          <w:color w:val="auto"/>
        </w:rPr>
        <w:t>If the Participant’s Service terminates for any reason, except Disability, death or Cause, the Option, to the extent unexercised and exercisable for vested shares on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56" w:lineRule="exact"/>
        <w:rPr>
          <w:sz w:val="20"/>
          <w:szCs w:val="20"/>
          <w:color w:val="auto"/>
        </w:rPr>
      </w:pPr>
    </w:p>
    <w:p>
      <w:pPr>
        <w:ind w:left="1" w:right="560" w:firstLine="654"/>
        <w:spacing w:after="0" w:line="276" w:lineRule="auto"/>
        <w:tabs>
          <w:tab w:leader="none" w:pos="842" w:val="left"/>
        </w:tabs>
        <w:numPr>
          <w:ilvl w:val="0"/>
          <w:numId w:val="20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Extension if Exercise Prevented by Law. </w:t>
      </w:r>
      <w:r>
        <w:rPr>
          <w:rFonts w:ascii="Arial" w:cs="Arial" w:eastAsia="Arial" w:hAnsi="Arial"/>
          <w:sz w:val="13"/>
          <w:szCs w:val="13"/>
          <w:color w:val="auto"/>
        </w:rPr>
        <w:t>Notwithstanding the foregoing, other than termination of Service for Cause, if the exercise of an Option within the applicable time periods set forth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Section 6.4(a) is prevented by the provisions of Section 15 below, the Option shall remain exercisable until the later of (i) thirty (30) days after the date such</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color w:val="auto"/>
        </w:rPr>
        <w:t>exercise first would no longer be prevented by such provisions or (ii) the end of the applicable time period under Section 6.4(a), but in any event no later than the Option Expiration Date.</w:t>
      </w:r>
    </w:p>
    <w:p>
      <w:pPr>
        <w:spacing w:after="0" w:line="82" w:lineRule="exact"/>
        <w:rPr>
          <w:sz w:val="20"/>
          <w:szCs w:val="20"/>
          <w:color w:val="auto"/>
        </w:rPr>
      </w:pPr>
    </w:p>
    <w:p>
      <w:pPr>
        <w:jc w:val="both"/>
        <w:ind w:right="40" w:firstLine="328"/>
        <w:spacing w:after="0" w:line="291"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b w:val="1"/>
          <w:bCs w:val="1"/>
          <w:color w:val="auto"/>
        </w:rPr>
        <w:t>Transferability of Options.</w:t>
      </w:r>
      <w:r>
        <w:rPr>
          <w:rFonts w:ascii="Arial" w:cs="Arial" w:eastAsia="Arial" w:hAnsi="Arial"/>
          <w:sz w:val="12"/>
          <w:szCs w:val="12"/>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 Nonstatutory Stock Option shall be assignable or transferable subject to the applicable limitations, if any, described in the General Instructions to Form S-8 under the Securities Act.</w:t>
      </w:r>
    </w:p>
    <w:p>
      <w:pPr>
        <w:spacing w:after="0" w:line="38" w:lineRule="exact"/>
        <w:rPr>
          <w:sz w:val="20"/>
          <w:szCs w:val="20"/>
          <w:color w:val="auto"/>
        </w:rPr>
      </w:pPr>
    </w:p>
    <w:p>
      <w:pPr>
        <w:ind w:left="300" w:hanging="138"/>
        <w:spacing w:after="0"/>
        <w:tabs>
          <w:tab w:leader="none" w:pos="300" w:val="left"/>
        </w:tabs>
        <w:numPr>
          <w:ilvl w:val="0"/>
          <w:numId w:val="201"/>
        </w:numPr>
        <w:rPr>
          <w:rFonts w:ascii="Arial" w:cs="Arial" w:eastAsia="Arial" w:hAnsi="Arial"/>
          <w:sz w:val="13"/>
          <w:szCs w:val="13"/>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PPRECIATION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IGHTS</w:t>
      </w:r>
      <w:r>
        <w:rPr>
          <w:rFonts w:ascii="Arial" w:cs="Arial" w:eastAsia="Arial" w:hAnsi="Arial"/>
          <w:sz w:val="13"/>
          <w:szCs w:val="13"/>
          <w:b w:val="1"/>
          <w:bCs w:val="1"/>
          <w:color w:val="auto"/>
        </w:rPr>
        <w:t>.</w:t>
      </w:r>
    </w:p>
    <w:p>
      <w:pPr>
        <w:spacing w:after="0" w:line="90"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Stock Appreciation Rights shall be evidenced by Award Agreements specifying the number of shares of Stock subject to the Award, in such form as the Committee shall from time to time establish. Award Agreements evidencing SARs may incorporate all or any of the terms of the Plan by reference and shall comply with and be subject to the following terms and conditions:</w:t>
      </w:r>
    </w:p>
    <w:p>
      <w:pPr>
        <w:spacing w:after="0" w:line="45" w:lineRule="exact"/>
        <w:rPr>
          <w:sz w:val="20"/>
          <w:szCs w:val="20"/>
          <w:color w:val="auto"/>
        </w:rPr>
      </w:pPr>
    </w:p>
    <w:p>
      <w:pPr>
        <w:ind w:right="300" w:firstLine="328"/>
        <w:spacing w:after="0" w:line="283"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b w:val="1"/>
          <w:bCs w:val="1"/>
          <w:color w:val="auto"/>
        </w:rPr>
        <w:t>Types of SARs Authorized.</w:t>
      </w:r>
      <w:r>
        <w:rPr>
          <w:rFonts w:ascii="Arial" w:cs="Arial" w:eastAsia="Arial" w:hAnsi="Arial"/>
          <w:sz w:val="13"/>
          <w:szCs w:val="13"/>
          <w:color w:val="auto"/>
        </w:rPr>
        <w:t xml:space="preserve"> SARs may be granted in tandem with all or any portion of a related Option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Tandem SAR</w:t>
      </w:r>
      <w:r>
        <w:rPr>
          <w:rFonts w:ascii="Arial" w:cs="Arial" w:eastAsia="Arial" w:hAnsi="Arial"/>
          <w:sz w:val="13"/>
          <w:szCs w:val="13"/>
          <w:i w:val="1"/>
          <w:iCs w:val="1"/>
          <w:color w:val="auto"/>
        </w:rPr>
        <w:t>”</w:t>
      </w:r>
      <w:r>
        <w:rPr>
          <w:rFonts w:ascii="Arial" w:cs="Arial" w:eastAsia="Arial" w:hAnsi="Arial"/>
          <w:sz w:val="13"/>
          <w:szCs w:val="13"/>
          <w:color w:val="auto"/>
        </w:rPr>
        <w:t xml:space="preserve">) or may be granted independently of any Option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Freestanding SAR</w:t>
      </w:r>
      <w:r>
        <w:rPr>
          <w:rFonts w:ascii="Arial" w:cs="Arial" w:eastAsia="Arial" w:hAnsi="Arial"/>
          <w:sz w:val="13"/>
          <w:szCs w:val="13"/>
          <w:i w:val="1"/>
          <w:iCs w:val="1"/>
          <w:color w:val="auto"/>
        </w:rPr>
        <w:t>”</w:t>
      </w:r>
      <w:r>
        <w:rPr>
          <w:rFonts w:ascii="Arial" w:cs="Arial" w:eastAsia="Arial" w:hAnsi="Arial"/>
          <w:sz w:val="13"/>
          <w:szCs w:val="13"/>
          <w:color w:val="auto"/>
        </w:rPr>
        <w:t>). A Tandem SAR may only be granted concurrently with the grant of the related Option.</w:t>
      </w:r>
    </w:p>
    <w:p>
      <w:pPr>
        <w:spacing w:after="0" w:line="41" w:lineRule="exact"/>
        <w:rPr>
          <w:sz w:val="20"/>
          <w:szCs w:val="20"/>
          <w:color w:val="auto"/>
        </w:rPr>
      </w:pPr>
    </w:p>
    <w:p>
      <w:pPr>
        <w:ind w:right="20" w:firstLine="328"/>
        <w:spacing w:after="0" w:line="373" w:lineRule="auto"/>
        <w:rPr>
          <w:sz w:val="20"/>
          <w:szCs w:val="20"/>
          <w:color w:val="auto"/>
        </w:rPr>
      </w:pPr>
      <w:r>
        <w:rPr>
          <w:rFonts w:ascii="Arial" w:cs="Arial" w:eastAsia="Arial" w:hAnsi="Arial"/>
          <w:sz w:val="11"/>
          <w:szCs w:val="11"/>
          <w:color w:val="auto"/>
        </w:rPr>
        <w:t xml:space="preserve">7.2 </w:t>
      </w:r>
      <w:r>
        <w:rPr>
          <w:rFonts w:ascii="Arial" w:cs="Arial" w:eastAsia="Arial" w:hAnsi="Arial"/>
          <w:sz w:val="11"/>
          <w:szCs w:val="11"/>
          <w:b w:val="1"/>
          <w:bCs w:val="1"/>
          <w:color w:val="auto"/>
        </w:rPr>
        <w:t>Exercise Price.</w:t>
      </w:r>
      <w:r>
        <w:rPr>
          <w:rFonts w:ascii="Arial" w:cs="Arial" w:eastAsia="Arial" w:hAnsi="Arial"/>
          <w:sz w:val="11"/>
          <w:szCs w:val="11"/>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ind w:left="320"/>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color w:val="auto"/>
        </w:rPr>
        <w:t>Exercisability and Term of SARs.</w:t>
      </w:r>
    </w:p>
    <w:p>
      <w:pPr>
        <w:spacing w:after="0" w:line="90" w:lineRule="exact"/>
        <w:rPr>
          <w:sz w:val="20"/>
          <w:szCs w:val="20"/>
          <w:color w:val="auto"/>
        </w:rPr>
      </w:pPr>
    </w:p>
    <w:p>
      <w:pPr>
        <w:ind w:firstLine="490"/>
        <w:spacing w:after="0" w:line="257" w:lineRule="auto"/>
        <w:tabs>
          <w:tab w:leader="none" w:pos="669" w:val="left"/>
        </w:tabs>
        <w:numPr>
          <w:ilvl w:val="0"/>
          <w:numId w:val="20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Tandem SARs. </w:t>
      </w:r>
      <w:r>
        <w:rPr>
          <w:rFonts w:ascii="Arial" w:cs="Arial" w:eastAsia="Arial" w:hAnsi="Arial"/>
          <w:sz w:val="13"/>
          <w:szCs w:val="13"/>
          <w:color w:val="auto"/>
        </w:rPr>
        <w:t>Tandem SARs shall be exercisable only at the time and to the extent, and only to the extent, that the related Option is exercisable, subject to such provisions as the Committee may specify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to such Option, the related Tandem SAR shall be canceled automatically as to the number of shares with respect to which the related Option was exercised.</w:t>
      </w:r>
    </w:p>
    <w:p>
      <w:pPr>
        <w:spacing w:after="0" w:line="86" w:lineRule="exact"/>
        <w:rPr>
          <w:sz w:val="20"/>
          <w:szCs w:val="20"/>
          <w:color w:val="auto"/>
        </w:rPr>
      </w:pPr>
    </w:p>
    <w:p>
      <w:pPr>
        <w:ind w:right="20" w:firstLine="490"/>
        <w:spacing w:after="0" w:line="264" w:lineRule="auto"/>
        <w:tabs>
          <w:tab w:leader="none" w:pos="677" w:val="left"/>
        </w:tabs>
        <w:numPr>
          <w:ilvl w:val="0"/>
          <w:numId w:val="20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Freestanding SARs. </w:t>
      </w:r>
      <w:r>
        <w:rPr>
          <w:rFonts w:ascii="Arial" w:cs="Arial" w:eastAsia="Arial" w:hAnsi="Arial"/>
          <w:sz w:val="13"/>
          <w:szCs w:val="13"/>
          <w:color w:val="auto"/>
        </w:rPr>
        <w:t>Freestanding SARs shall be exercisable at such time or times, or upon such event or events, and subject to such terms, conditions, performance criteria and restrictions as shall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determined by the Committee and set forth in the Award Agreement evidencing such SAR; provided, however, that no Freestanding SAR shall be exercisable after the expiration of ten (10) years after the effective date of grant of such SAR.</w:t>
      </w:r>
    </w:p>
    <w:p>
      <w:pPr>
        <w:spacing w:after="0" w:line="53" w:lineRule="exact"/>
        <w:rPr>
          <w:sz w:val="20"/>
          <w:szCs w:val="20"/>
          <w:color w:val="auto"/>
        </w:rPr>
      </w:pPr>
    </w:p>
    <w:p>
      <w:pPr>
        <w:ind w:right="140" w:firstLine="328"/>
        <w:spacing w:after="0" w:line="284"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b w:val="1"/>
          <w:bCs w:val="1"/>
          <w:color w:val="auto"/>
        </w:rPr>
        <w:t>Exercise of SARs.</w:t>
      </w:r>
      <w:r>
        <w:rPr>
          <w:rFonts w:ascii="Arial" w:cs="Arial" w:eastAsia="Arial" w:hAnsi="Arial"/>
          <w:sz w:val="12"/>
          <w:szCs w:val="12"/>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43" w:lineRule="exact"/>
        <w:rPr>
          <w:sz w:val="20"/>
          <w:szCs w:val="20"/>
          <w:color w:val="auto"/>
        </w:rPr>
      </w:pPr>
    </w:p>
    <w:p>
      <w:pPr>
        <w:ind w:firstLine="328"/>
        <w:spacing w:after="0" w:line="267"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b w:val="1"/>
          <w:bCs w:val="1"/>
          <w:color w:val="auto"/>
        </w:rPr>
        <w:t>Deemed Exercise of SARs.</w:t>
      </w:r>
      <w:r>
        <w:rPr>
          <w:rFonts w:ascii="Arial" w:cs="Arial" w:eastAsia="Arial" w:hAnsi="Arial"/>
          <w:sz w:val="13"/>
          <w:szCs w:val="13"/>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52" w:lineRule="exact"/>
        <w:rPr>
          <w:sz w:val="20"/>
          <w:szCs w:val="20"/>
          <w:color w:val="auto"/>
        </w:rPr>
      </w:pPr>
    </w:p>
    <w:p>
      <w:pPr>
        <w:ind w:right="160" w:firstLine="328"/>
        <w:spacing w:after="0" w:line="327" w:lineRule="auto"/>
        <w:rPr>
          <w:sz w:val="20"/>
          <w:szCs w:val="20"/>
          <w:color w:val="auto"/>
        </w:rPr>
      </w:pPr>
      <w:r>
        <w:rPr>
          <w:rFonts w:ascii="Arial" w:cs="Arial" w:eastAsia="Arial" w:hAnsi="Arial"/>
          <w:sz w:val="12"/>
          <w:szCs w:val="12"/>
          <w:color w:val="auto"/>
        </w:rPr>
        <w:t xml:space="preserve">7.6 </w:t>
      </w:r>
      <w:r>
        <w:rPr>
          <w:rFonts w:ascii="Arial" w:cs="Arial" w:eastAsia="Arial" w:hAnsi="Arial"/>
          <w:sz w:val="12"/>
          <w:szCs w:val="12"/>
          <w:b w:val="1"/>
          <w:bCs w:val="1"/>
          <w:color w:val="auto"/>
        </w:rPr>
        <w:t>Effect of Termination of Service.</w:t>
      </w:r>
      <w:r>
        <w:rPr>
          <w:rFonts w:ascii="Arial" w:cs="Arial" w:eastAsia="Arial" w:hAnsi="Arial"/>
          <w:sz w:val="12"/>
          <w:szCs w:val="12"/>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7" w:lineRule="exact"/>
        <w:rPr>
          <w:sz w:val="20"/>
          <w:szCs w:val="20"/>
          <w:color w:val="auto"/>
        </w:rPr>
      </w:pPr>
    </w:p>
    <w:p>
      <w:pPr>
        <w:ind w:right="180" w:firstLine="328"/>
        <w:spacing w:after="0" w:line="291" w:lineRule="auto"/>
        <w:rPr>
          <w:sz w:val="20"/>
          <w:szCs w:val="20"/>
          <w:color w:val="auto"/>
        </w:rPr>
      </w:pPr>
      <w:r>
        <w:rPr>
          <w:rFonts w:ascii="Arial" w:cs="Arial" w:eastAsia="Arial" w:hAnsi="Arial"/>
          <w:sz w:val="12"/>
          <w:szCs w:val="12"/>
          <w:color w:val="auto"/>
        </w:rPr>
        <w:t xml:space="preserve">7.7 </w:t>
      </w:r>
      <w:r>
        <w:rPr>
          <w:rFonts w:ascii="Arial" w:cs="Arial" w:eastAsia="Arial" w:hAnsi="Arial"/>
          <w:sz w:val="12"/>
          <w:szCs w:val="12"/>
          <w:b w:val="1"/>
          <w:bCs w:val="1"/>
          <w:color w:val="auto"/>
        </w:rPr>
        <w:t>Transferability of SARs.</w:t>
      </w:r>
      <w:r>
        <w:rPr>
          <w:rFonts w:ascii="Arial" w:cs="Arial" w:eastAsia="Arial" w:hAnsi="Arial"/>
          <w:sz w:val="12"/>
          <w:szCs w:val="12"/>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87" w:name="page288"/>
    <w:bookmarkEnd w:id="287"/>
    <w:p>
      <w:pPr>
        <w:ind w:left="300" w:hanging="138"/>
        <w:spacing w:after="0"/>
        <w:tabs>
          <w:tab w:leader="none" w:pos="300" w:val="left"/>
        </w:tabs>
        <w:numPr>
          <w:ilvl w:val="0"/>
          <w:numId w:val="204"/>
        </w:numPr>
        <w:rPr>
          <w:rFonts w:ascii="Arial" w:cs="Arial" w:eastAsia="Arial" w:hAnsi="Arial"/>
          <w:sz w:val="13"/>
          <w:szCs w:val="13"/>
          <w:color w:val="auto"/>
        </w:rPr>
      </w:pP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ESTRICTED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w:t>
      </w:r>
      <w:r>
        <w:rPr>
          <w:rFonts w:ascii="Arial" w:cs="Arial" w:eastAsia="Arial" w:hAnsi="Arial"/>
          <w:sz w:val="13"/>
          <w:szCs w:val="13"/>
          <w:b w:val="1"/>
          <w:bCs w:val="1"/>
          <w:color w:val="auto"/>
        </w:rPr>
        <w:t>.</w:t>
      </w:r>
    </w:p>
    <w:p>
      <w:pPr>
        <w:spacing w:after="0" w:line="90"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Award Agreements evidencing Restricted Stock Awards may incorporate all or any of the terms of the Plan by reference and shall comply with and be subject to the following terms and conditions:</w:t>
      </w:r>
    </w:p>
    <w:p>
      <w:pPr>
        <w:spacing w:after="0" w:line="53" w:lineRule="exact"/>
        <w:rPr>
          <w:sz w:val="20"/>
          <w:szCs w:val="20"/>
          <w:color w:val="auto"/>
        </w:rPr>
      </w:pPr>
    </w:p>
    <w:p>
      <w:pPr>
        <w:ind w:right="20" w:firstLine="328"/>
        <w:spacing w:after="0" w:line="262"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Types of Restricted Stock Awards Authorized.</w:t>
      </w:r>
      <w:r>
        <w:rPr>
          <w:rFonts w:ascii="Arial" w:cs="Arial" w:eastAsia="Arial" w:hAnsi="Arial"/>
          <w:sz w:val="13"/>
          <w:szCs w:val="13"/>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55"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color w:val="auto"/>
        </w:rPr>
        <w:t>Purchase Price.</w:t>
      </w:r>
      <w:r>
        <w:rPr>
          <w:rFonts w:ascii="Arial" w:cs="Arial" w:eastAsia="Arial" w:hAnsi="Arial"/>
          <w:sz w:val="13"/>
          <w:szCs w:val="13"/>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55"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b w:val="1"/>
          <w:bCs w:val="1"/>
          <w:color w:val="auto"/>
        </w:rPr>
        <w:t>Purchase Period.</w:t>
      </w:r>
      <w:r>
        <w:rPr>
          <w:rFonts w:ascii="Arial" w:cs="Arial" w:eastAsia="Arial" w:hAnsi="Arial"/>
          <w:sz w:val="13"/>
          <w:szCs w:val="13"/>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41" w:lineRule="exact"/>
        <w:rPr>
          <w:sz w:val="20"/>
          <w:szCs w:val="20"/>
          <w:color w:val="auto"/>
        </w:rPr>
      </w:pPr>
    </w:p>
    <w:p>
      <w:pPr>
        <w:ind w:right="140" w:firstLine="328"/>
        <w:spacing w:after="0" w:line="373" w:lineRule="auto"/>
        <w:rPr>
          <w:sz w:val="20"/>
          <w:szCs w:val="20"/>
          <w:color w:val="auto"/>
        </w:rPr>
      </w:pPr>
      <w:r>
        <w:rPr>
          <w:rFonts w:ascii="Arial" w:cs="Arial" w:eastAsia="Arial" w:hAnsi="Arial"/>
          <w:sz w:val="11"/>
          <w:szCs w:val="11"/>
          <w:color w:val="auto"/>
        </w:rPr>
        <w:t xml:space="preserve">8.4 </w:t>
      </w:r>
      <w:r>
        <w:rPr>
          <w:rFonts w:ascii="Arial" w:cs="Arial" w:eastAsia="Arial" w:hAnsi="Arial"/>
          <w:sz w:val="11"/>
          <w:szCs w:val="11"/>
          <w:b w:val="1"/>
          <w:bCs w:val="1"/>
          <w:color w:val="auto"/>
        </w:rPr>
        <w:t>Payment of Purchase Price.</w:t>
      </w:r>
      <w:r>
        <w:rPr>
          <w:rFonts w:ascii="Arial" w:cs="Arial" w:eastAsia="Arial" w:hAnsi="Arial"/>
          <w:sz w:val="11"/>
          <w:szCs w:val="11"/>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ind w:firstLine="328"/>
        <w:spacing w:after="0" w:line="291" w:lineRule="auto"/>
        <w:rPr>
          <w:sz w:val="20"/>
          <w:szCs w:val="20"/>
          <w:color w:val="auto"/>
        </w:rPr>
      </w:pPr>
      <w:r>
        <w:rPr>
          <w:rFonts w:ascii="Arial" w:cs="Arial" w:eastAsia="Arial" w:hAnsi="Arial"/>
          <w:sz w:val="12"/>
          <w:szCs w:val="12"/>
          <w:color w:val="auto"/>
        </w:rPr>
        <w:t xml:space="preserve">8.5 </w:t>
      </w:r>
      <w:r>
        <w:rPr>
          <w:rFonts w:ascii="Arial" w:cs="Arial" w:eastAsia="Arial" w:hAnsi="Arial"/>
          <w:sz w:val="12"/>
          <w:szCs w:val="12"/>
          <w:b w:val="1"/>
          <w:bCs w:val="1"/>
          <w:color w:val="auto"/>
        </w:rPr>
        <w:t>Vesting and Restrictions on Transfer.</w:t>
      </w:r>
      <w:r>
        <w:rPr>
          <w:rFonts w:ascii="Arial" w:cs="Arial" w:eastAsia="Arial" w:hAnsi="Arial"/>
          <w:sz w:val="12"/>
          <w:szCs w:val="12"/>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288" w:name="page289"/>
    <w:bookmarkEnd w:id="288"/>
    <w:p>
      <w:pPr>
        <w:ind w:right="80"/>
        <w:spacing w:after="0" w:line="289" w:lineRule="auto"/>
        <w:rPr>
          <w:sz w:val="20"/>
          <w:szCs w:val="20"/>
          <w:color w:val="auto"/>
        </w:rPr>
      </w:pPr>
      <w:r>
        <w:rPr>
          <w:rFonts w:ascii="Arial" w:cs="Arial" w:eastAsia="Arial" w:hAnsi="Arial"/>
          <w:sz w:val="12"/>
          <w:szCs w:val="12"/>
          <w:color w:val="auto"/>
        </w:rPr>
        <w:t>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39" w:lineRule="exact"/>
        <w:rPr>
          <w:sz w:val="20"/>
          <w:szCs w:val="20"/>
          <w:color w:val="auto"/>
        </w:rPr>
      </w:pPr>
    </w:p>
    <w:p>
      <w:pPr>
        <w:ind w:right="40" w:firstLine="328"/>
        <w:spacing w:after="0" w:line="318" w:lineRule="auto"/>
        <w:rPr>
          <w:sz w:val="20"/>
          <w:szCs w:val="20"/>
          <w:color w:val="auto"/>
        </w:rPr>
      </w:pPr>
      <w:r>
        <w:rPr>
          <w:rFonts w:ascii="Arial" w:cs="Arial" w:eastAsia="Arial" w:hAnsi="Arial"/>
          <w:sz w:val="11"/>
          <w:szCs w:val="11"/>
          <w:color w:val="auto"/>
        </w:rPr>
        <w:t xml:space="preserve">8.6 </w:t>
      </w:r>
      <w:r>
        <w:rPr>
          <w:rFonts w:ascii="Arial" w:cs="Arial" w:eastAsia="Arial" w:hAnsi="Arial"/>
          <w:sz w:val="11"/>
          <w:szCs w:val="11"/>
          <w:b w:val="1"/>
          <w:bCs w:val="1"/>
          <w:color w:val="auto"/>
        </w:rPr>
        <w:t>Voting Rights; Dividends and Distributions.</w:t>
      </w:r>
      <w:r>
        <w:rPr>
          <w:rFonts w:ascii="Arial" w:cs="Arial" w:eastAsia="Arial" w:hAnsi="Arial"/>
          <w:sz w:val="11"/>
          <w:szCs w:val="11"/>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Section 4.4,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27" w:lineRule="exact"/>
        <w:rPr>
          <w:sz w:val="20"/>
          <w:szCs w:val="20"/>
          <w:color w:val="auto"/>
        </w:rPr>
      </w:pPr>
    </w:p>
    <w:p>
      <w:pPr>
        <w:ind w:firstLine="328"/>
        <w:spacing w:after="0" w:line="286"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b w:val="1"/>
          <w:bCs w:val="1"/>
          <w:color w:val="auto"/>
        </w:rPr>
        <w:t>Effect of Termination of Service.</w:t>
      </w:r>
      <w:r>
        <w:rPr>
          <w:rFonts w:ascii="Arial" w:cs="Arial" w:eastAsia="Arial" w:hAnsi="Arial"/>
          <w:sz w:val="12"/>
          <w:szCs w:val="12"/>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43" w:lineRule="exact"/>
        <w:rPr>
          <w:sz w:val="20"/>
          <w:szCs w:val="20"/>
          <w:color w:val="auto"/>
        </w:rPr>
      </w:pPr>
    </w:p>
    <w:p>
      <w:pPr>
        <w:ind w:right="160" w:firstLine="328"/>
        <w:spacing w:after="0" w:line="300" w:lineRule="auto"/>
        <w:rPr>
          <w:sz w:val="20"/>
          <w:szCs w:val="20"/>
          <w:color w:val="auto"/>
        </w:rPr>
      </w:pPr>
      <w:r>
        <w:rPr>
          <w:rFonts w:ascii="Arial" w:cs="Arial" w:eastAsia="Arial" w:hAnsi="Arial"/>
          <w:sz w:val="12"/>
          <w:szCs w:val="12"/>
          <w:color w:val="auto"/>
        </w:rPr>
        <w:t xml:space="preserve">8.8 </w:t>
      </w:r>
      <w:r>
        <w:rPr>
          <w:rFonts w:ascii="Arial" w:cs="Arial" w:eastAsia="Arial" w:hAnsi="Arial"/>
          <w:sz w:val="12"/>
          <w:szCs w:val="12"/>
          <w:b w:val="1"/>
          <w:bCs w:val="1"/>
          <w:color w:val="auto"/>
        </w:rPr>
        <w:t>Nontransferability of Restricted Stock Award Rights.</w:t>
      </w:r>
      <w:r>
        <w:rPr>
          <w:rFonts w:ascii="Arial" w:cs="Arial" w:eastAsia="Arial" w:hAnsi="Arial"/>
          <w:sz w:val="12"/>
          <w:szCs w:val="12"/>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33" w:lineRule="exact"/>
        <w:rPr>
          <w:sz w:val="20"/>
          <w:szCs w:val="20"/>
          <w:color w:val="auto"/>
        </w:rPr>
      </w:pPr>
    </w:p>
    <w:p>
      <w:pPr>
        <w:ind w:left="300" w:hanging="138"/>
        <w:spacing w:after="0"/>
        <w:tabs>
          <w:tab w:leader="none" w:pos="300" w:val="left"/>
        </w:tabs>
        <w:numPr>
          <w:ilvl w:val="0"/>
          <w:numId w:val="205"/>
        </w:numPr>
        <w:rPr>
          <w:rFonts w:ascii="Arial" w:cs="Arial" w:eastAsia="Arial" w:hAnsi="Arial"/>
          <w:sz w:val="13"/>
          <w:szCs w:val="13"/>
          <w:color w:val="auto"/>
        </w:rPr>
      </w:pP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ESTRICTED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U</w:t>
      </w:r>
      <w:r>
        <w:rPr>
          <w:rFonts w:ascii="Arial" w:cs="Arial" w:eastAsia="Arial" w:hAnsi="Arial"/>
          <w:sz w:val="8"/>
          <w:szCs w:val="8"/>
          <w:b w:val="1"/>
          <w:bCs w:val="1"/>
          <w:u w:val="single" w:color="auto"/>
          <w:color w:val="auto"/>
        </w:rPr>
        <w:t>NIT</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w:t>
      </w:r>
      <w:r>
        <w:rPr>
          <w:rFonts w:ascii="Arial" w:cs="Arial" w:eastAsia="Arial" w:hAnsi="Arial"/>
          <w:sz w:val="13"/>
          <w:szCs w:val="13"/>
          <w:b w:val="1"/>
          <w:bCs w:val="1"/>
          <w:color w:val="auto"/>
        </w:rPr>
        <w: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Restricted Stock Unit Awards shall be evidenced by Award Agreements specifying the number of Restricted Stock Units subject to the Award, in such form as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9" w:name="page290"/>
    <w:bookmarkEnd w:id="289"/>
    <w:p>
      <w:pPr>
        <w:ind w:right="40"/>
        <w:spacing w:after="0" w:line="276" w:lineRule="auto"/>
        <w:rPr>
          <w:sz w:val="20"/>
          <w:szCs w:val="20"/>
          <w:color w:val="auto"/>
        </w:rPr>
      </w:pPr>
      <w:r>
        <w:rPr>
          <w:rFonts w:ascii="Arial" w:cs="Arial" w:eastAsia="Arial" w:hAnsi="Arial"/>
          <w:sz w:val="13"/>
          <w:szCs w:val="13"/>
          <w:color w:val="auto"/>
        </w:rPr>
        <w:t>Committee shall from time to time establish. Award Agreements evidencing Restricted Stock Units may incorporate all or any of the terms of the Plan by reference and shall comply with and be subject to the following terms and conditions:</w:t>
      </w:r>
    </w:p>
    <w:p>
      <w:pPr>
        <w:spacing w:after="0" w:line="45" w:lineRule="exact"/>
        <w:rPr>
          <w:sz w:val="20"/>
          <w:szCs w:val="20"/>
          <w:color w:val="auto"/>
        </w:rPr>
      </w:pPr>
    </w:p>
    <w:p>
      <w:pPr>
        <w:ind w:right="160" w:firstLine="328"/>
        <w:spacing w:after="0" w:line="267"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b w:val="1"/>
          <w:bCs w:val="1"/>
          <w:color w:val="auto"/>
        </w:rPr>
        <w:t>Grant of Restricted Stock Unit Awards.</w:t>
      </w:r>
      <w:r>
        <w:rPr>
          <w:rFonts w:ascii="Arial" w:cs="Arial" w:eastAsia="Arial" w:hAnsi="Arial"/>
          <w:sz w:val="13"/>
          <w:szCs w:val="13"/>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52" w:lineRule="exact"/>
        <w:rPr>
          <w:sz w:val="20"/>
          <w:szCs w:val="20"/>
          <w:color w:val="auto"/>
        </w:rPr>
      </w:pPr>
    </w:p>
    <w:p>
      <w:pPr>
        <w:jc w:val="both"/>
        <w:ind w:right="40" w:firstLine="328"/>
        <w:spacing w:after="0" w:line="300"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b w:val="1"/>
          <w:bCs w:val="1"/>
          <w:color w:val="auto"/>
        </w:rPr>
        <w:t>Purchase Price.</w:t>
      </w:r>
      <w:r>
        <w:rPr>
          <w:rFonts w:ascii="Arial" w:cs="Arial" w:eastAsia="Arial" w:hAnsi="Arial"/>
          <w:sz w:val="12"/>
          <w:szCs w:val="12"/>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33" w:lineRule="exact"/>
        <w:rPr>
          <w:sz w:val="20"/>
          <w:szCs w:val="20"/>
          <w:color w:val="auto"/>
        </w:rPr>
      </w:pPr>
    </w:p>
    <w:p>
      <w:pPr>
        <w:ind w:right="280" w:firstLine="328"/>
        <w:spacing w:after="0" w:line="327"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b w:val="1"/>
          <w:bCs w:val="1"/>
          <w:color w:val="auto"/>
        </w:rPr>
        <w:t>Vesting.</w:t>
      </w:r>
      <w:r>
        <w:rPr>
          <w:rFonts w:ascii="Arial" w:cs="Arial" w:eastAsia="Arial" w:hAnsi="Arial"/>
          <w:sz w:val="12"/>
          <w:szCs w:val="12"/>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7"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b w:val="1"/>
          <w:bCs w:val="1"/>
          <w:color w:val="auto"/>
        </w:rPr>
        <w:t>Voting Rights, Dividend Equivalent Rights and Distributions.</w:t>
      </w:r>
      <w:r>
        <w:rPr>
          <w:rFonts w:ascii="Arial" w:cs="Arial" w:eastAsia="Arial" w:hAnsi="Arial"/>
          <w:sz w:val="13"/>
          <w:szCs w:val="13"/>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by crediting the Participant with additional whole Restricted Stock Units as of the date of payment of such cash dividends on Stock. The number of additional Restricted Stock Units (rounded to the nearest whole number)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90" w:name="page291"/>
    <w:bookmarkEnd w:id="290"/>
    <w:p>
      <w:pPr>
        <w:ind w:right="240"/>
        <w:spacing w:after="0" w:line="276" w:lineRule="auto"/>
        <w:rPr>
          <w:sz w:val="20"/>
          <w:szCs w:val="20"/>
          <w:color w:val="auto"/>
        </w:rPr>
      </w:pPr>
      <w:r>
        <w:rPr>
          <w:rFonts w:ascii="Arial" w:cs="Arial" w:eastAsia="Arial" w:hAnsi="Arial"/>
          <w:sz w:val="13"/>
          <w:szCs w:val="13"/>
          <w:color w:val="auto"/>
        </w:rPr>
        <w:t>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45" w:lineRule="exact"/>
        <w:rPr>
          <w:sz w:val="20"/>
          <w:szCs w:val="20"/>
          <w:color w:val="auto"/>
        </w:rPr>
      </w:pPr>
    </w:p>
    <w:p>
      <w:pPr>
        <w:ind w:right="140" w:firstLine="328"/>
        <w:spacing w:after="0" w:line="267"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b w:val="1"/>
          <w:bCs w:val="1"/>
          <w:color w:val="auto"/>
        </w:rPr>
        <w:t>Effect of Termination of Service.</w:t>
      </w:r>
      <w:r>
        <w:rPr>
          <w:rFonts w:ascii="Arial" w:cs="Arial" w:eastAsia="Arial" w:hAnsi="Arial"/>
          <w:sz w:val="13"/>
          <w:szCs w:val="13"/>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52"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b w:val="1"/>
          <w:bCs w:val="1"/>
          <w:color w:val="auto"/>
        </w:rPr>
        <w:t>Settlement of Restricted Stock Unit Awards.</w:t>
      </w:r>
      <w:r>
        <w:rPr>
          <w:rFonts w:ascii="Arial" w:cs="Arial" w:eastAsia="Arial" w:hAnsi="Arial"/>
          <w:sz w:val="12"/>
          <w:szCs w:val="12"/>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The Committee,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Insider Trading Policy, then the satisfaction of the Vesting Conditions automatically shall be determined on the first to occur of (a) the next trading day on which the sale of such shares would not violate the Insider Trading Policy or (b) the later of (i) last day of the calendar year in which the original vesting date occurred or (ii) the last day of the Company’s taxable year in which the original vesting date occurred.</w:t>
      </w:r>
    </w:p>
    <w:p>
      <w:pPr>
        <w:spacing w:after="0" w:line="47" w:lineRule="exact"/>
        <w:rPr>
          <w:sz w:val="20"/>
          <w:szCs w:val="20"/>
          <w:color w:val="auto"/>
        </w:rPr>
      </w:pPr>
    </w:p>
    <w:p>
      <w:pPr>
        <w:jc w:val="both"/>
        <w:ind w:right="260" w:firstLine="328"/>
        <w:spacing w:after="0" w:line="300" w:lineRule="auto"/>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b w:val="1"/>
          <w:bCs w:val="1"/>
          <w:color w:val="auto"/>
        </w:rPr>
        <w:t>Nontransferability of Restricted Stock Unit Awards.</w:t>
      </w:r>
      <w:r>
        <w:rPr>
          <w:rFonts w:ascii="Arial" w:cs="Arial" w:eastAsia="Arial" w:hAnsi="Arial"/>
          <w:sz w:val="12"/>
          <w:szCs w:val="12"/>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33" w:lineRule="exact"/>
        <w:rPr>
          <w:sz w:val="20"/>
          <w:szCs w:val="20"/>
          <w:color w:val="auto"/>
        </w:rPr>
      </w:pPr>
    </w:p>
    <w:p>
      <w:pPr>
        <w:ind w:left="360" w:hanging="198"/>
        <w:spacing w:after="0"/>
        <w:tabs>
          <w:tab w:leader="none" w:pos="360" w:val="left"/>
        </w:tabs>
        <w:numPr>
          <w:ilvl w:val="0"/>
          <w:numId w:val="206"/>
        </w:numPr>
        <w:rPr>
          <w:rFonts w:ascii="Arial" w:cs="Arial" w:eastAsia="Arial" w:hAnsi="Arial"/>
          <w:sz w:val="13"/>
          <w:szCs w:val="13"/>
          <w:color w:val="auto"/>
        </w:rPr>
      </w:pP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ERFORMANCE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w:t>
      </w:r>
      <w:r>
        <w:rPr>
          <w:rFonts w:ascii="Arial" w:cs="Arial" w:eastAsia="Arial" w:hAnsi="Arial"/>
          <w:sz w:val="13"/>
          <w:szCs w:val="13"/>
          <w:b w:val="1"/>
          <w:bCs w:val="1"/>
          <w:color w:val="auto"/>
        </w:rPr>
        <w: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Performance Awards shall be evidenced by Award Agreements in such form as the Committee shall from time to time establish. Award Agreements evidencing Performance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91" w:name="page292"/>
    <w:bookmarkEnd w:id="291"/>
    <w:p>
      <w:pPr>
        <w:ind w:left="1"/>
        <w:spacing w:after="0"/>
        <w:rPr>
          <w:sz w:val="20"/>
          <w:szCs w:val="20"/>
          <w:color w:val="auto"/>
        </w:rPr>
      </w:pPr>
      <w:r>
        <w:rPr>
          <w:rFonts w:ascii="Arial" w:cs="Arial" w:eastAsia="Arial" w:hAnsi="Arial"/>
          <w:sz w:val="13"/>
          <w:szCs w:val="13"/>
          <w:color w:val="auto"/>
        </w:rPr>
        <w:t>Awards may incorporate all or any of the terms of the Plan by reference and shall comply with and be subject to the following terms and conditions:</w:t>
      </w:r>
    </w:p>
    <w:p>
      <w:pPr>
        <w:spacing w:after="0" w:line="82" w:lineRule="exact"/>
        <w:rPr>
          <w:sz w:val="20"/>
          <w:szCs w:val="20"/>
          <w:color w:val="auto"/>
        </w:rPr>
      </w:pPr>
    </w:p>
    <w:p>
      <w:pPr>
        <w:ind w:left="1" w:right="60" w:firstLine="328"/>
        <w:spacing w:after="0" w:line="267"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color w:val="auto"/>
        </w:rPr>
        <w:t>Types of Performance Awards Authorized.</w:t>
      </w:r>
      <w:r>
        <w:rPr>
          <w:rFonts w:ascii="Arial" w:cs="Arial" w:eastAsia="Arial" w:hAnsi="Arial"/>
          <w:sz w:val="13"/>
          <w:szCs w:val="13"/>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52" w:lineRule="exact"/>
        <w:rPr>
          <w:sz w:val="20"/>
          <w:szCs w:val="20"/>
          <w:color w:val="auto"/>
        </w:rPr>
      </w:pPr>
    </w:p>
    <w:p>
      <w:pPr>
        <w:ind w:left="1" w:right="20" w:firstLine="328"/>
        <w:spacing w:after="0" w:line="291"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b w:val="1"/>
          <w:bCs w:val="1"/>
          <w:color w:val="auto"/>
        </w:rPr>
        <w:t>Initial Value of Performance Shares and Performance Units.</w:t>
      </w:r>
      <w:r>
        <w:rPr>
          <w:rFonts w:ascii="Arial" w:cs="Arial" w:eastAsia="Arial" w:hAnsi="Arial"/>
          <w:sz w:val="12"/>
          <w:szCs w:val="12"/>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38" w:lineRule="exact"/>
        <w:rPr>
          <w:sz w:val="20"/>
          <w:szCs w:val="20"/>
          <w:color w:val="auto"/>
        </w:rPr>
      </w:pPr>
    </w:p>
    <w:p>
      <w:pPr>
        <w:jc w:val="both"/>
        <w:ind w:left="1" w:right="20" w:firstLine="328"/>
        <w:spacing w:after="0" w:line="303"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b w:val="1"/>
          <w:bCs w:val="1"/>
          <w:color w:val="auto"/>
        </w:rPr>
        <w:t>Establishment of Performance Period, Performance Goals and Performance Award Formula.</w:t>
      </w:r>
      <w:r>
        <w:rPr>
          <w:rFonts w:ascii="Arial" w:cs="Arial" w:eastAsia="Arial" w:hAnsi="Arial"/>
          <w:sz w:val="11"/>
          <w:szCs w:val="11"/>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 no later than the earlier of (a) the date ninety</w:t>
      </w:r>
    </w:p>
    <w:p>
      <w:pPr>
        <w:spacing w:after="0" w:line="2" w:lineRule="exact"/>
        <w:rPr>
          <w:sz w:val="20"/>
          <w:szCs w:val="20"/>
          <w:color w:val="auto"/>
        </w:rPr>
      </w:pPr>
    </w:p>
    <w:p>
      <w:pPr>
        <w:ind w:left="1" w:right="120" w:hanging="1"/>
        <w:spacing w:after="0" w:line="290" w:lineRule="auto"/>
        <w:tabs>
          <w:tab w:leader="none" w:pos="252" w:val="left"/>
        </w:tabs>
        <w:numPr>
          <w:ilvl w:val="0"/>
          <w:numId w:val="207"/>
        </w:numPr>
        <w:rPr>
          <w:rFonts w:ascii="Arial" w:cs="Arial" w:eastAsia="Arial" w:hAnsi="Arial"/>
          <w:sz w:val="12"/>
          <w:szCs w:val="12"/>
          <w:color w:val="auto"/>
        </w:rPr>
      </w:pPr>
      <w:r>
        <w:rPr>
          <w:rFonts w:ascii="Arial" w:cs="Arial" w:eastAsia="Arial" w:hAnsi="Arial"/>
          <w:sz w:val="12"/>
          <w:szCs w:val="12"/>
          <w:color w:val="auto"/>
        </w:rPr>
        <w:t>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39" w:lineRule="exact"/>
        <w:rPr>
          <w:sz w:val="20"/>
          <w:szCs w:val="20"/>
          <w:color w:val="auto"/>
        </w:rPr>
      </w:pPr>
    </w:p>
    <w:p>
      <w:pPr>
        <w:ind w:left="1" w:right="260" w:firstLine="328"/>
        <w:spacing w:after="0" w:line="283"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b w:val="1"/>
          <w:bCs w:val="1"/>
          <w:color w:val="auto"/>
        </w:rPr>
        <w:t>Measurement of Performance Goals.</w:t>
      </w:r>
      <w:r>
        <w:rPr>
          <w:rFonts w:ascii="Arial" w:cs="Arial" w:eastAsia="Arial" w:hAnsi="Arial"/>
          <w:sz w:val="13"/>
          <w:szCs w:val="13"/>
          <w:color w:val="auto"/>
        </w:rPr>
        <w:t xml:space="preserve"> Performance Goals shall be established by the Committee on the basis of targets to be attained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Targets</w:t>
      </w:r>
      <w:r>
        <w:rPr>
          <w:rFonts w:ascii="Arial" w:cs="Arial" w:eastAsia="Arial" w:hAnsi="Arial"/>
          <w:sz w:val="13"/>
          <w:szCs w:val="13"/>
          <w:i w:val="1"/>
          <w:iCs w:val="1"/>
          <w:color w:val="auto"/>
        </w:rPr>
        <w:t>”</w:t>
      </w:r>
      <w:r>
        <w:rPr>
          <w:rFonts w:ascii="Arial" w:cs="Arial" w:eastAsia="Arial" w:hAnsi="Arial"/>
          <w:sz w:val="13"/>
          <w:szCs w:val="13"/>
          <w:color w:val="auto"/>
        </w:rPr>
        <w:t xml:space="preserve">) with respect to one or more measures of business or financial performance (each,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Measure</w:t>
      </w:r>
      <w:r>
        <w:rPr>
          <w:rFonts w:ascii="Arial" w:cs="Arial" w:eastAsia="Arial" w:hAnsi="Arial"/>
          <w:sz w:val="13"/>
          <w:szCs w:val="13"/>
          <w:i w:val="1"/>
          <w:iCs w:val="1"/>
          <w:color w:val="auto"/>
        </w:rPr>
        <w:t>”</w:t>
      </w:r>
      <w:r>
        <w:rPr>
          <w:rFonts w:ascii="Arial" w:cs="Arial" w:eastAsia="Arial" w:hAnsi="Arial"/>
          <w:sz w:val="13"/>
          <w:szCs w:val="13"/>
          <w:color w:val="auto"/>
        </w:rPr>
        <w:t>), subject to the following:</w:t>
      </w:r>
    </w:p>
    <w:p>
      <w:pPr>
        <w:spacing w:after="0" w:line="45" w:lineRule="exact"/>
        <w:rPr>
          <w:sz w:val="20"/>
          <w:szCs w:val="20"/>
          <w:color w:val="auto"/>
        </w:rPr>
      </w:pPr>
    </w:p>
    <w:p>
      <w:pPr>
        <w:ind w:left="1" w:firstLine="490"/>
        <w:spacing w:after="0" w:line="264" w:lineRule="auto"/>
        <w:tabs>
          <w:tab w:leader="none" w:pos="671" w:val="left"/>
        </w:tabs>
        <w:numPr>
          <w:ilvl w:val="0"/>
          <w:numId w:val="2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Performance Measures. </w:t>
      </w:r>
      <w:r>
        <w:rPr>
          <w:rFonts w:ascii="Arial" w:cs="Arial" w:eastAsia="Arial" w:hAnsi="Arial"/>
          <w:sz w:val="13"/>
          <w:szCs w:val="13"/>
          <w:color w:val="auto"/>
        </w:rPr>
        <w:t>Performance Measures shall have the same meanings as used in the Company’s financial statements, or, if such terms are not used in the Company’s financial statements, they shall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have the meaning applied pursuant to generally accepted accounting principles, or as used generally in the Company’s industry. Performance Measures shall be calculated with respect to the Company and each Subsidiary Corporation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92" w:name="page293"/>
    <w:bookmarkEnd w:id="292"/>
    <w:p>
      <w:pPr>
        <w:spacing w:after="0" w:line="316" w:lineRule="auto"/>
        <w:rPr>
          <w:sz w:val="20"/>
          <w:szCs w:val="20"/>
          <w:color w:val="auto"/>
        </w:rPr>
      </w:pPr>
      <w:r>
        <w:rPr>
          <w:rFonts w:ascii="Arial" w:cs="Arial" w:eastAsia="Arial" w:hAnsi="Arial"/>
          <w:sz w:val="11"/>
          <w:szCs w:val="11"/>
          <w:color w:val="auto"/>
        </w:rPr>
        <w:t>consolidated therewith for financial reporting purposes or such division or other business unit as may be selected by the Committee. For purposes of the Plan, the Performance Measures applicable to a Performance Award shall be calculated in accordance with generally accepted accounting principles, if applicable, but prior to the accrual or payment of any Performance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32" w:lineRule="exact"/>
        <w:rPr>
          <w:sz w:val="20"/>
          <w:szCs w:val="20"/>
          <w:color w:val="auto"/>
        </w:rPr>
      </w:pPr>
    </w:p>
    <w:p>
      <w:pPr>
        <w:ind w:left="820" w:hanging="166"/>
        <w:spacing w:after="0"/>
        <w:tabs>
          <w:tab w:leader="none" w:pos="8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revenue;</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sales;</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expenses;</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operating income;</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gross margin;</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operating margin;</w:t>
      </w:r>
    </w:p>
    <w:p>
      <w:pPr>
        <w:spacing w:after="0" w:line="86" w:lineRule="exact"/>
        <w:rPr>
          <w:rFonts w:ascii="Arial" w:cs="Arial" w:eastAsia="Arial" w:hAnsi="Arial"/>
          <w:sz w:val="13"/>
          <w:szCs w:val="13"/>
          <w:color w:val="auto"/>
        </w:rPr>
      </w:pPr>
    </w:p>
    <w:p>
      <w:pPr>
        <w:ind w:left="920" w:hanging="266"/>
        <w:spacing w:after="0"/>
        <w:tabs>
          <w:tab w:leader="none" w:pos="9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earnings before any one or more of: stock-based compensation expense, interest, taxes, depreciation and amortization;</w:t>
      </w:r>
    </w:p>
    <w:p>
      <w:pPr>
        <w:spacing w:after="0" w:line="86" w:lineRule="exact"/>
        <w:rPr>
          <w:rFonts w:ascii="Arial" w:cs="Arial" w:eastAsia="Arial" w:hAnsi="Arial"/>
          <w:sz w:val="13"/>
          <w:szCs w:val="13"/>
          <w:color w:val="auto"/>
        </w:rPr>
      </w:pPr>
    </w:p>
    <w:p>
      <w:pPr>
        <w:ind w:left="940" w:hanging="286"/>
        <w:spacing w:after="0"/>
        <w:tabs>
          <w:tab w:leader="none" w:pos="9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pre-tax profit;</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net operating income;</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net income;</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economic value added;</w:t>
      </w:r>
    </w:p>
    <w:p>
      <w:pPr>
        <w:spacing w:after="0" w:line="86" w:lineRule="exact"/>
        <w:rPr>
          <w:rFonts w:ascii="Arial" w:cs="Arial" w:eastAsia="Arial" w:hAnsi="Arial"/>
          <w:sz w:val="13"/>
          <w:szCs w:val="13"/>
          <w:color w:val="auto"/>
        </w:rPr>
      </w:pPr>
    </w:p>
    <w:p>
      <w:pPr>
        <w:ind w:left="920" w:hanging="266"/>
        <w:spacing w:after="0"/>
        <w:tabs>
          <w:tab w:leader="none" w:pos="9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free cash flow;</w:t>
      </w:r>
    </w:p>
    <w:p>
      <w:pPr>
        <w:spacing w:after="0" w:line="86" w:lineRule="exact"/>
        <w:rPr>
          <w:rFonts w:ascii="Arial" w:cs="Arial" w:eastAsia="Arial" w:hAnsi="Arial"/>
          <w:sz w:val="13"/>
          <w:szCs w:val="13"/>
          <w:color w:val="auto"/>
        </w:rPr>
      </w:pPr>
    </w:p>
    <w:p>
      <w:pPr>
        <w:ind w:left="940" w:hanging="286"/>
        <w:spacing w:after="0"/>
        <w:tabs>
          <w:tab w:leader="none" w:pos="9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operating cash flow;</w:t>
      </w:r>
    </w:p>
    <w:p>
      <w:pPr>
        <w:spacing w:after="0" w:line="86" w:lineRule="exact"/>
        <w:rPr>
          <w:rFonts w:ascii="Arial" w:cs="Arial" w:eastAsia="Arial" w:hAnsi="Arial"/>
          <w:sz w:val="13"/>
          <w:szCs w:val="13"/>
          <w:color w:val="auto"/>
        </w:rPr>
      </w:pPr>
    </w:p>
    <w:p>
      <w:pPr>
        <w:ind w:left="940" w:hanging="286"/>
        <w:spacing w:after="0"/>
        <w:tabs>
          <w:tab w:leader="none" w:pos="9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balance of cash, cash equivalents and marketable securities;</w:t>
      </w:r>
    </w:p>
    <w:p>
      <w:pPr>
        <w:spacing w:after="0" w:line="86" w:lineRule="exact"/>
        <w:rPr>
          <w:rFonts w:ascii="Arial" w:cs="Arial" w:eastAsia="Arial" w:hAnsi="Arial"/>
          <w:sz w:val="13"/>
          <w:szCs w:val="13"/>
          <w:color w:val="auto"/>
        </w:rPr>
      </w:pPr>
    </w:p>
    <w:p>
      <w:pPr>
        <w:ind w:left="900" w:hanging="246"/>
        <w:spacing w:after="0"/>
        <w:tabs>
          <w:tab w:leader="none" w:pos="90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stock price;</w:t>
      </w:r>
    </w:p>
    <w:p>
      <w:pPr>
        <w:spacing w:after="0" w:line="86" w:lineRule="exact"/>
        <w:rPr>
          <w:rFonts w:ascii="Arial" w:cs="Arial" w:eastAsia="Arial" w:hAnsi="Arial"/>
          <w:sz w:val="13"/>
          <w:szCs w:val="13"/>
          <w:color w:val="auto"/>
        </w:rPr>
      </w:pPr>
    </w:p>
    <w:p>
      <w:pPr>
        <w:ind w:left="940" w:hanging="286"/>
        <w:spacing w:after="0"/>
        <w:tabs>
          <w:tab w:leader="none" w:pos="9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earnings per share;</w:t>
      </w:r>
    </w:p>
    <w:p>
      <w:pPr>
        <w:spacing w:after="0" w:line="86" w:lineRule="exact"/>
        <w:rPr>
          <w:rFonts w:ascii="Arial" w:cs="Arial" w:eastAsia="Arial" w:hAnsi="Arial"/>
          <w:sz w:val="13"/>
          <w:szCs w:val="13"/>
          <w:color w:val="auto"/>
        </w:rPr>
      </w:pPr>
    </w:p>
    <w:p>
      <w:pPr>
        <w:ind w:left="980" w:hanging="326"/>
        <w:spacing w:after="0"/>
        <w:tabs>
          <w:tab w:leader="none" w:pos="9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return on stockholder equity;</w:t>
      </w:r>
    </w:p>
    <w:p>
      <w:pPr>
        <w:spacing w:after="0" w:line="86" w:lineRule="exact"/>
        <w:rPr>
          <w:rFonts w:ascii="Arial" w:cs="Arial" w:eastAsia="Arial" w:hAnsi="Arial"/>
          <w:sz w:val="13"/>
          <w:szCs w:val="13"/>
          <w:color w:val="auto"/>
        </w:rPr>
      </w:pPr>
    </w:p>
    <w:p>
      <w:pPr>
        <w:ind w:left="1020" w:hanging="366"/>
        <w:spacing w:after="0"/>
        <w:tabs>
          <w:tab w:leader="none" w:pos="10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return on capital;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93" w:name="page294"/>
    <w:bookmarkEnd w:id="293"/>
    <w:p>
      <w:pPr>
        <w:ind w:left="920" w:hanging="286"/>
        <w:spacing w:after="0"/>
        <w:tabs>
          <w:tab w:leader="none" w:pos="9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return on assets;</w:t>
      </w:r>
    </w:p>
    <w:p>
      <w:pPr>
        <w:spacing w:after="0" w:line="86" w:lineRule="exact"/>
        <w:rPr>
          <w:rFonts w:ascii="Arial" w:cs="Arial" w:eastAsia="Arial" w:hAnsi="Arial"/>
          <w:sz w:val="13"/>
          <w:szCs w:val="13"/>
          <w:color w:val="auto"/>
        </w:rPr>
      </w:pPr>
    </w:p>
    <w:p>
      <w:pPr>
        <w:ind w:left="880" w:hanging="246"/>
        <w:spacing w:after="0"/>
        <w:tabs>
          <w:tab w:leader="none" w:pos="88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return on investment;</w:t>
      </w:r>
    </w:p>
    <w:p>
      <w:pPr>
        <w:spacing w:after="0" w:line="86" w:lineRule="exact"/>
        <w:rPr>
          <w:rFonts w:ascii="Arial" w:cs="Arial" w:eastAsia="Arial" w:hAnsi="Arial"/>
          <w:sz w:val="13"/>
          <w:szCs w:val="13"/>
          <w:color w:val="auto"/>
        </w:rPr>
      </w:pPr>
    </w:p>
    <w:p>
      <w:pPr>
        <w:ind w:left="920" w:hanging="286"/>
        <w:spacing w:after="0"/>
        <w:tabs>
          <w:tab w:leader="none" w:pos="9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employee satisfaction;</w:t>
      </w:r>
    </w:p>
    <w:p>
      <w:pPr>
        <w:spacing w:after="0" w:line="86" w:lineRule="exact"/>
        <w:rPr>
          <w:rFonts w:ascii="Arial" w:cs="Arial" w:eastAsia="Arial" w:hAnsi="Arial"/>
          <w:sz w:val="13"/>
          <w:szCs w:val="13"/>
          <w:color w:val="auto"/>
        </w:rPr>
      </w:pPr>
    </w:p>
    <w:p>
      <w:pPr>
        <w:ind w:left="960" w:hanging="326"/>
        <w:spacing w:after="0"/>
        <w:tabs>
          <w:tab w:leader="none" w:pos="96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employee retention;</w:t>
      </w:r>
    </w:p>
    <w:p>
      <w:pPr>
        <w:spacing w:after="0" w:line="86" w:lineRule="exact"/>
        <w:rPr>
          <w:rFonts w:ascii="Arial" w:cs="Arial" w:eastAsia="Arial" w:hAnsi="Arial"/>
          <w:sz w:val="13"/>
          <w:szCs w:val="13"/>
          <w:color w:val="auto"/>
        </w:rPr>
      </w:pPr>
    </w:p>
    <w:p>
      <w:pPr>
        <w:ind w:left="1000" w:hanging="366"/>
        <w:spacing w:after="0"/>
        <w:tabs>
          <w:tab w:leader="none" w:pos="100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market share;</w:t>
      </w:r>
    </w:p>
    <w:p>
      <w:pPr>
        <w:spacing w:after="0" w:line="86" w:lineRule="exact"/>
        <w:rPr>
          <w:rFonts w:ascii="Arial" w:cs="Arial" w:eastAsia="Arial" w:hAnsi="Arial"/>
          <w:sz w:val="13"/>
          <w:szCs w:val="13"/>
          <w:color w:val="auto"/>
        </w:rPr>
      </w:pPr>
    </w:p>
    <w:p>
      <w:pPr>
        <w:ind w:left="980" w:hanging="346"/>
        <w:spacing w:after="0"/>
        <w:tabs>
          <w:tab w:leader="none" w:pos="98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customer satisfaction;</w:t>
      </w:r>
    </w:p>
    <w:p>
      <w:pPr>
        <w:spacing w:after="0" w:line="86" w:lineRule="exact"/>
        <w:rPr>
          <w:rFonts w:ascii="Arial" w:cs="Arial" w:eastAsia="Arial" w:hAnsi="Arial"/>
          <w:sz w:val="13"/>
          <w:szCs w:val="13"/>
          <w:color w:val="auto"/>
        </w:rPr>
      </w:pPr>
    </w:p>
    <w:p>
      <w:pPr>
        <w:ind w:left="960" w:hanging="326"/>
        <w:spacing w:after="0"/>
        <w:tabs>
          <w:tab w:leader="none" w:pos="96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product development;</w:t>
      </w:r>
    </w:p>
    <w:p>
      <w:pPr>
        <w:spacing w:after="0" w:line="86" w:lineRule="exact"/>
        <w:rPr>
          <w:rFonts w:ascii="Arial" w:cs="Arial" w:eastAsia="Arial" w:hAnsi="Arial"/>
          <w:sz w:val="13"/>
          <w:szCs w:val="13"/>
          <w:color w:val="auto"/>
        </w:rPr>
      </w:pPr>
    </w:p>
    <w:p>
      <w:pPr>
        <w:ind w:left="980" w:hanging="346"/>
        <w:spacing w:after="0"/>
        <w:tabs>
          <w:tab w:leader="none" w:pos="98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research and development expenses;</w:t>
      </w:r>
    </w:p>
    <w:p>
      <w:pPr>
        <w:spacing w:after="0" w:line="86" w:lineRule="exact"/>
        <w:rPr>
          <w:rFonts w:ascii="Arial" w:cs="Arial" w:eastAsia="Arial" w:hAnsi="Arial"/>
          <w:sz w:val="13"/>
          <w:szCs w:val="13"/>
          <w:color w:val="auto"/>
        </w:rPr>
      </w:pPr>
    </w:p>
    <w:p>
      <w:pPr>
        <w:ind w:left="1020" w:hanging="386"/>
        <w:spacing w:after="0"/>
        <w:tabs>
          <w:tab w:leader="none" w:pos="10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completion of an identified special project; and</w:t>
      </w:r>
    </w:p>
    <w:p>
      <w:pPr>
        <w:spacing w:after="0" w:line="86" w:lineRule="exact"/>
        <w:rPr>
          <w:rFonts w:ascii="Arial" w:cs="Arial" w:eastAsia="Arial" w:hAnsi="Arial"/>
          <w:sz w:val="13"/>
          <w:szCs w:val="13"/>
          <w:color w:val="auto"/>
        </w:rPr>
      </w:pPr>
    </w:p>
    <w:p>
      <w:pPr>
        <w:ind w:left="1060" w:hanging="426"/>
        <w:spacing w:after="0"/>
        <w:tabs>
          <w:tab w:leader="none" w:pos="106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completion of a joint venture or other corporate transaction.</w:t>
      </w:r>
    </w:p>
    <w:p>
      <w:pPr>
        <w:spacing w:after="0" w:line="86" w:lineRule="exact"/>
        <w:rPr>
          <w:sz w:val="20"/>
          <w:szCs w:val="20"/>
          <w:color w:val="auto"/>
        </w:rPr>
      </w:pPr>
    </w:p>
    <w:p>
      <w:pPr>
        <w:ind w:left="-20" w:right="60" w:firstLine="490"/>
        <w:spacing w:after="0" w:line="264" w:lineRule="auto"/>
        <w:tabs>
          <w:tab w:leader="none" w:pos="657" w:val="left"/>
        </w:tabs>
        <w:numPr>
          <w:ilvl w:val="0"/>
          <w:numId w:val="2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Performance Targets. </w:t>
      </w:r>
      <w:r>
        <w:rPr>
          <w:rFonts w:ascii="Arial" w:cs="Arial" w:eastAsia="Arial" w:hAnsi="Arial"/>
          <w:sz w:val="13"/>
          <w:szCs w:val="13"/>
          <w:color w:val="auto"/>
        </w:rPr>
        <w:t>Performance Targets may include a minimum, maximum, target level and intermediate levels of performance, with the final value of a Performance Award determined under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applicable Performance Award Formula by the level attained during the applicable Performance Period. A Performance Target may be stated as an absolute value or as a value determined relative to an index, budget or other standard selected by the Committee.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b w:val="1"/>
          <w:bCs w:val="1"/>
          <w:color w:val="auto"/>
        </w:rPr>
        <w:t>Settlement of Performance Awards.</w:t>
      </w:r>
    </w:p>
    <w:p>
      <w:pPr>
        <w:spacing w:after="0" w:line="90" w:lineRule="exact"/>
        <w:rPr>
          <w:sz w:val="20"/>
          <w:szCs w:val="20"/>
          <w:color w:val="auto"/>
        </w:rPr>
      </w:pPr>
    </w:p>
    <w:p>
      <w:pPr>
        <w:ind w:left="-20" w:right="20" w:firstLine="490"/>
        <w:spacing w:after="0" w:line="371" w:lineRule="auto"/>
        <w:tabs>
          <w:tab w:leader="none" w:pos="649" w:val="left"/>
        </w:tabs>
        <w:numPr>
          <w:ilvl w:val="0"/>
          <w:numId w:val="21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Determination of Final Value. </w:t>
      </w:r>
      <w:r>
        <w:rPr>
          <w:rFonts w:ascii="Arial" w:cs="Arial" w:eastAsia="Arial" w:hAnsi="Arial"/>
          <w:sz w:val="11"/>
          <w:szCs w:val="11"/>
          <w:color w:val="auto"/>
        </w:rPr>
        <w:t>As soon as practicable following the completion of the Performance Period applicable to a Performance Award, the Committee shall certify in writing the extent to which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applicable Performance Goals have been attained and the resulting final value of the Award earned by the Participant and to be paid upon its settlement in accordance with the applicable Performance Award Formula.</w:t>
      </w:r>
    </w:p>
    <w:p>
      <w:pPr>
        <w:spacing w:after="0" w:line="2" w:lineRule="exact"/>
        <w:rPr>
          <w:rFonts w:ascii="Arial" w:cs="Arial" w:eastAsia="Arial" w:hAnsi="Arial"/>
          <w:sz w:val="11"/>
          <w:szCs w:val="11"/>
          <w:color w:val="auto"/>
        </w:rPr>
      </w:pPr>
    </w:p>
    <w:p>
      <w:pPr>
        <w:ind w:left="-20" w:firstLine="490"/>
        <w:spacing w:after="0" w:line="282" w:lineRule="auto"/>
        <w:tabs>
          <w:tab w:leader="none" w:pos="657" w:val="left"/>
        </w:tabs>
        <w:numPr>
          <w:ilvl w:val="0"/>
          <w:numId w:val="21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Discretionary Adjustment of Award Formula. </w:t>
      </w:r>
      <w:r>
        <w:rPr>
          <w:rFonts w:ascii="Arial" w:cs="Arial" w:eastAsia="Arial" w:hAnsi="Arial"/>
          <w:sz w:val="12"/>
          <w:szCs w:val="12"/>
          <w:color w:val="auto"/>
        </w:rPr>
        <w:t>In its discretion, the Committee may, either at the time it grants a Performance Award or at any time thereafter, provide for the positive or negative adjustment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94" w:name="page295"/>
    <w:bookmarkEnd w:id="294"/>
    <w:p>
      <w:pPr>
        <w:ind w:firstLine="490"/>
        <w:spacing w:after="0" w:line="264" w:lineRule="auto"/>
        <w:tabs>
          <w:tab w:leader="none" w:pos="669" w:val="left"/>
        </w:tabs>
        <w:numPr>
          <w:ilvl w:val="0"/>
          <w:numId w:val="2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Effect of Leaves of Absence. </w:t>
      </w:r>
      <w:r>
        <w:rPr>
          <w:rFonts w:ascii="Arial" w:cs="Arial" w:eastAsia="Arial" w:hAnsi="Arial"/>
          <w:sz w:val="13"/>
          <w:szCs w:val="13"/>
          <w:color w:val="auto"/>
        </w:rPr>
        <w:t>Unless otherwise required by law or a Participant’s Award Agreement, payment of the final value, if any, of a Performance Award held by a Participant who has taken in excess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57" w:lineRule="exact"/>
        <w:rPr>
          <w:rFonts w:ascii="Arial" w:cs="Arial" w:eastAsia="Arial" w:hAnsi="Arial"/>
          <w:sz w:val="13"/>
          <w:szCs w:val="13"/>
          <w:color w:val="auto"/>
        </w:rPr>
      </w:pPr>
    </w:p>
    <w:p>
      <w:pPr>
        <w:ind w:right="360" w:firstLine="490"/>
        <w:spacing w:after="0" w:line="276" w:lineRule="auto"/>
        <w:tabs>
          <w:tab w:leader="none" w:pos="677" w:val="left"/>
        </w:tabs>
        <w:numPr>
          <w:ilvl w:val="0"/>
          <w:numId w:val="2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Notice to Participants. </w:t>
      </w:r>
      <w:r>
        <w:rPr>
          <w:rFonts w:ascii="Arial" w:cs="Arial" w:eastAsia="Arial" w:hAnsi="Arial"/>
          <w:sz w:val="13"/>
          <w:szCs w:val="13"/>
          <w:color w:val="auto"/>
        </w:rPr>
        <w:t>As soon as practicable following the Committee’s determination and certification in accordance with Sections 10.5(a) and (b), the Company shall notify each Participant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determination of the Committee.</w:t>
      </w:r>
    </w:p>
    <w:p>
      <w:pPr>
        <w:spacing w:after="0" w:line="49" w:lineRule="exact"/>
        <w:rPr>
          <w:rFonts w:ascii="Arial" w:cs="Arial" w:eastAsia="Arial" w:hAnsi="Arial"/>
          <w:sz w:val="13"/>
          <w:szCs w:val="13"/>
          <w:color w:val="auto"/>
        </w:rPr>
      </w:pPr>
    </w:p>
    <w:p>
      <w:pPr>
        <w:ind w:firstLine="490"/>
        <w:spacing w:after="0" w:line="256" w:lineRule="auto"/>
        <w:tabs>
          <w:tab w:leader="none" w:pos="669" w:val="left"/>
        </w:tabs>
        <w:numPr>
          <w:ilvl w:val="0"/>
          <w:numId w:val="2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Payment in Settlement of Performance Awards. </w:t>
      </w:r>
      <w:r>
        <w:rPr>
          <w:rFonts w:ascii="Arial" w:cs="Arial" w:eastAsia="Arial" w:hAnsi="Arial"/>
          <w:sz w:val="13"/>
          <w:szCs w:val="13"/>
          <w:color w:val="auto"/>
        </w:rPr>
        <w:t>As soon as practicable following the Committee’s determination and certification in accordance with Sections 10.5(a) and (b), but in any event within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Short-Term Deferral Period described in Section 16.1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63" w:lineRule="exact"/>
        <w:rPr>
          <w:rFonts w:ascii="Arial" w:cs="Arial" w:eastAsia="Arial" w:hAnsi="Arial"/>
          <w:sz w:val="13"/>
          <w:szCs w:val="13"/>
          <w:color w:val="auto"/>
        </w:rPr>
      </w:pPr>
    </w:p>
    <w:p>
      <w:pPr>
        <w:ind w:firstLine="490"/>
        <w:spacing w:after="0" w:line="260" w:lineRule="auto"/>
        <w:tabs>
          <w:tab w:leader="none" w:pos="655" w:val="left"/>
        </w:tabs>
        <w:numPr>
          <w:ilvl w:val="0"/>
          <w:numId w:val="2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Provisions Applicable to Payment in Shares. </w:t>
      </w:r>
      <w:r>
        <w:rPr>
          <w:rFonts w:ascii="Arial" w:cs="Arial" w:eastAsia="Arial" w:hAnsi="Arial"/>
          <w:sz w:val="13"/>
          <w:szCs w:val="13"/>
          <w:color w:val="auto"/>
        </w:rPr>
        <w:t>If payment is to be made in shares of Stock, the number of such shares shall be determined by dividing the final value of the Performance Award by the Fair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56" w:lineRule="exact"/>
        <w:rPr>
          <w:sz w:val="20"/>
          <w:szCs w:val="20"/>
          <w:color w:val="auto"/>
        </w:rPr>
      </w:pPr>
    </w:p>
    <w:p>
      <w:pPr>
        <w:ind w:right="40" w:firstLine="328"/>
        <w:spacing w:after="0" w:line="286"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b w:val="1"/>
          <w:bCs w:val="1"/>
          <w:color w:val="auto"/>
        </w:rPr>
        <w:t>Voting Rights; Dividend Equivalent Rights and Distributions.</w:t>
      </w:r>
      <w:r>
        <w:rPr>
          <w:rFonts w:ascii="Arial" w:cs="Arial" w:eastAsia="Arial" w:hAnsi="Arial"/>
          <w:sz w:val="12"/>
          <w:szCs w:val="12"/>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in the form of additional whole Performance Shares as of the date of payment of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95" w:name="page296"/>
    <w:bookmarkEnd w:id="295"/>
    <w:p>
      <w:pPr>
        <w:ind w:right="100"/>
        <w:spacing w:after="0" w:line="280" w:lineRule="auto"/>
        <w:rPr>
          <w:sz w:val="20"/>
          <w:szCs w:val="20"/>
          <w:color w:val="auto"/>
        </w:rPr>
      </w:pPr>
      <w:r>
        <w:rPr>
          <w:rFonts w:ascii="Arial" w:cs="Arial" w:eastAsia="Arial" w:hAnsi="Arial"/>
          <w:sz w:val="12"/>
          <w:szCs w:val="12"/>
          <w:color w:val="auto"/>
        </w:rPr>
        <w:t>cash dividends on Stock. The number of additional Performance Shares (rounded to the nearest whole number)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may be paid currently or may be accumulated and paid to the extent that Performance Shares become nonforfeitable, as determined by the Committee.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normal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45" w:lineRule="exact"/>
        <w:rPr>
          <w:sz w:val="20"/>
          <w:szCs w:val="20"/>
          <w:color w:val="auto"/>
        </w:rPr>
      </w:pPr>
    </w:p>
    <w:p>
      <w:pPr>
        <w:ind w:firstLine="328"/>
        <w:spacing w:after="0" w:line="283"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b w:val="1"/>
          <w:bCs w:val="1"/>
          <w:color w:val="auto"/>
        </w:rPr>
        <w:t>Effect of Termination of Service.</w:t>
      </w:r>
      <w:r>
        <w:rPr>
          <w:rFonts w:ascii="Arial" w:cs="Arial" w:eastAsia="Arial" w:hAnsi="Arial"/>
          <w:sz w:val="13"/>
          <w:szCs w:val="13"/>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45" w:lineRule="exact"/>
        <w:rPr>
          <w:sz w:val="20"/>
          <w:szCs w:val="20"/>
          <w:color w:val="auto"/>
        </w:rPr>
      </w:pPr>
    </w:p>
    <w:p>
      <w:pPr>
        <w:jc w:val="both"/>
        <w:ind w:right="180" w:firstLine="490"/>
        <w:spacing w:after="0" w:line="296" w:lineRule="auto"/>
        <w:tabs>
          <w:tab w:leader="none" w:pos="669" w:val="left"/>
        </w:tabs>
        <w:numPr>
          <w:ilvl w:val="0"/>
          <w:numId w:val="21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Death or Disability. </w:t>
      </w:r>
      <w:r>
        <w:rPr>
          <w:rFonts w:ascii="Arial" w:cs="Arial" w:eastAsia="Arial" w:hAnsi="Arial"/>
          <w:sz w:val="12"/>
          <w:szCs w:val="12"/>
          <w:color w:val="auto"/>
        </w:rPr>
        <w:t>If the Participant’s Service terminates because of the death or Disability of the Participant before the completion of the Performance Period applicable to the Performance Award,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39" w:lineRule="exact"/>
        <w:rPr>
          <w:rFonts w:ascii="Arial" w:cs="Arial" w:eastAsia="Arial" w:hAnsi="Arial"/>
          <w:sz w:val="12"/>
          <w:szCs w:val="12"/>
          <w:color w:val="auto"/>
        </w:rPr>
      </w:pPr>
    </w:p>
    <w:p>
      <w:pPr>
        <w:ind w:right="100" w:firstLine="490"/>
        <w:spacing w:after="0" w:line="260" w:lineRule="auto"/>
        <w:tabs>
          <w:tab w:leader="none" w:pos="677" w:val="left"/>
        </w:tabs>
        <w:numPr>
          <w:ilvl w:val="0"/>
          <w:numId w:val="2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Other Termination of Service. </w:t>
      </w:r>
      <w:r>
        <w:rPr>
          <w:rFonts w:ascii="Arial" w:cs="Arial" w:eastAsia="Arial" w:hAnsi="Arial"/>
          <w:sz w:val="13"/>
          <w:szCs w:val="13"/>
          <w:color w:val="auto"/>
        </w:rPr>
        <w:t>If the Participant’s Service terminates for any reason except death or Disability before the completion of the Performance Period applicable to the Performance Award, such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Award shall be forfeited in its entirety; provided, however, that in the event of an involuntary termination of the Participant’s Service, the Committee, in its discretion, may waive the automatic forfeiture of all or any portion of any such Award (e.g., by determining the final value of the Performance Award in the manner provided by Section 10.7(a)) and provide for payment following the end of the Performance Period in any manner permitted by Section 10.5.</w:t>
      </w:r>
    </w:p>
    <w:p>
      <w:pPr>
        <w:spacing w:after="0" w:line="56" w:lineRule="exact"/>
        <w:rPr>
          <w:sz w:val="20"/>
          <w:szCs w:val="20"/>
          <w:color w:val="auto"/>
        </w:rPr>
      </w:pPr>
    </w:p>
    <w:p>
      <w:pPr>
        <w:ind w:right="300" w:firstLine="328"/>
        <w:spacing w:after="0" w:line="300" w:lineRule="auto"/>
        <w:rPr>
          <w:sz w:val="20"/>
          <w:szCs w:val="20"/>
          <w:color w:val="auto"/>
        </w:rPr>
      </w:pPr>
      <w:r>
        <w:rPr>
          <w:rFonts w:ascii="Arial" w:cs="Arial" w:eastAsia="Arial" w:hAnsi="Arial"/>
          <w:sz w:val="12"/>
          <w:szCs w:val="12"/>
          <w:color w:val="auto"/>
        </w:rPr>
        <w:t xml:space="preserve">10.8 </w:t>
      </w:r>
      <w:r>
        <w:rPr>
          <w:rFonts w:ascii="Arial" w:cs="Arial" w:eastAsia="Arial" w:hAnsi="Arial"/>
          <w:sz w:val="12"/>
          <w:szCs w:val="12"/>
          <w:b w:val="1"/>
          <w:bCs w:val="1"/>
          <w:color w:val="auto"/>
        </w:rPr>
        <w:t>Nontransferability of Performance Awards.</w:t>
      </w:r>
      <w:r>
        <w:rPr>
          <w:rFonts w:ascii="Arial" w:cs="Arial" w:eastAsia="Arial" w:hAnsi="Arial"/>
          <w:sz w:val="12"/>
          <w:szCs w:val="12"/>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96" w:name="page297"/>
    <w:bookmarkEnd w:id="296"/>
    <w:p>
      <w:pPr>
        <w:ind w:left="360" w:hanging="198"/>
        <w:spacing w:after="0"/>
        <w:tabs>
          <w:tab w:leader="none" w:pos="360" w:val="left"/>
        </w:tabs>
        <w:numPr>
          <w:ilvl w:val="0"/>
          <w:numId w:val="215"/>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ASH</w:t>
      </w:r>
      <w:r>
        <w:rPr>
          <w:rFonts w:ascii="Arial" w:cs="Arial" w:eastAsia="Arial" w:hAnsi="Arial"/>
          <w:sz w:val="13"/>
          <w:szCs w:val="13"/>
          <w:b w:val="1"/>
          <w:bCs w:val="1"/>
          <w:u w:val="single" w:color="auto"/>
          <w:color w:val="auto"/>
        </w:rPr>
        <w:t>-B</w:t>
      </w:r>
      <w:r>
        <w:rPr>
          <w:rFonts w:ascii="Arial" w:cs="Arial" w:eastAsia="Arial" w:hAnsi="Arial"/>
          <w:sz w:val="8"/>
          <w:szCs w:val="8"/>
          <w:b w:val="1"/>
          <w:bCs w:val="1"/>
          <w:u w:val="single" w:color="auto"/>
          <w:color w:val="auto"/>
        </w:rPr>
        <w:t>ASED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O</w:t>
      </w:r>
      <w:r>
        <w:rPr>
          <w:rFonts w:ascii="Arial" w:cs="Arial" w:eastAsia="Arial" w:hAnsi="Arial"/>
          <w:sz w:val="8"/>
          <w:szCs w:val="8"/>
          <w:b w:val="1"/>
          <w:bCs w:val="1"/>
          <w:u w:val="single" w:color="auto"/>
          <w:color w:val="auto"/>
        </w:rPr>
        <w:t>THER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w:t>
      </w:r>
      <w:r>
        <w:rPr>
          <w:rFonts w:ascii="Arial" w:cs="Arial" w:eastAsia="Arial" w:hAnsi="Arial"/>
          <w:sz w:val="13"/>
          <w:szCs w:val="13"/>
          <w:b w:val="1"/>
          <w:bCs w:val="1"/>
          <w:u w:val="single" w:color="auto"/>
          <w:color w:val="auto"/>
        </w:rPr>
        <w:t>-B</w:t>
      </w:r>
      <w:r>
        <w:rPr>
          <w:rFonts w:ascii="Arial" w:cs="Arial" w:eastAsia="Arial" w:hAnsi="Arial"/>
          <w:sz w:val="8"/>
          <w:szCs w:val="8"/>
          <w:b w:val="1"/>
          <w:bCs w:val="1"/>
          <w:u w:val="single" w:color="auto"/>
          <w:color w:val="auto"/>
        </w:rPr>
        <w:t>ASED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w:t>
      </w:r>
      <w:r>
        <w:rPr>
          <w:rFonts w:ascii="Arial" w:cs="Arial" w:eastAsia="Arial" w:hAnsi="Arial"/>
          <w:sz w:val="13"/>
          <w:szCs w:val="13"/>
          <w:b w:val="1"/>
          <w:bCs w:val="1"/>
          <w:color w:val="auto"/>
        </w:rPr>
        <w:t>.</w:t>
      </w:r>
    </w:p>
    <w:p>
      <w:pPr>
        <w:spacing w:after="0" w:line="9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Cash-Based Awards and Other Stock-Based Awards shall be evidenced by Award Agreements in such form as the Committee shall from time to time establish. Award Agreements evidencing Cash-Based Awards and Other Stock-Based Awards may incorporate all or any of the terms of the Plan by reference and shall comply with and be subject to the following terms and conditions:</w:t>
      </w:r>
    </w:p>
    <w:p>
      <w:pPr>
        <w:spacing w:after="0" w:line="45" w:lineRule="exact"/>
        <w:rPr>
          <w:sz w:val="20"/>
          <w:szCs w:val="20"/>
          <w:color w:val="auto"/>
        </w:rPr>
      </w:pPr>
    </w:p>
    <w:p>
      <w:pPr>
        <w:ind w:right="140" w:firstLine="328"/>
        <w:spacing w:after="0" w:line="283"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color w:val="auto"/>
        </w:rPr>
        <w:t>Grant of Cash-Based Awards</w:t>
      </w:r>
      <w:r>
        <w:rPr>
          <w:rFonts w:ascii="Arial" w:cs="Arial" w:eastAsia="Arial" w:hAnsi="Arial"/>
          <w:sz w:val="13"/>
          <w:szCs w:val="13"/>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41" w:lineRule="exact"/>
        <w:rPr>
          <w:sz w:val="20"/>
          <w:szCs w:val="20"/>
          <w:color w:val="auto"/>
        </w:rPr>
      </w:pPr>
    </w:p>
    <w:p>
      <w:pPr>
        <w:ind w:right="20" w:firstLine="328"/>
        <w:spacing w:after="0" w:line="262"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color w:val="auto"/>
        </w:rPr>
        <w:t>Grant of Other Stock-Based Awards</w:t>
      </w:r>
      <w:r>
        <w:rPr>
          <w:rFonts w:ascii="Arial" w:cs="Arial" w:eastAsia="Arial" w:hAnsi="Arial"/>
          <w:sz w:val="13"/>
          <w:szCs w:val="13"/>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Such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55" w:lineRule="exact"/>
        <w:rPr>
          <w:sz w:val="20"/>
          <w:szCs w:val="20"/>
          <w:color w:val="auto"/>
        </w:rPr>
      </w:pPr>
    </w:p>
    <w:p>
      <w:pPr>
        <w:ind w:firstLine="328"/>
        <w:spacing w:after="0" w:line="284"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b w:val="1"/>
          <w:bCs w:val="1"/>
          <w:color w:val="auto"/>
        </w:rPr>
        <w:t>Value of Cash-Based and Other Stock-Based Awards</w:t>
      </w:r>
      <w:r>
        <w:rPr>
          <w:rFonts w:ascii="Arial" w:cs="Arial" w:eastAsia="Arial" w:hAnsi="Arial"/>
          <w:sz w:val="12"/>
          <w:szCs w:val="12"/>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43" w:lineRule="exact"/>
        <w:rPr>
          <w:sz w:val="20"/>
          <w:szCs w:val="20"/>
          <w:color w:val="auto"/>
        </w:rPr>
      </w:pPr>
    </w:p>
    <w:p>
      <w:pPr>
        <w:ind w:right="220" w:firstLine="328"/>
        <w:spacing w:after="0" w:line="291" w:lineRule="auto"/>
        <w:rPr>
          <w:sz w:val="20"/>
          <w:szCs w:val="20"/>
          <w:color w:val="auto"/>
        </w:rPr>
      </w:pPr>
      <w:r>
        <w:rPr>
          <w:rFonts w:ascii="Arial" w:cs="Arial" w:eastAsia="Arial" w:hAnsi="Arial"/>
          <w:sz w:val="12"/>
          <w:szCs w:val="12"/>
          <w:color w:val="auto"/>
        </w:rPr>
        <w:t xml:space="preserve">11.4 </w:t>
      </w:r>
      <w:r>
        <w:rPr>
          <w:rFonts w:ascii="Arial" w:cs="Arial" w:eastAsia="Arial" w:hAnsi="Arial"/>
          <w:sz w:val="12"/>
          <w:szCs w:val="12"/>
          <w:b w:val="1"/>
          <w:bCs w:val="1"/>
          <w:color w:val="auto"/>
        </w:rPr>
        <w:t>Payment or Settlement of Cash-Based Awards and Other Stock-Based Awards</w:t>
      </w:r>
      <w:r>
        <w:rPr>
          <w:rFonts w:ascii="Arial" w:cs="Arial" w:eastAsia="Arial" w:hAnsi="Arial"/>
          <w:sz w:val="12"/>
          <w:szCs w:val="12"/>
          <w:color w:val="auto"/>
        </w:rPr>
        <w:t>.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97" w:name="page298"/>
    <w:bookmarkEnd w:id="297"/>
    <w:p>
      <w:pPr>
        <w:ind w:right="220" w:firstLine="328"/>
        <w:spacing w:after="0" w:line="318" w:lineRule="auto"/>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b w:val="1"/>
          <w:bCs w:val="1"/>
          <w:color w:val="auto"/>
        </w:rPr>
        <w:t>Voting Rights; Dividend Equivalent Rights and Distributions.</w:t>
      </w:r>
      <w:r>
        <w:rPr>
          <w:rFonts w:ascii="Arial" w:cs="Arial" w:eastAsia="Arial" w:hAnsi="Arial"/>
          <w:sz w:val="11"/>
          <w:szCs w:val="11"/>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w:t>
      </w:r>
    </w:p>
    <w:p>
      <w:pPr>
        <w:spacing w:after="0" w:line="27" w:lineRule="exact"/>
        <w:rPr>
          <w:sz w:val="20"/>
          <w:szCs w:val="20"/>
          <w:color w:val="auto"/>
        </w:rPr>
      </w:pPr>
    </w:p>
    <w:p>
      <w:pPr>
        <w:jc w:val="both"/>
        <w:ind w:firstLine="328"/>
        <w:spacing w:after="0" w:line="267" w:lineRule="auto"/>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b w:val="1"/>
          <w:bCs w:val="1"/>
          <w:color w:val="auto"/>
        </w:rPr>
        <w:t>Effect of Termination of Service</w:t>
      </w:r>
      <w:r>
        <w:rPr>
          <w:rFonts w:ascii="Arial" w:cs="Arial" w:eastAsia="Arial" w:hAnsi="Arial"/>
          <w:sz w:val="13"/>
          <w:szCs w:val="13"/>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52"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b w:val="1"/>
          <w:bCs w:val="1"/>
          <w:color w:val="auto"/>
        </w:rPr>
        <w:t>Nontransferability of Cash-Based Awards and Other Stock-Based Awards.</w:t>
      </w:r>
      <w:r>
        <w:rPr>
          <w:rFonts w:ascii="Arial" w:cs="Arial" w:eastAsia="Arial" w:hAnsi="Arial"/>
          <w:sz w:val="13"/>
          <w:szCs w:val="13"/>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applicable to such shares of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16" w:right="299" w:bottom="1440" w:gutter="0" w:footer="0" w:header="0"/>
        </w:sectPr>
      </w:pPr>
    </w:p>
    <w:bookmarkStart w:id="298" w:name="page299"/>
    <w:bookmarkEnd w:id="298"/>
    <w:p>
      <w:pPr>
        <w:ind w:left="361" w:hanging="198"/>
        <w:spacing w:after="0"/>
        <w:tabs>
          <w:tab w:leader="none" w:pos="361"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w:t>
      </w:r>
      <w:r>
        <w:rPr>
          <w:rFonts w:ascii="Arial" w:cs="Arial" w:eastAsia="Arial" w:hAnsi="Arial"/>
          <w:sz w:val="8"/>
          <w:szCs w:val="8"/>
          <w:b w:val="1"/>
          <w:bCs w:val="1"/>
          <w:u w:val="single" w:color="auto"/>
          <w:color w:val="auto"/>
        </w:rPr>
        <w:t>ONEMPLOYEE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IRECTOR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WARDS</w:t>
      </w:r>
      <w:r>
        <w:rPr>
          <w:rFonts w:ascii="Arial" w:cs="Arial" w:eastAsia="Arial" w:hAnsi="Arial"/>
          <w:sz w:val="13"/>
          <w:szCs w:val="13"/>
          <w:b w:val="1"/>
          <w:bCs w:val="1"/>
          <w:color w:val="auto"/>
        </w:rPr>
        <w:t>.</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From time to time, the Board or the Committee shall set the amount(s) and type(s) of Nonemployee Director Awards that shall be granted to all Nonemployee Directors on a periodic, nondiscriminatory basis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pursuant to the Plan, as well as the additional amount(s) and type(s) of Nonemployee Director Awards, if any, to be awarded, also on a periodic, nondiscriminatory basis, in consideration of one or more of the following:</w:t>
      </w:r>
    </w:p>
    <w:p>
      <w:pPr>
        <w:spacing w:after="0" w:line="31" w:lineRule="exact"/>
        <w:rPr>
          <w:sz w:val="20"/>
          <w:szCs w:val="20"/>
          <w:color w:val="auto"/>
        </w:rPr>
      </w:pPr>
    </w:p>
    <w:p>
      <w:pPr>
        <w:ind w:left="1" w:hanging="1"/>
        <w:spacing w:after="0" w:line="256" w:lineRule="auto"/>
        <w:tabs>
          <w:tab w:leader="none" w:pos="1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initial election or appointment of an individual to the Board as a Nonemployee Director, (b) a Nonemployee Director’s service as Chairman or Lead Director of the Board, (c) a Nonemployee Director’s service as the chairman of a committee of the Board, and (d) a Nonemployee Director’s service other than as the chairman of a committee of the Board. The terms and conditions of each Nonemployee Director Award shall comply with the applicable provisions of the Plan. Subject to the foregoing, the Board or the Committee shall grant Nonemployee Director Awards having such terms and conditions as it shall from time to time determine.</w:t>
      </w:r>
    </w:p>
    <w:p>
      <w:pPr>
        <w:spacing w:after="0" w:line="58" w:lineRule="exact"/>
        <w:rPr>
          <w:rFonts w:ascii="Arial" w:cs="Arial" w:eastAsia="Arial" w:hAnsi="Arial"/>
          <w:sz w:val="13"/>
          <w:szCs w:val="13"/>
          <w:color w:val="auto"/>
        </w:rPr>
      </w:pPr>
    </w:p>
    <w:p>
      <w:pPr>
        <w:ind w:left="361" w:hanging="198"/>
        <w:spacing w:after="0"/>
        <w:tabs>
          <w:tab w:leader="none" w:pos="361" w:val="left"/>
        </w:tabs>
        <w:numPr>
          <w:ilvl w:val="1"/>
          <w:numId w:val="217"/>
        </w:numPr>
        <w:rPr>
          <w:rFonts w:ascii="Arial" w:cs="Arial" w:eastAsia="Arial" w:hAnsi="Arial"/>
          <w:sz w:val="13"/>
          <w:szCs w:val="13"/>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TANDARD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F</w:t>
      </w:r>
      <w:r>
        <w:rPr>
          <w:rFonts w:ascii="Arial" w:cs="Arial" w:eastAsia="Arial" w:hAnsi="Arial"/>
          <w:sz w:val="8"/>
          <w:szCs w:val="8"/>
          <w:b w:val="1"/>
          <w:bCs w:val="1"/>
          <w:u w:val="single" w:color="auto"/>
          <w:color w:val="auto"/>
        </w:rPr>
        <w:t>ORMS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WARD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GREEMENT</w:t>
      </w:r>
      <w:r>
        <w:rPr>
          <w:rFonts w:ascii="Arial" w:cs="Arial" w:eastAsia="Arial" w:hAnsi="Arial"/>
          <w:sz w:val="13"/>
          <w:szCs w:val="13"/>
          <w:b w:val="1"/>
          <w:bCs w:val="1"/>
          <w:color w:val="auto"/>
        </w:rPr>
        <w:t>.</w:t>
      </w:r>
    </w:p>
    <w:p>
      <w:pPr>
        <w:spacing w:after="0" w:line="86" w:lineRule="exact"/>
        <w:rPr>
          <w:sz w:val="20"/>
          <w:szCs w:val="20"/>
          <w:color w:val="auto"/>
        </w:rPr>
      </w:pPr>
    </w:p>
    <w:p>
      <w:pPr>
        <w:jc w:val="both"/>
        <w:ind w:left="1" w:firstLine="328"/>
        <w:spacing w:after="0" w:line="300"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b w:val="1"/>
          <w:bCs w:val="1"/>
          <w:color w:val="auto"/>
        </w:rPr>
        <w:t>Award Agreements</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Any Award Agreement may consist of an appropriate form of Notice of Grant and a form of Agreement incorporated therein by reference, or such other form or forms, including electronic media, as the Committee may approve from time to time.</w:t>
      </w:r>
    </w:p>
    <w:p>
      <w:pPr>
        <w:spacing w:after="0" w:line="33" w:lineRule="exact"/>
        <w:rPr>
          <w:sz w:val="20"/>
          <w:szCs w:val="20"/>
          <w:color w:val="auto"/>
        </w:rPr>
      </w:pPr>
    </w:p>
    <w:p>
      <w:pPr>
        <w:ind w:left="1" w:right="300" w:firstLine="328"/>
        <w:spacing w:after="0" w:line="267"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b w:val="1"/>
          <w:bCs w:val="1"/>
          <w:color w:val="auto"/>
        </w:rPr>
        <w:t>Authority to Vary Terms</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52" w:lineRule="exact"/>
        <w:rPr>
          <w:sz w:val="20"/>
          <w:szCs w:val="20"/>
          <w:color w:val="auto"/>
        </w:rPr>
      </w:pPr>
    </w:p>
    <w:p>
      <w:pPr>
        <w:ind w:left="361" w:hanging="198"/>
        <w:spacing w:after="0"/>
        <w:tabs>
          <w:tab w:leader="none" w:pos="361" w:val="left"/>
        </w:tabs>
        <w:numPr>
          <w:ilvl w:val="0"/>
          <w:numId w:val="218"/>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HANGE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ONTROL</w:t>
      </w:r>
      <w:r>
        <w:rPr>
          <w:rFonts w:ascii="Arial" w:cs="Arial" w:eastAsia="Arial" w:hAnsi="Arial"/>
          <w:sz w:val="13"/>
          <w:szCs w:val="13"/>
          <w:b w:val="1"/>
          <w:bCs w:val="1"/>
          <w:color w:val="auto"/>
        </w:rPr>
        <w:t>.</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b w:val="1"/>
          <w:bCs w:val="1"/>
          <w:color w:val="auto"/>
        </w:rPr>
        <w:t>Effect of Change in Control on Awards.</w:t>
      </w:r>
      <w:r>
        <w:rPr>
          <w:rFonts w:ascii="Arial" w:cs="Arial" w:eastAsia="Arial" w:hAnsi="Arial"/>
          <w:sz w:val="13"/>
          <w:szCs w:val="13"/>
          <w:color w:val="auto"/>
        </w:rPr>
        <w:t xml:space="preserve"> Subject to the requirements and limitations of Section 409A, if applicable, the Committee may provide for any one or more of the following:</w:t>
      </w:r>
    </w:p>
    <w:p>
      <w:pPr>
        <w:spacing w:after="0" w:line="90" w:lineRule="exact"/>
        <w:rPr>
          <w:sz w:val="20"/>
          <w:szCs w:val="20"/>
          <w:color w:val="auto"/>
        </w:rPr>
      </w:pPr>
    </w:p>
    <w:p>
      <w:pPr>
        <w:ind w:left="1" w:right="160" w:firstLine="326"/>
        <w:spacing w:after="0" w:line="264" w:lineRule="auto"/>
        <w:tabs>
          <w:tab w:leader="none" w:pos="507" w:val="left"/>
        </w:tabs>
        <w:numPr>
          <w:ilvl w:val="0"/>
          <w:numId w:val="2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Accelerated Vesting. </w:t>
      </w:r>
      <w:r>
        <w:rPr>
          <w:rFonts w:ascii="Arial" w:cs="Arial" w:eastAsia="Arial" w:hAnsi="Arial"/>
          <w:sz w:val="13"/>
          <w:szCs w:val="13"/>
          <w:color w:val="auto"/>
        </w:rPr>
        <w:t>In its discretion, the Committee may provide in the grant of any Award or at any other time may take such action as it deems appropriate to provide for acceleration of the exercisability,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w:t>
      </w:r>
    </w:p>
    <w:p>
      <w:pPr>
        <w:spacing w:after="0" w:line="57" w:lineRule="exact"/>
        <w:rPr>
          <w:rFonts w:ascii="Arial" w:cs="Arial" w:eastAsia="Arial" w:hAnsi="Arial"/>
          <w:sz w:val="13"/>
          <w:szCs w:val="13"/>
          <w:color w:val="auto"/>
        </w:rPr>
      </w:pPr>
    </w:p>
    <w:p>
      <w:pPr>
        <w:ind w:left="1" w:right="200" w:firstLine="326"/>
        <w:spacing w:after="0" w:line="276" w:lineRule="auto"/>
        <w:tabs>
          <w:tab w:leader="none" w:pos="514" w:val="left"/>
        </w:tabs>
        <w:numPr>
          <w:ilvl w:val="0"/>
          <w:numId w:val="2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Assumption, Continuation or Substitution. </w:t>
      </w:r>
      <w:r>
        <w:rPr>
          <w:rFonts w:ascii="Arial" w:cs="Arial" w:eastAsia="Arial" w:hAnsi="Arial"/>
          <w:sz w:val="13"/>
          <w:szCs w:val="13"/>
          <w:color w:val="auto"/>
        </w:rPr>
        <w:t>In the event of a Change in Control, the surviving, continuing, successor, or purchasing corporation or other business entity or parent thereof, as the case may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Acquiror</w:t>
      </w:r>
      <w:r>
        <w:rPr>
          <w:rFonts w:ascii="Arial" w:cs="Arial" w:eastAsia="Arial" w:hAnsi="Arial"/>
          <w:sz w:val="13"/>
          <w:szCs w:val="13"/>
          <w:i w:val="1"/>
          <w:iCs w:val="1"/>
          <w:color w:val="auto"/>
        </w:rPr>
        <w:t>”</w:t>
      </w:r>
      <w:r>
        <w:rPr>
          <w:rFonts w:ascii="Arial" w:cs="Arial" w:eastAsia="Arial" w:hAnsi="Arial"/>
          <w:sz w:val="13"/>
          <w:szCs w:val="13"/>
          <w:color w:val="auto"/>
        </w:rPr>
        <w:t>), may, without the consent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99" w:name="page300"/>
    <w:bookmarkEnd w:id="299"/>
    <w:p>
      <w:pPr>
        <w:ind w:right="20"/>
        <w:spacing w:after="0" w:line="280" w:lineRule="auto"/>
        <w:rPr>
          <w:sz w:val="20"/>
          <w:szCs w:val="20"/>
          <w:color w:val="auto"/>
        </w:rPr>
      </w:pPr>
      <w:r>
        <w:rPr>
          <w:rFonts w:ascii="Arial" w:cs="Arial" w:eastAsia="Arial" w:hAnsi="Arial"/>
          <w:sz w:val="12"/>
          <w:szCs w:val="12"/>
          <w:color w:val="auto"/>
        </w:rPr>
        <w:t>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49" w:lineRule="exact"/>
        <w:rPr>
          <w:sz w:val="20"/>
          <w:szCs w:val="20"/>
          <w:color w:val="auto"/>
        </w:rPr>
      </w:pPr>
    </w:p>
    <w:p>
      <w:pPr>
        <w:ind w:firstLine="490"/>
        <w:spacing w:after="0" w:line="280" w:lineRule="auto"/>
        <w:tabs>
          <w:tab w:leader="none" w:pos="669" w:val="left"/>
        </w:tabs>
        <w:numPr>
          <w:ilvl w:val="0"/>
          <w:numId w:val="22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Cash-Out of Outstanding Stock-Based Awards. </w:t>
      </w:r>
      <w:r>
        <w:rPr>
          <w:rFonts w:ascii="Arial" w:cs="Arial" w:eastAsia="Arial" w:hAnsi="Arial"/>
          <w:sz w:val="12"/>
          <w:szCs w:val="12"/>
          <w:color w:val="auto"/>
        </w:rPr>
        <w:t>The Committee may, in its discretion and without the consent of any Participant, determine that, upon the occurrence of a Change in Control, each or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45" w:lineRule="exact"/>
        <w:rPr>
          <w:sz w:val="20"/>
          <w:szCs w:val="20"/>
          <w:color w:val="auto"/>
        </w:rPr>
      </w:pPr>
    </w:p>
    <w:p>
      <w:pPr>
        <w:ind w:right="120" w:firstLine="328"/>
        <w:spacing w:after="0" w:line="267" w:lineRule="auto"/>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b w:val="1"/>
          <w:bCs w:val="1"/>
          <w:color w:val="auto"/>
        </w:rPr>
        <w:t>Effect of Change in Control on Nonemployee Director Awards.</w:t>
      </w:r>
      <w:r>
        <w:rPr>
          <w:rFonts w:ascii="Arial" w:cs="Arial" w:eastAsia="Arial" w:hAnsi="Arial"/>
          <w:sz w:val="13"/>
          <w:szCs w:val="13"/>
          <w:color w:val="auto"/>
        </w:rPr>
        <w:t xml:space="preserve"> Subject to the requirements and limitations of Section 409A, if applicable, in the event of a Change in Control, each outstanding Nonemployee Director Award shall become immediately exercisable and vested in full and, except to the extent assumed, continued or substituted for pursuant to Section 14.1(b), shall be settled effective immediately prior to the time of consummation of the Change in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00" w:name="page301"/>
    <w:bookmarkEnd w:id="300"/>
    <w:p>
      <w:pPr>
        <w:ind w:left="32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b w:val="1"/>
          <w:bCs w:val="1"/>
          <w:color w:val="auto"/>
        </w:rPr>
        <w:t>Federal Excise Tax Under Section 4999 of the Code.</w:t>
      </w:r>
    </w:p>
    <w:p>
      <w:pPr>
        <w:spacing w:after="0" w:line="90" w:lineRule="exact"/>
        <w:rPr>
          <w:sz w:val="20"/>
          <w:szCs w:val="20"/>
          <w:color w:val="auto"/>
        </w:rPr>
      </w:pPr>
    </w:p>
    <w:p>
      <w:pPr>
        <w:ind w:firstLine="490"/>
        <w:spacing w:after="0" w:line="264" w:lineRule="auto"/>
        <w:tabs>
          <w:tab w:leader="none" w:pos="669" w:val="left"/>
        </w:tabs>
        <w:numPr>
          <w:ilvl w:val="1"/>
          <w:numId w:val="2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Excess Parachute Payment. </w:t>
      </w:r>
      <w:r>
        <w:rPr>
          <w:rFonts w:ascii="Arial" w:cs="Arial" w:eastAsia="Arial" w:hAnsi="Arial"/>
          <w:sz w:val="13"/>
          <w:szCs w:val="13"/>
          <w:color w:val="auto"/>
        </w:rPr>
        <w:t>In the event that any acceleration of vesting pursuant to an Award and any other payment or benefit received or to be received by a Participant would subject the Participant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excise tax pursuant to Section 4999 of the Code due to the characterization of such acceleration of vesting, payment or benefit as an “excess parachute payment” under Section 280G of the Code, the Participant may elect to reduce the amount of any acceleration of vesting called for under the Award in order to avoid such characterization.</w:t>
      </w:r>
    </w:p>
    <w:p>
      <w:pPr>
        <w:spacing w:after="0" w:line="57" w:lineRule="exact"/>
        <w:rPr>
          <w:rFonts w:ascii="Arial" w:cs="Arial" w:eastAsia="Arial" w:hAnsi="Arial"/>
          <w:sz w:val="13"/>
          <w:szCs w:val="13"/>
          <w:color w:val="auto"/>
        </w:rPr>
      </w:pPr>
    </w:p>
    <w:p>
      <w:pPr>
        <w:ind w:firstLine="490"/>
        <w:spacing w:after="0" w:line="282" w:lineRule="auto"/>
        <w:tabs>
          <w:tab w:leader="none" w:pos="677" w:val="left"/>
        </w:tabs>
        <w:numPr>
          <w:ilvl w:val="1"/>
          <w:numId w:val="22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Determination by Independent Accountants. </w:t>
      </w:r>
      <w:r>
        <w:rPr>
          <w:rFonts w:ascii="Arial" w:cs="Arial" w:eastAsia="Arial" w:hAnsi="Arial"/>
          <w:sz w:val="12"/>
          <w:szCs w:val="12"/>
          <w:color w:val="auto"/>
        </w:rPr>
        <w:t>To aid the Participant in making any election called for under Section 14.3(a), no later than the date of the occurrence of any event that might reasonably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anticipated to result in an “excess parachute payment” to the Participant as described in Section 14.3(a), the Company shall request a determination in writing by independent public accountants selected by the Company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Accountants</w:t>
      </w:r>
      <w:r>
        <w:rPr>
          <w:rFonts w:ascii="Arial" w:cs="Arial" w:eastAsia="Arial" w:hAnsi="Arial"/>
          <w:sz w:val="12"/>
          <w:szCs w:val="12"/>
          <w:i w:val="1"/>
          <w:iCs w:val="1"/>
          <w:color w:val="auto"/>
        </w:rPr>
        <w:t>”</w:t>
      </w:r>
      <w:r>
        <w:rPr>
          <w:rFonts w:ascii="Arial" w:cs="Arial" w:eastAsia="Arial" w:hAnsi="Arial"/>
          <w:sz w:val="12"/>
          <w:szCs w:val="12"/>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spacing w:after="0" w:line="45" w:lineRule="exact"/>
        <w:rPr>
          <w:rFonts w:ascii="Arial" w:cs="Arial" w:eastAsia="Arial" w:hAnsi="Arial"/>
          <w:sz w:val="12"/>
          <w:szCs w:val="12"/>
          <w:color w:val="auto"/>
        </w:rPr>
      </w:pPr>
    </w:p>
    <w:p>
      <w:pPr>
        <w:ind w:left="360" w:hanging="198"/>
        <w:spacing w:after="0"/>
        <w:tabs>
          <w:tab w:leader="none" w:pos="360" w:val="left"/>
        </w:tabs>
        <w:numPr>
          <w:ilvl w:val="0"/>
          <w:numId w:val="222"/>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OMPLIANCE WITH</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ECURITIES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L</w:t>
      </w:r>
      <w:r>
        <w:rPr>
          <w:rFonts w:ascii="Arial" w:cs="Arial" w:eastAsia="Arial" w:hAnsi="Arial"/>
          <w:sz w:val="8"/>
          <w:szCs w:val="8"/>
          <w:b w:val="1"/>
          <w:bCs w:val="1"/>
          <w:u w:val="single" w:color="auto"/>
          <w:color w:val="auto"/>
        </w:rPr>
        <w:t>AW</w:t>
      </w:r>
      <w:r>
        <w:rPr>
          <w:rFonts w:ascii="Arial" w:cs="Arial" w:eastAsia="Arial" w:hAnsi="Arial"/>
          <w:sz w:val="13"/>
          <w:szCs w:val="13"/>
          <w:b w:val="1"/>
          <w:bCs w:val="1"/>
          <w:color w:val="auto"/>
        </w:rPr>
        <w:t>.</w:t>
      </w:r>
    </w:p>
    <w:p>
      <w:pPr>
        <w:spacing w:after="0" w:line="90" w:lineRule="exact"/>
        <w:rPr>
          <w:sz w:val="20"/>
          <w:szCs w:val="20"/>
          <w:color w:val="auto"/>
        </w:rPr>
      </w:pPr>
    </w:p>
    <w:p>
      <w:pPr>
        <w:ind w:firstLine="325"/>
        <w:spacing w:after="0" w:line="310" w:lineRule="auto"/>
        <w:rPr>
          <w:sz w:val="20"/>
          <w:szCs w:val="20"/>
          <w:color w:val="auto"/>
        </w:rPr>
      </w:pPr>
      <w:r>
        <w:rPr>
          <w:rFonts w:ascii="Arial" w:cs="Arial" w:eastAsia="Arial" w:hAnsi="Arial"/>
          <w:sz w:val="11"/>
          <w:szCs w:val="11"/>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1" w:name="page302"/>
    <w:bookmarkEnd w:id="301"/>
    <w:p>
      <w:pPr>
        <w:ind w:left="360" w:hanging="198"/>
        <w:spacing w:after="0"/>
        <w:tabs>
          <w:tab w:leader="none" w:pos="360" w:val="left"/>
        </w:tabs>
        <w:numPr>
          <w:ilvl w:val="0"/>
          <w:numId w:val="223"/>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OMPLIANCE WITH</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ECTION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409A</w:t>
      </w:r>
      <w:r>
        <w:rPr>
          <w:rFonts w:ascii="Arial" w:cs="Arial" w:eastAsia="Arial" w:hAnsi="Arial"/>
          <w:sz w:val="13"/>
          <w:szCs w:val="13"/>
          <w:b w:val="1"/>
          <w:bCs w:val="1"/>
          <w:color w:val="auto"/>
        </w:rPr>
        <w:t>.</w:t>
      </w:r>
    </w:p>
    <w:p>
      <w:pPr>
        <w:spacing w:after="0" w:line="86" w:lineRule="exact"/>
        <w:rPr>
          <w:sz w:val="20"/>
          <w:szCs w:val="20"/>
          <w:color w:val="auto"/>
        </w:rPr>
      </w:pPr>
    </w:p>
    <w:p>
      <w:pPr>
        <w:ind w:right="540" w:firstLine="328"/>
        <w:spacing w:after="0" w:line="327" w:lineRule="auto"/>
        <w:rPr>
          <w:sz w:val="20"/>
          <w:szCs w:val="20"/>
          <w:color w:val="auto"/>
        </w:rPr>
      </w:pPr>
      <w:r>
        <w:rPr>
          <w:rFonts w:ascii="Arial" w:cs="Arial" w:eastAsia="Arial" w:hAnsi="Arial"/>
          <w:sz w:val="12"/>
          <w:szCs w:val="12"/>
          <w:color w:val="auto"/>
        </w:rPr>
        <w:t xml:space="preserve">16.1 </w:t>
      </w:r>
      <w:r>
        <w:rPr>
          <w:rFonts w:ascii="Arial" w:cs="Arial" w:eastAsia="Arial" w:hAnsi="Arial"/>
          <w:sz w:val="12"/>
          <w:szCs w:val="12"/>
          <w:b w:val="1"/>
          <w:bCs w:val="1"/>
          <w:color w:val="auto"/>
        </w:rPr>
        <w:t>Awards Subject to Section 409A.</w:t>
      </w:r>
      <w:r>
        <w:rPr>
          <w:rFonts w:ascii="Arial" w:cs="Arial" w:eastAsia="Arial" w:hAnsi="Arial"/>
          <w:sz w:val="12"/>
          <w:szCs w:val="12"/>
          <w:color w:val="auto"/>
        </w:rPr>
        <w:t xml:space="preserve"> The Company intends that Awards granted pursuant to the Plan shall either be exempt from or comply with Section 409A, and the Plan shall be so construed. The provisions of this Section 16 shall apply to any Award or portion thereof that constitutes or provides for payment of Section 409A Deferred Compensation. Such Awards may include, without limitation:</w:t>
      </w:r>
    </w:p>
    <w:p>
      <w:pPr>
        <w:spacing w:after="0" w:line="21" w:lineRule="exact"/>
        <w:rPr>
          <w:sz w:val="20"/>
          <w:szCs w:val="20"/>
          <w:color w:val="auto"/>
        </w:rPr>
      </w:pPr>
    </w:p>
    <w:p>
      <w:pPr>
        <w:ind w:right="120" w:firstLine="490"/>
        <w:spacing w:after="0" w:line="276" w:lineRule="auto"/>
        <w:tabs>
          <w:tab w:leader="none" w:pos="66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49" w:lineRule="exact"/>
        <w:rPr>
          <w:rFonts w:ascii="Arial" w:cs="Arial" w:eastAsia="Arial" w:hAnsi="Arial"/>
          <w:sz w:val="13"/>
          <w:szCs w:val="13"/>
          <w:color w:val="auto"/>
        </w:rPr>
      </w:pPr>
    </w:p>
    <w:p>
      <w:pPr>
        <w:jc w:val="both"/>
        <w:ind w:firstLine="490"/>
        <w:spacing w:after="0" w:line="264" w:lineRule="auto"/>
        <w:tabs>
          <w:tab w:leader="none" w:pos="67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57" w:lineRule="exact"/>
        <w:rPr>
          <w:sz w:val="20"/>
          <w:szCs w:val="20"/>
          <w:color w:val="auto"/>
        </w:rPr>
      </w:pPr>
    </w:p>
    <w:p>
      <w:pPr>
        <w:jc w:val="both"/>
        <w:ind w:right="80" w:firstLine="164"/>
        <w:spacing w:after="0" w:line="260" w:lineRule="auto"/>
        <w:rPr>
          <w:sz w:val="20"/>
          <w:szCs w:val="20"/>
          <w:color w:val="auto"/>
        </w:rPr>
      </w:pPr>
      <w:r>
        <w:rPr>
          <w:rFonts w:ascii="Arial" w:cs="Arial" w:eastAsia="Arial" w:hAnsi="Arial"/>
          <w:sz w:val="13"/>
          <w:szCs w:val="13"/>
          <w:color w:val="auto"/>
        </w:rPr>
        <w:t>Subject to the provisions of Section 409A, the term “</w:t>
      </w:r>
      <w:r>
        <w:rPr>
          <w:rFonts w:ascii="Arial" w:cs="Arial" w:eastAsia="Arial" w:hAnsi="Arial"/>
          <w:sz w:val="13"/>
          <w:szCs w:val="13"/>
          <w:b w:val="1"/>
          <w:bCs w:val="1"/>
          <w:i w:val="1"/>
          <w:iCs w:val="1"/>
          <w:color w:val="auto"/>
        </w:rPr>
        <w:t>Short-Term Deferral Period</w:t>
      </w:r>
      <w:r>
        <w:rPr>
          <w:rFonts w:ascii="Arial" w:cs="Arial" w:eastAsia="Arial" w:hAnsi="Arial"/>
          <w:sz w:val="13"/>
          <w:szCs w:val="13"/>
          <w:i w:val="1"/>
          <w:iCs w:val="1"/>
          <w:color w:val="auto"/>
        </w:rPr>
        <w:t>”</w:t>
      </w:r>
      <w:r>
        <w:rPr>
          <w:rFonts w:ascii="Arial" w:cs="Arial" w:eastAsia="Arial" w:hAnsi="Arial"/>
          <w:sz w:val="13"/>
          <w:szCs w:val="13"/>
          <w:color w:val="auto"/>
        </w:rPr>
        <w:t xml:space="preserve"> means the 2</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13"/>
          <w:szCs w:val="13"/>
          <w:color w:val="auto"/>
        </w:rPr>
        <w:t xml:space="preserve"> month period ending on the later of (i) the 15th day of the third month following the end of the Participant’s taxable year in which the right to payment under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56" w:lineRule="exact"/>
        <w:rPr>
          <w:sz w:val="20"/>
          <w:szCs w:val="20"/>
          <w:color w:val="auto"/>
        </w:rPr>
      </w:pPr>
    </w:p>
    <w:p>
      <w:pPr>
        <w:ind w:right="500" w:firstLine="328"/>
        <w:spacing w:after="0" w:line="283" w:lineRule="auto"/>
        <w:rPr>
          <w:sz w:val="20"/>
          <w:szCs w:val="20"/>
          <w:color w:val="auto"/>
        </w:rPr>
      </w:pPr>
      <w:r>
        <w:rPr>
          <w:rFonts w:ascii="Arial" w:cs="Arial" w:eastAsia="Arial" w:hAnsi="Arial"/>
          <w:sz w:val="13"/>
          <w:szCs w:val="13"/>
          <w:color w:val="auto"/>
        </w:rPr>
        <w:t xml:space="preserve">16.2 </w:t>
      </w:r>
      <w:r>
        <w:rPr>
          <w:rFonts w:ascii="Arial" w:cs="Arial" w:eastAsia="Arial" w:hAnsi="Arial"/>
          <w:sz w:val="13"/>
          <w:szCs w:val="13"/>
          <w:b w:val="1"/>
          <w:bCs w:val="1"/>
          <w:color w:val="auto"/>
        </w:rPr>
        <w:t>Deferral and/or Distribution Elections.</w:t>
      </w:r>
      <w:r>
        <w:rPr>
          <w:rFonts w:ascii="Arial" w:cs="Arial" w:eastAsia="Arial" w:hAnsi="Arial"/>
          <w:sz w:val="13"/>
          <w:szCs w:val="13"/>
          <w:color w:val="auto"/>
        </w:rPr>
        <w:t xml:space="preserve"> Except as otherwise permitted or required by Section 409A, the following rules shall apply to any compensation deferral and/or payment elections (each, an “</w:t>
      </w:r>
      <w:r>
        <w:rPr>
          <w:rFonts w:ascii="Arial" w:cs="Arial" w:eastAsia="Arial" w:hAnsi="Arial"/>
          <w:sz w:val="13"/>
          <w:szCs w:val="13"/>
          <w:b w:val="1"/>
          <w:bCs w:val="1"/>
          <w:i w:val="1"/>
          <w:iCs w:val="1"/>
          <w:color w:val="auto"/>
        </w:rPr>
        <w:t>Election</w:t>
      </w:r>
      <w:r>
        <w:rPr>
          <w:rFonts w:ascii="Arial" w:cs="Arial" w:eastAsia="Arial" w:hAnsi="Arial"/>
          <w:sz w:val="13"/>
          <w:szCs w:val="13"/>
          <w:color w:val="auto"/>
        </w:rPr>
        <w:t>”) that may be permitted or required by the Committee pursuant to an Award providing Section 409A Deferred Compensation:</w:t>
      </w:r>
    </w:p>
    <w:p>
      <w:pPr>
        <w:spacing w:after="0" w:line="45" w:lineRule="exact"/>
        <w:rPr>
          <w:sz w:val="20"/>
          <w:szCs w:val="20"/>
          <w:color w:val="auto"/>
        </w:rPr>
      </w:pPr>
    </w:p>
    <w:p>
      <w:pPr>
        <w:ind w:left="660" w:hanging="170"/>
        <w:spacing w:after="0"/>
        <w:tabs>
          <w:tab w:leader="none" w:pos="6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Elections must be in writing and specify the amount of the payment in settlement of an Award being deferred, as well as the time and form of payment as permitted by this Plan.</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Elections shall be made by the end of the Participant’s taxable year prior to the year in which services commence for which an Award may be granted to such Participant.</w:t>
      </w:r>
    </w:p>
    <w:p>
      <w:pPr>
        <w:spacing w:after="0" w:line="86" w:lineRule="exact"/>
        <w:rPr>
          <w:rFonts w:ascii="Arial" w:cs="Arial" w:eastAsia="Arial" w:hAnsi="Arial"/>
          <w:sz w:val="13"/>
          <w:szCs w:val="13"/>
          <w:color w:val="auto"/>
        </w:rPr>
      </w:pPr>
    </w:p>
    <w:p>
      <w:pPr>
        <w:ind w:right="120" w:firstLine="490"/>
        <w:spacing w:after="0" w:line="276" w:lineRule="auto"/>
        <w:tabs>
          <w:tab w:leader="none" w:pos="669" w:val="left"/>
        </w:tabs>
        <w:numPr>
          <w:ilvl w:val="0"/>
          <w:numId w:val="225"/>
        </w:numPr>
        <w:rPr>
          <w:rFonts w:ascii="Arial" w:cs="Arial" w:eastAsia="Arial" w:hAnsi="Arial"/>
          <w:sz w:val="13"/>
          <w:szCs w:val="13"/>
          <w:color w:val="auto"/>
        </w:rPr>
      </w:pPr>
      <w:r>
        <w:rPr>
          <w:rFonts w:ascii="Arial" w:cs="Arial" w:eastAsia="Arial" w:hAnsi="Arial"/>
          <w:sz w:val="13"/>
          <w:szCs w:val="13"/>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16.3.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302" w:name="page303"/>
    <w:bookmarkEnd w:id="302"/>
    <w:p>
      <w:pPr>
        <w:ind w:left="1" w:right="40" w:firstLine="328"/>
        <w:spacing w:after="0" w:line="283" w:lineRule="auto"/>
        <w:rPr>
          <w:sz w:val="20"/>
          <w:szCs w:val="20"/>
          <w:color w:val="auto"/>
        </w:rPr>
      </w:pPr>
      <w:r>
        <w:rPr>
          <w:rFonts w:ascii="Arial" w:cs="Arial" w:eastAsia="Arial" w:hAnsi="Arial"/>
          <w:sz w:val="13"/>
          <w:szCs w:val="13"/>
          <w:color w:val="auto"/>
        </w:rPr>
        <w:t xml:space="preserve">16.3 </w:t>
      </w:r>
      <w:r>
        <w:rPr>
          <w:rFonts w:ascii="Arial" w:cs="Arial" w:eastAsia="Arial" w:hAnsi="Arial"/>
          <w:sz w:val="13"/>
          <w:szCs w:val="13"/>
          <w:b w:val="1"/>
          <w:bCs w:val="1"/>
          <w:color w:val="auto"/>
        </w:rPr>
        <w:t>Subsequent Elections</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45" w:lineRule="exact"/>
        <w:rPr>
          <w:sz w:val="20"/>
          <w:szCs w:val="20"/>
          <w:color w:val="auto"/>
        </w:rPr>
      </w:pPr>
    </w:p>
    <w:p>
      <w:pPr>
        <w:ind w:left="661" w:hanging="170"/>
        <w:spacing w:after="0"/>
        <w:tabs>
          <w:tab w:leader="none" w:pos="661" w:val="left"/>
        </w:tabs>
        <w:numPr>
          <w:ilvl w:val="1"/>
          <w:numId w:val="226"/>
        </w:numPr>
        <w:rPr>
          <w:rFonts w:ascii="Arial" w:cs="Arial" w:eastAsia="Arial" w:hAnsi="Arial"/>
          <w:sz w:val="13"/>
          <w:szCs w:val="13"/>
          <w:color w:val="auto"/>
        </w:rPr>
      </w:pPr>
      <w:r>
        <w:rPr>
          <w:rFonts w:ascii="Arial" w:cs="Arial" w:eastAsia="Arial" w:hAnsi="Arial"/>
          <w:sz w:val="13"/>
          <w:szCs w:val="13"/>
          <w:color w:val="auto"/>
        </w:rPr>
        <w:t>No subsequent Election may take effect until at least twelve (12) months after the date on which the subsequent Election is made.</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1"/>
          <w:numId w:val="226"/>
        </w:numPr>
        <w:rPr>
          <w:rFonts w:ascii="Arial" w:cs="Arial" w:eastAsia="Arial" w:hAnsi="Arial"/>
          <w:sz w:val="11"/>
          <w:szCs w:val="11"/>
          <w:color w:val="auto"/>
        </w:rPr>
      </w:pPr>
      <w:r>
        <w:rPr>
          <w:rFonts w:ascii="Arial" w:cs="Arial" w:eastAsia="Arial" w:hAnsi="Arial"/>
          <w:sz w:val="11"/>
          <w:szCs w:val="11"/>
          <w:color w:val="auto"/>
        </w:rPr>
        <w:t>Each subsequent Election related to a payment in settlement of an Award not described in Section 16.4(a)(ii), 16.4(a)(iii) or 16.4(a)(vi) must result in a delay of the payment for a period of not less than five</w:t>
      </w:r>
    </w:p>
    <w:p>
      <w:pPr>
        <w:spacing w:after="0" w:line="38" w:lineRule="exact"/>
        <w:rPr>
          <w:rFonts w:ascii="Arial" w:cs="Arial" w:eastAsia="Arial" w:hAnsi="Arial"/>
          <w:sz w:val="11"/>
          <w:szCs w:val="11"/>
          <w:color w:val="auto"/>
        </w:rPr>
      </w:pPr>
    </w:p>
    <w:p>
      <w:pPr>
        <w:ind w:left="181" w:hanging="181"/>
        <w:spacing w:after="0"/>
        <w:tabs>
          <w:tab w:leader="none" w:pos="18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years from the date on which such payment would otherwise have been made.</w:t>
      </w:r>
    </w:p>
    <w:p>
      <w:pPr>
        <w:spacing w:after="0" w:line="78" w:lineRule="exact"/>
        <w:rPr>
          <w:rFonts w:ascii="Arial" w:cs="Arial" w:eastAsia="Arial" w:hAnsi="Arial"/>
          <w:sz w:val="13"/>
          <w:szCs w:val="13"/>
          <w:color w:val="auto"/>
        </w:rPr>
      </w:pPr>
    </w:p>
    <w:p>
      <w:pPr>
        <w:ind w:left="661" w:hanging="170"/>
        <w:spacing w:after="0"/>
        <w:tabs>
          <w:tab w:leader="none" w:pos="661" w:val="left"/>
        </w:tabs>
        <w:numPr>
          <w:ilvl w:val="1"/>
          <w:numId w:val="227"/>
        </w:numPr>
        <w:rPr>
          <w:rFonts w:ascii="Arial" w:cs="Arial" w:eastAsia="Arial" w:hAnsi="Arial"/>
          <w:sz w:val="12"/>
          <w:szCs w:val="12"/>
          <w:color w:val="auto"/>
        </w:rPr>
      </w:pPr>
      <w:r>
        <w:rPr>
          <w:rFonts w:ascii="Arial" w:cs="Arial" w:eastAsia="Arial" w:hAnsi="Arial"/>
          <w:sz w:val="12"/>
          <w:szCs w:val="12"/>
          <w:color w:val="auto"/>
        </w:rPr>
        <w:t>No subsequent Election related to a payment pursuant to Section 16.4(a)(iv) shall be made less than twelve (12) months before the date on which such payment would otherwise have been made.</w:t>
      </w:r>
    </w:p>
    <w:p>
      <w:pPr>
        <w:spacing w:after="0" w:line="97" w:lineRule="exact"/>
        <w:rPr>
          <w:rFonts w:ascii="Arial" w:cs="Arial" w:eastAsia="Arial" w:hAnsi="Arial"/>
          <w:sz w:val="12"/>
          <w:szCs w:val="12"/>
          <w:color w:val="auto"/>
        </w:rPr>
      </w:pPr>
    </w:p>
    <w:p>
      <w:pPr>
        <w:ind w:left="1" w:right="20" w:firstLine="490"/>
        <w:spacing w:after="0" w:line="276" w:lineRule="auto"/>
        <w:tabs>
          <w:tab w:leader="none" w:pos="678" w:val="left"/>
        </w:tabs>
        <w:numPr>
          <w:ilvl w:val="1"/>
          <w:numId w:val="227"/>
        </w:numPr>
        <w:rPr>
          <w:rFonts w:ascii="Arial" w:cs="Arial" w:eastAsia="Arial" w:hAnsi="Arial"/>
          <w:sz w:val="13"/>
          <w:szCs w:val="13"/>
          <w:color w:val="auto"/>
        </w:rPr>
      </w:pPr>
      <w:r>
        <w:rPr>
          <w:rFonts w:ascii="Arial" w:cs="Arial" w:eastAsia="Arial" w:hAnsi="Arial"/>
          <w:sz w:val="13"/>
          <w:szCs w:val="13"/>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16.3.</w:t>
      </w:r>
    </w:p>
    <w:p>
      <w:pPr>
        <w:spacing w:after="0" w:line="45"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16.4 </w:t>
      </w:r>
      <w:r>
        <w:rPr>
          <w:rFonts w:ascii="Arial" w:cs="Arial" w:eastAsia="Arial" w:hAnsi="Arial"/>
          <w:sz w:val="13"/>
          <w:szCs w:val="13"/>
          <w:b w:val="1"/>
          <w:bCs w:val="1"/>
          <w:color w:val="auto"/>
        </w:rPr>
        <w:t>Payment of Section 409A Deferred Compensation</w:t>
      </w:r>
      <w:r>
        <w:rPr>
          <w:rFonts w:ascii="Arial" w:cs="Arial" w:eastAsia="Arial" w:hAnsi="Arial"/>
          <w:sz w:val="13"/>
          <w:szCs w:val="13"/>
          <w:b w:val="1"/>
          <w:bCs w:val="1"/>
          <w:i w:val="1"/>
          <w:iCs w:val="1"/>
          <w:color w:val="auto"/>
        </w:rPr>
        <w:t>.</w:t>
      </w:r>
    </w:p>
    <w:p>
      <w:pPr>
        <w:spacing w:after="0" w:line="90" w:lineRule="exact"/>
        <w:rPr>
          <w:sz w:val="20"/>
          <w:szCs w:val="20"/>
          <w:color w:val="auto"/>
        </w:rPr>
      </w:pPr>
    </w:p>
    <w:p>
      <w:pPr>
        <w:ind w:left="1" w:right="180" w:firstLine="490"/>
        <w:spacing w:after="0" w:line="276" w:lineRule="auto"/>
        <w:tabs>
          <w:tab w:leader="none" w:pos="671" w:val="left"/>
        </w:tabs>
        <w:numPr>
          <w:ilvl w:val="0"/>
          <w:numId w:val="2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Permissible Payments. </w:t>
      </w:r>
      <w:r>
        <w:rPr>
          <w:rFonts w:ascii="Arial" w:cs="Arial" w:eastAsia="Arial" w:hAnsi="Arial"/>
          <w:sz w:val="13"/>
          <w:szCs w:val="13"/>
          <w:color w:val="auto"/>
        </w:rPr>
        <w:t>Except as otherwise permitted or required by Section 409A, an Award providing Section 409A Deferred Compensation must provide for payment in settlement of the Award only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upon one or more of the following:</w:t>
      </w:r>
    </w:p>
    <w:p>
      <w:pPr>
        <w:spacing w:after="0" w:line="49" w:lineRule="exact"/>
        <w:rPr>
          <w:rFonts w:ascii="Arial" w:cs="Arial" w:eastAsia="Arial" w:hAnsi="Arial"/>
          <w:sz w:val="13"/>
          <w:szCs w:val="13"/>
          <w:color w:val="auto"/>
        </w:rPr>
      </w:pPr>
    </w:p>
    <w:p>
      <w:pPr>
        <w:ind w:left="801" w:hanging="146"/>
        <w:spacing w:after="0"/>
        <w:tabs>
          <w:tab w:leader="none" w:pos="80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The Participant’s “separation from service” (as such term is defined by Section 409A);</w:t>
      </w:r>
    </w:p>
    <w:p>
      <w:pPr>
        <w:spacing w:after="0" w:line="86" w:lineRule="exact"/>
        <w:rPr>
          <w:rFonts w:ascii="Arial" w:cs="Arial" w:eastAsia="Arial" w:hAnsi="Arial"/>
          <w:sz w:val="13"/>
          <w:szCs w:val="13"/>
          <w:color w:val="auto"/>
        </w:rPr>
      </w:pPr>
    </w:p>
    <w:p>
      <w:pPr>
        <w:ind w:left="841" w:hanging="186"/>
        <w:spacing w:after="0"/>
        <w:tabs>
          <w:tab w:leader="none" w:pos="84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The Participant’s becoming “disabled” (as such term is defined by Section 409A);</w:t>
      </w:r>
    </w:p>
    <w:p>
      <w:pPr>
        <w:spacing w:after="0" w:line="86" w:lineRule="exact"/>
        <w:rPr>
          <w:rFonts w:ascii="Arial" w:cs="Arial" w:eastAsia="Arial" w:hAnsi="Arial"/>
          <w:sz w:val="13"/>
          <w:szCs w:val="13"/>
          <w:color w:val="auto"/>
        </w:rPr>
      </w:pPr>
    </w:p>
    <w:p>
      <w:pPr>
        <w:ind w:left="881" w:hanging="226"/>
        <w:spacing w:after="0"/>
        <w:tabs>
          <w:tab w:leader="none" w:pos="88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The Participant’s death;</w:t>
      </w:r>
    </w:p>
    <w:p>
      <w:pPr>
        <w:spacing w:after="0" w:line="86" w:lineRule="exact"/>
        <w:rPr>
          <w:rFonts w:ascii="Arial" w:cs="Arial" w:eastAsia="Arial" w:hAnsi="Arial"/>
          <w:sz w:val="13"/>
          <w:szCs w:val="13"/>
          <w:color w:val="auto"/>
        </w:rPr>
      </w:pPr>
    </w:p>
    <w:p>
      <w:pPr>
        <w:ind w:left="1" w:right="120" w:firstLine="654"/>
        <w:spacing w:after="0" w:line="276" w:lineRule="auto"/>
        <w:tabs>
          <w:tab w:leader="none" w:pos="87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A time or fixed schedule that is either (i) specified by the Committee upon the grant of an Award and set forth in the Award Agreement evidencing such Award or (ii) specified by the Participant in an Election complying with the requirements of Section 16.2 or 16.3, as applicable;</w:t>
      </w:r>
    </w:p>
    <w:p>
      <w:pPr>
        <w:spacing w:after="0" w:line="49" w:lineRule="exact"/>
        <w:rPr>
          <w:rFonts w:ascii="Arial" w:cs="Arial" w:eastAsia="Arial" w:hAnsi="Arial"/>
          <w:sz w:val="13"/>
          <w:szCs w:val="13"/>
          <w:color w:val="auto"/>
        </w:rPr>
      </w:pPr>
    </w:p>
    <w:p>
      <w:pPr>
        <w:ind w:left="841" w:hanging="186"/>
        <w:spacing w:after="0"/>
        <w:tabs>
          <w:tab w:leader="none" w:pos="841" w:val="left"/>
        </w:tabs>
        <w:numPr>
          <w:ilvl w:val="1"/>
          <w:numId w:val="228"/>
        </w:numPr>
        <w:rPr>
          <w:rFonts w:ascii="Arial" w:cs="Arial" w:eastAsia="Arial" w:hAnsi="Arial"/>
          <w:sz w:val="12"/>
          <w:szCs w:val="12"/>
          <w:color w:val="auto"/>
        </w:rPr>
      </w:pPr>
      <w:r>
        <w:rPr>
          <w:rFonts w:ascii="Arial" w:cs="Arial" w:eastAsia="Arial" w:hAnsi="Arial"/>
          <w:sz w:val="12"/>
          <w:szCs w:val="12"/>
          <w:color w:val="auto"/>
        </w:rPr>
        <w:t>A change in the ownership or effective control or the Company or in the ownership of a substantial portion of the assets of the Company determined in accordance with Section 409A; or</w:t>
      </w:r>
    </w:p>
    <w:p>
      <w:pPr>
        <w:spacing w:after="0" w:line="97" w:lineRule="exact"/>
        <w:rPr>
          <w:rFonts w:ascii="Arial" w:cs="Arial" w:eastAsia="Arial" w:hAnsi="Arial"/>
          <w:sz w:val="12"/>
          <w:szCs w:val="12"/>
          <w:color w:val="auto"/>
        </w:rPr>
      </w:pPr>
    </w:p>
    <w:p>
      <w:pPr>
        <w:ind w:left="881" w:hanging="226"/>
        <w:spacing w:after="0"/>
        <w:tabs>
          <w:tab w:leader="none" w:pos="881" w:val="left"/>
        </w:tabs>
        <w:numPr>
          <w:ilvl w:val="1"/>
          <w:numId w:val="228"/>
        </w:numPr>
        <w:rPr>
          <w:rFonts w:ascii="Arial" w:cs="Arial" w:eastAsia="Arial" w:hAnsi="Arial"/>
          <w:sz w:val="13"/>
          <w:szCs w:val="13"/>
          <w:color w:val="auto"/>
        </w:rPr>
      </w:pPr>
      <w:r>
        <w:rPr>
          <w:rFonts w:ascii="Arial" w:cs="Arial" w:eastAsia="Arial" w:hAnsi="Arial"/>
          <w:sz w:val="13"/>
          <w:szCs w:val="13"/>
          <w:color w:val="auto"/>
        </w:rPr>
        <w:t>The occurrence of an “unforeseeable emergency” (as such term is defined by Section 409A).</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303" w:name="page304"/>
    <w:bookmarkEnd w:id="303"/>
    <w:p>
      <w:pPr>
        <w:ind w:left="-80" w:firstLine="490"/>
        <w:spacing w:after="0" w:line="322" w:lineRule="auto"/>
        <w:tabs>
          <w:tab w:leader="none" w:pos="597" w:val="left"/>
        </w:tabs>
        <w:numPr>
          <w:ilvl w:val="0"/>
          <w:numId w:val="22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Required Delay in Payment to Specified Employee Pursuant to Separation from Service. </w:t>
      </w:r>
      <w:r>
        <w:rPr>
          <w:rFonts w:ascii="Arial" w:cs="Arial" w:eastAsia="Arial" w:hAnsi="Arial"/>
          <w:sz w:val="11"/>
          <w:szCs w:val="11"/>
          <w:color w:val="auto"/>
        </w:rPr>
        <w:t>Notwithstanding any provision of the Plan or an Award Agreement to the contrary, except as otherwise permitted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by Section 409A, no payment pursuant to Section 16.4(a)(i) in settlement of an Award providing for Section 409A Deferred Compensation may be made to a Participant who is a “specified employee” (as such term is defined by Section 409A) as of the date of the Participant’s separation from service before the date (the </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Delayed Payment Date</w:t>
      </w:r>
      <w:r>
        <w:rPr>
          <w:rFonts w:ascii="Arial" w:cs="Arial" w:eastAsia="Arial" w:hAnsi="Arial"/>
          <w:sz w:val="11"/>
          <w:szCs w:val="11"/>
          <w:i w:val="1"/>
          <w:iCs w:val="1"/>
          <w:color w:val="auto"/>
        </w:rPr>
        <w:t>”</w:t>
      </w:r>
      <w:r>
        <w:rPr>
          <w:rFonts w:ascii="Arial" w:cs="Arial" w:eastAsia="Arial" w:hAnsi="Arial"/>
          <w:sz w:val="11"/>
          <w:szCs w:val="11"/>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28" w:lineRule="exact"/>
        <w:rPr>
          <w:rFonts w:ascii="Arial" w:cs="Arial" w:eastAsia="Arial" w:hAnsi="Arial"/>
          <w:sz w:val="11"/>
          <w:szCs w:val="11"/>
          <w:color w:val="auto"/>
        </w:rPr>
      </w:pPr>
    </w:p>
    <w:p>
      <w:pPr>
        <w:ind w:left="-80" w:right="140" w:firstLine="490"/>
        <w:spacing w:after="0" w:line="320" w:lineRule="auto"/>
        <w:tabs>
          <w:tab w:leader="none" w:pos="589" w:val="left"/>
        </w:tabs>
        <w:numPr>
          <w:ilvl w:val="0"/>
          <w:numId w:val="2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Payment Upon Disability. </w:t>
      </w:r>
      <w:r>
        <w:rPr>
          <w:rFonts w:ascii="Arial" w:cs="Arial" w:eastAsia="Arial" w:hAnsi="Arial"/>
          <w:sz w:val="12"/>
          <w:szCs w:val="12"/>
          <w:color w:val="auto"/>
        </w:rPr>
        <w:t>All distributions payable by reason of a Participant becoming disabled shall be paid in a lump sum or in periodic installments as established by the Participant’s Election. If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Participant has made no Election with respect to distributions upon becoming disabled, all such distributions shall be paid in a lump sum upon the determination that the Participant has become disabled.</w:t>
      </w:r>
    </w:p>
    <w:p>
      <w:pPr>
        <w:spacing w:after="0" w:line="21" w:lineRule="exact"/>
        <w:rPr>
          <w:rFonts w:ascii="Arial" w:cs="Arial" w:eastAsia="Arial" w:hAnsi="Arial"/>
          <w:sz w:val="12"/>
          <w:szCs w:val="12"/>
          <w:color w:val="auto"/>
        </w:rPr>
      </w:pPr>
    </w:p>
    <w:p>
      <w:pPr>
        <w:ind w:left="-80" w:right="60" w:firstLine="490"/>
        <w:spacing w:after="0" w:line="300" w:lineRule="auto"/>
        <w:tabs>
          <w:tab w:leader="none" w:pos="597" w:val="left"/>
        </w:tabs>
        <w:numPr>
          <w:ilvl w:val="0"/>
          <w:numId w:val="229"/>
        </w:numPr>
        <w:rPr>
          <w:rFonts w:ascii="Arial" w:cs="Arial" w:eastAsia="Arial" w:hAnsi="Arial"/>
          <w:sz w:val="12"/>
          <w:szCs w:val="12"/>
          <w:color w:val="auto"/>
        </w:rPr>
      </w:pPr>
      <w:r>
        <w:rPr>
          <w:rFonts w:ascii="Arial" w:cs="Arial" w:eastAsia="Arial" w:hAnsi="Arial"/>
          <w:sz w:val="12"/>
          <w:szCs w:val="12"/>
          <w:b w:val="1"/>
          <w:bCs w:val="1"/>
          <w:i w:val="1"/>
          <w:iCs w:val="1"/>
          <w:color w:val="auto"/>
        </w:rPr>
        <w:t>Payment Upon Death</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If a Participant dies before complete distribution of amounts payable upon settlement of an Award subject to Section 409A, such undistributed amounts shall be distributed to his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her beneficiary under the distribution method for death established by the Participant’s Election upon receipt by the Committee of satisfactory notice and confirmation of the Participant’s death. If the Participant has made no Election with respect to distributions upon death, all such distributions shall be paid in a lump sum upon receipt by the Committee of satisfactory notice and confirmation of the Participant’s death.</w:t>
      </w:r>
    </w:p>
    <w:p>
      <w:pPr>
        <w:spacing w:after="0" w:line="36" w:lineRule="exact"/>
        <w:rPr>
          <w:rFonts w:ascii="Arial" w:cs="Arial" w:eastAsia="Arial" w:hAnsi="Arial"/>
          <w:sz w:val="12"/>
          <w:szCs w:val="12"/>
          <w:color w:val="auto"/>
        </w:rPr>
      </w:pPr>
    </w:p>
    <w:p>
      <w:pPr>
        <w:ind w:left="-80" w:right="100" w:firstLine="490"/>
        <w:spacing w:after="0" w:line="264" w:lineRule="auto"/>
        <w:tabs>
          <w:tab w:leader="none" w:pos="589" w:val="left"/>
        </w:tabs>
        <w:numPr>
          <w:ilvl w:val="0"/>
          <w:numId w:val="2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Payment Upon Change in Control. </w:t>
      </w:r>
      <w:r>
        <w:rPr>
          <w:rFonts w:ascii="Arial" w:cs="Arial" w:eastAsia="Arial" w:hAnsi="Arial"/>
          <w:sz w:val="13"/>
          <w:szCs w:val="13"/>
          <w:color w:val="auto"/>
        </w:rPr>
        <w:t>Notwithstanding any provision of the Plan or an Award Agreement to the contrary, to the extent that any amount constituting Section 409A Deferred Compensation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57" w:lineRule="exact"/>
        <w:rPr>
          <w:rFonts w:ascii="Arial" w:cs="Arial" w:eastAsia="Arial" w:hAnsi="Arial"/>
          <w:sz w:val="13"/>
          <w:szCs w:val="13"/>
          <w:color w:val="auto"/>
        </w:rPr>
      </w:pPr>
    </w:p>
    <w:p>
      <w:pPr>
        <w:ind w:left="-80" w:right="120" w:firstLine="490"/>
        <w:spacing w:after="0" w:line="256" w:lineRule="auto"/>
        <w:tabs>
          <w:tab w:leader="none" w:pos="575" w:val="left"/>
        </w:tabs>
        <w:numPr>
          <w:ilvl w:val="0"/>
          <w:numId w:val="2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Payment Upon Unforeseeable Emergency. </w:t>
      </w:r>
      <w:r>
        <w:rPr>
          <w:rFonts w:ascii="Arial" w:cs="Arial" w:eastAsia="Arial" w:hAnsi="Arial"/>
          <w:sz w:val="13"/>
          <w:szCs w:val="13"/>
          <w:color w:val="auto"/>
        </w:rPr>
        <w:t>The Committee shall have the authority to provide in the Award Agreement evidencing any Award providing for Section 409A Deferred Compensation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as soon as practicable following the Committee’s determination that an unforeseeable emergency has occurred. The Committee’s decision with respect to whether an unforeseeable emergency has occurred and the manner 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107315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00" w:top="721" w:right="279" w:bottom="1440" w:gutter="0" w:footer="0" w:header="0"/>
        </w:sectPr>
      </w:pPr>
    </w:p>
    <w:bookmarkStart w:id="304" w:name="page305"/>
    <w:bookmarkEnd w:id="304"/>
    <w:p>
      <w:pPr>
        <w:spacing w:after="0"/>
        <w:rPr>
          <w:sz w:val="20"/>
          <w:szCs w:val="20"/>
          <w:color w:val="auto"/>
        </w:rPr>
      </w:pPr>
      <w:r>
        <w:rPr>
          <w:rFonts w:ascii="Arial" w:cs="Arial" w:eastAsia="Arial" w:hAnsi="Arial"/>
          <w:sz w:val="13"/>
          <w:szCs w:val="13"/>
          <w:color w:val="auto"/>
        </w:rPr>
        <w:t>which, if at all, the payment in settlement of an Award shall be altered or modified, shall be final, conclusive, and not subject to approval or appeal.</w:t>
      </w:r>
    </w:p>
    <w:p>
      <w:pPr>
        <w:spacing w:after="0" w:line="86" w:lineRule="exact"/>
        <w:rPr>
          <w:sz w:val="20"/>
          <w:szCs w:val="20"/>
          <w:color w:val="auto"/>
        </w:rPr>
      </w:pPr>
    </w:p>
    <w:p>
      <w:pPr>
        <w:ind w:right="420" w:firstLine="490"/>
        <w:spacing w:after="0" w:line="276" w:lineRule="auto"/>
        <w:tabs>
          <w:tab w:leader="none" w:pos="677" w:val="left"/>
        </w:tabs>
        <w:numPr>
          <w:ilvl w:val="1"/>
          <w:numId w:val="23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Prohibition of Acceleration of Payments. </w:t>
      </w:r>
      <w:r>
        <w:rPr>
          <w:rFonts w:ascii="Arial" w:cs="Arial" w:eastAsia="Arial" w:hAnsi="Arial"/>
          <w:sz w:val="13"/>
          <w:szCs w:val="13"/>
          <w:color w:val="auto"/>
        </w:rPr>
        <w:t>Notwithstanding any provision of the Plan or an Award Agreement to the contrary, this Plan does not permit the acceleration of the time or schedule of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 under an Award providing Section 409A Deferred Compensation, except as permitted by Section 409A.</w:t>
      </w:r>
    </w:p>
    <w:p>
      <w:pPr>
        <w:spacing w:after="0" w:line="45" w:lineRule="exact"/>
        <w:rPr>
          <w:rFonts w:ascii="Arial" w:cs="Arial" w:eastAsia="Arial" w:hAnsi="Arial"/>
          <w:sz w:val="13"/>
          <w:szCs w:val="13"/>
          <w:color w:val="auto"/>
        </w:rPr>
      </w:pPr>
    </w:p>
    <w:p>
      <w:pPr>
        <w:ind w:left="360" w:hanging="198"/>
        <w:spacing w:after="0"/>
        <w:tabs>
          <w:tab w:leader="none" w:pos="360" w:val="left"/>
        </w:tabs>
        <w:numPr>
          <w:ilvl w:val="0"/>
          <w:numId w:val="231"/>
        </w:numPr>
        <w:rPr>
          <w:rFonts w:ascii="Arial" w:cs="Arial" w:eastAsia="Arial" w:hAnsi="Arial"/>
          <w:sz w:val="13"/>
          <w:szCs w:val="13"/>
          <w:color w:val="auto"/>
        </w:rPr>
      </w:pP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AX</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W</w:t>
      </w:r>
      <w:r>
        <w:rPr>
          <w:rFonts w:ascii="Arial" w:cs="Arial" w:eastAsia="Arial" w:hAnsi="Arial"/>
          <w:sz w:val="8"/>
          <w:szCs w:val="8"/>
          <w:b w:val="1"/>
          <w:bCs w:val="1"/>
          <w:u w:val="single" w:color="auto"/>
          <w:color w:val="auto"/>
        </w:rPr>
        <w:t>ITHHOLDING</w:t>
      </w:r>
      <w:r>
        <w:rPr>
          <w:rFonts w:ascii="Arial" w:cs="Arial" w:eastAsia="Arial" w:hAnsi="Arial"/>
          <w:sz w:val="13"/>
          <w:szCs w:val="13"/>
          <w:b w:val="1"/>
          <w:bCs w:val="1"/>
          <w:color w:val="auto"/>
        </w:rPr>
        <w:t>.</w:t>
      </w:r>
    </w:p>
    <w:p>
      <w:pPr>
        <w:spacing w:after="0" w:line="86"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17.1 </w:t>
      </w:r>
      <w:r>
        <w:rPr>
          <w:rFonts w:ascii="Arial" w:cs="Arial" w:eastAsia="Arial" w:hAnsi="Arial"/>
          <w:sz w:val="13"/>
          <w:szCs w:val="13"/>
          <w:b w:val="1"/>
          <w:bCs w:val="1"/>
          <w:color w:val="auto"/>
        </w:rPr>
        <w:t>Tax Withholding in General.</w:t>
      </w:r>
      <w:r>
        <w:rPr>
          <w:rFonts w:ascii="Arial" w:cs="Arial" w:eastAsia="Arial" w:hAnsi="Arial"/>
          <w:sz w:val="13"/>
          <w:szCs w:val="13"/>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55" w:lineRule="exact"/>
        <w:rPr>
          <w:sz w:val="20"/>
          <w:szCs w:val="20"/>
          <w:color w:val="auto"/>
        </w:rPr>
      </w:pPr>
    </w:p>
    <w:p>
      <w:pPr>
        <w:ind w:right="40" w:firstLine="328"/>
        <w:spacing w:after="0" w:line="338" w:lineRule="auto"/>
        <w:rPr>
          <w:sz w:val="20"/>
          <w:szCs w:val="20"/>
          <w:color w:val="auto"/>
        </w:rPr>
      </w:pPr>
      <w:r>
        <w:rPr>
          <w:rFonts w:ascii="Arial" w:cs="Arial" w:eastAsia="Arial" w:hAnsi="Arial"/>
          <w:sz w:val="11"/>
          <w:szCs w:val="11"/>
          <w:color w:val="auto"/>
        </w:rPr>
        <w:t xml:space="preserve">17.2 </w:t>
      </w:r>
      <w:r>
        <w:rPr>
          <w:rFonts w:ascii="Arial" w:cs="Arial" w:eastAsia="Arial" w:hAnsi="Arial"/>
          <w:sz w:val="11"/>
          <w:szCs w:val="11"/>
          <w:b w:val="1"/>
          <w:bCs w:val="1"/>
          <w:color w:val="auto"/>
        </w:rPr>
        <w:t>Withholding in Shares.</w:t>
      </w:r>
      <w:r>
        <w:rPr>
          <w:rFonts w:ascii="Arial" w:cs="Arial" w:eastAsia="Arial" w:hAnsi="Arial"/>
          <w:sz w:val="11"/>
          <w:szCs w:val="11"/>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w:t>
      </w:r>
    </w:p>
    <w:p>
      <w:pPr>
        <w:spacing w:after="0" w:line="16" w:lineRule="exact"/>
        <w:rPr>
          <w:sz w:val="20"/>
          <w:szCs w:val="20"/>
          <w:color w:val="auto"/>
        </w:rPr>
      </w:pPr>
    </w:p>
    <w:p>
      <w:pPr>
        <w:ind w:left="360" w:hanging="198"/>
        <w:spacing w:after="0"/>
        <w:tabs>
          <w:tab w:leader="none" w:pos="360" w:val="left"/>
        </w:tabs>
        <w:numPr>
          <w:ilvl w:val="0"/>
          <w:numId w:val="232"/>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MENDMENT 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ERMINATION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90" w:lineRule="exact"/>
        <w:rPr>
          <w:sz w:val="20"/>
          <w:szCs w:val="20"/>
          <w:color w:val="auto"/>
        </w:rPr>
      </w:pPr>
    </w:p>
    <w:p>
      <w:pPr>
        <w:ind w:right="20" w:firstLine="325"/>
        <w:spacing w:after="0" w:line="281" w:lineRule="auto"/>
        <w:rPr>
          <w:sz w:val="20"/>
          <w:szCs w:val="20"/>
          <w:color w:val="auto"/>
        </w:rPr>
      </w:pPr>
      <w:r>
        <w:rPr>
          <w:rFonts w:ascii="Arial" w:cs="Arial" w:eastAsia="Arial" w:hAnsi="Arial"/>
          <w:sz w:val="12"/>
          <w:szCs w:val="12"/>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4.4), (b) no change in the class of persons eligible to receive Incentive Stock Options, and (c) no other amendment of the Plan that would require approval of the Company’s stockholders under any applicable law, regulation or rule, including the rules of any stock exchange or market system upon which the Stock may then be listed. No amendment, suspension or termination of the Plan shall affect any then outstanding Award unless expressly provided by the Committee. Except as provided by the next sentence, no amendment, suspension or termination of the Plan may adversely affect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05" w:name="page306"/>
    <w:bookmarkEnd w:id="305"/>
    <w:p>
      <w:pPr>
        <w:ind w:left="360" w:hanging="198"/>
        <w:spacing w:after="0"/>
        <w:tabs>
          <w:tab w:leader="none" w:pos="360" w:val="left"/>
        </w:tabs>
        <w:numPr>
          <w:ilvl w:val="0"/>
          <w:numId w:val="233"/>
        </w:numPr>
        <w:rPr>
          <w:rFonts w:ascii="Arial" w:cs="Arial" w:eastAsia="Arial" w:hAnsi="Arial"/>
          <w:sz w:val="13"/>
          <w:szCs w:val="13"/>
          <w:color w:val="auto"/>
        </w:rPr>
      </w:pPr>
      <w:r>
        <w:rPr>
          <w:rFonts w:ascii="Arial" w:cs="Arial" w:eastAsia="Arial" w:hAnsi="Arial"/>
          <w:sz w:val="13"/>
          <w:szCs w:val="13"/>
          <w:b w:val="1"/>
          <w:bCs w:val="1"/>
          <w:u w:val="single" w:color="auto"/>
          <w:color w:val="auto"/>
        </w:rPr>
        <w:t>M</w:t>
      </w:r>
      <w:r>
        <w:rPr>
          <w:rFonts w:ascii="Arial" w:cs="Arial" w:eastAsia="Arial" w:hAnsi="Arial"/>
          <w:sz w:val="8"/>
          <w:szCs w:val="8"/>
          <w:b w:val="1"/>
          <w:bCs w:val="1"/>
          <w:u w:val="single" w:color="auto"/>
          <w:color w:val="auto"/>
        </w:rPr>
        <w:t>ISCELLANEOUS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ROVISIONS</w:t>
      </w:r>
      <w:r>
        <w:rPr>
          <w:rFonts w:ascii="Arial" w:cs="Arial" w:eastAsia="Arial" w:hAnsi="Arial"/>
          <w:sz w:val="13"/>
          <w:szCs w:val="13"/>
          <w:b w:val="1"/>
          <w:bCs w:val="1"/>
          <w:color w:val="auto"/>
        </w:rPr>
        <w:t>.</w:t>
      </w:r>
    </w:p>
    <w:p>
      <w:pPr>
        <w:spacing w:after="0" w:line="86" w:lineRule="exact"/>
        <w:rPr>
          <w:sz w:val="20"/>
          <w:szCs w:val="20"/>
          <w:color w:val="auto"/>
        </w:rPr>
      </w:pPr>
    </w:p>
    <w:p>
      <w:pPr>
        <w:ind w:right="80" w:firstLine="328"/>
        <w:spacing w:after="0" w:line="291" w:lineRule="auto"/>
        <w:rPr>
          <w:sz w:val="20"/>
          <w:szCs w:val="20"/>
          <w:color w:val="auto"/>
        </w:rPr>
      </w:pPr>
      <w:r>
        <w:rPr>
          <w:rFonts w:ascii="Arial" w:cs="Arial" w:eastAsia="Arial" w:hAnsi="Arial"/>
          <w:sz w:val="12"/>
          <w:szCs w:val="12"/>
          <w:color w:val="auto"/>
        </w:rPr>
        <w:t xml:space="preserve">19.1 </w:t>
      </w:r>
      <w:r>
        <w:rPr>
          <w:rFonts w:ascii="Arial" w:cs="Arial" w:eastAsia="Arial" w:hAnsi="Arial"/>
          <w:sz w:val="12"/>
          <w:szCs w:val="12"/>
          <w:b w:val="1"/>
          <w:bCs w:val="1"/>
          <w:color w:val="auto"/>
        </w:rPr>
        <w:t>Repurchase Rights</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b w:val="1"/>
          <w:bCs w:val="1"/>
          <w:color w:val="auto"/>
        </w:rPr>
        <w:t>Forfeiture Events.</w:t>
      </w:r>
    </w:p>
    <w:p>
      <w:pPr>
        <w:spacing w:after="0" w:line="90" w:lineRule="exact"/>
        <w:rPr>
          <w:sz w:val="20"/>
          <w:szCs w:val="20"/>
          <w:color w:val="auto"/>
        </w:rPr>
      </w:pPr>
    </w:p>
    <w:p>
      <w:pPr>
        <w:ind w:right="100" w:firstLine="490"/>
        <w:spacing w:after="0" w:line="264" w:lineRule="auto"/>
        <w:tabs>
          <w:tab w:leader="none" w:pos="667"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57" w:lineRule="exact"/>
        <w:rPr>
          <w:rFonts w:ascii="Arial" w:cs="Arial" w:eastAsia="Arial" w:hAnsi="Arial"/>
          <w:sz w:val="13"/>
          <w:szCs w:val="13"/>
          <w:color w:val="auto"/>
        </w:rPr>
      </w:pPr>
    </w:p>
    <w:p>
      <w:pPr>
        <w:ind w:right="100" w:firstLine="490"/>
        <w:spacing w:after="0" w:line="285" w:lineRule="auto"/>
        <w:tabs>
          <w:tab w:leader="none" w:pos="677" w:val="left"/>
        </w:tabs>
        <w:numPr>
          <w:ilvl w:val="0"/>
          <w:numId w:val="234"/>
        </w:numPr>
        <w:rPr>
          <w:rFonts w:ascii="Arial" w:cs="Arial" w:eastAsia="Arial" w:hAnsi="Arial"/>
          <w:sz w:val="12"/>
          <w:szCs w:val="12"/>
          <w:color w:val="auto"/>
        </w:rPr>
      </w:pPr>
      <w:r>
        <w:rPr>
          <w:rFonts w:ascii="Arial" w:cs="Arial" w:eastAsia="Arial" w:hAnsi="Arial"/>
          <w:sz w:val="12"/>
          <w:szCs w:val="12"/>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19.3 </w:t>
      </w:r>
      <w:r>
        <w:rPr>
          <w:rFonts w:ascii="Arial" w:cs="Arial" w:eastAsia="Arial" w:hAnsi="Arial"/>
          <w:sz w:val="12"/>
          <w:szCs w:val="12"/>
          <w:b w:val="1"/>
          <w:bCs w:val="1"/>
          <w:color w:val="auto"/>
        </w:rPr>
        <w:t>Provision of Information.</w:t>
      </w:r>
      <w:r>
        <w:rPr>
          <w:rFonts w:ascii="Arial" w:cs="Arial" w:eastAsia="Arial" w:hAnsi="Arial"/>
          <w:sz w:val="12"/>
          <w:szCs w:val="12"/>
          <w:color w:val="auto"/>
        </w:rPr>
        <w:t xml:space="preserve"> Each Participant shall be given access to information concerning the Company equivalent to that information generally made available to the Company’s common stockholders.</w:t>
      </w:r>
    </w:p>
    <w:p>
      <w:pPr>
        <w:spacing w:after="0" w:line="98" w:lineRule="exact"/>
        <w:rPr>
          <w:sz w:val="20"/>
          <w:szCs w:val="20"/>
          <w:color w:val="auto"/>
        </w:rPr>
      </w:pPr>
    </w:p>
    <w:p>
      <w:pPr>
        <w:ind w:firstLine="328"/>
        <w:spacing w:after="0" w:line="291" w:lineRule="auto"/>
        <w:rPr>
          <w:sz w:val="20"/>
          <w:szCs w:val="20"/>
          <w:color w:val="auto"/>
        </w:rPr>
      </w:pPr>
      <w:r>
        <w:rPr>
          <w:rFonts w:ascii="Arial" w:cs="Arial" w:eastAsia="Arial" w:hAnsi="Arial"/>
          <w:sz w:val="12"/>
          <w:szCs w:val="12"/>
          <w:color w:val="auto"/>
        </w:rPr>
        <w:t xml:space="preserve">19.4 </w:t>
      </w:r>
      <w:r>
        <w:rPr>
          <w:rFonts w:ascii="Arial" w:cs="Arial" w:eastAsia="Arial" w:hAnsi="Arial"/>
          <w:sz w:val="12"/>
          <w:szCs w:val="12"/>
          <w:b w:val="1"/>
          <w:bCs w:val="1"/>
          <w:color w:val="auto"/>
        </w:rPr>
        <w:t>Rights as Employee, Consultant or Director.</w:t>
      </w:r>
      <w:r>
        <w:rPr>
          <w:rFonts w:ascii="Arial" w:cs="Arial" w:eastAsia="Arial" w:hAnsi="Arial"/>
          <w:sz w:val="12"/>
          <w:szCs w:val="12"/>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6" w:name="page307"/>
    <w:bookmarkEnd w:id="306"/>
    <w:p>
      <w:pPr>
        <w:jc w:val="both"/>
        <w:ind w:firstLine="328"/>
        <w:spacing w:after="0" w:line="267" w:lineRule="auto"/>
        <w:rPr>
          <w:sz w:val="20"/>
          <w:szCs w:val="20"/>
          <w:color w:val="auto"/>
        </w:rPr>
      </w:pPr>
      <w:r>
        <w:rPr>
          <w:rFonts w:ascii="Arial" w:cs="Arial" w:eastAsia="Arial" w:hAnsi="Arial"/>
          <w:sz w:val="13"/>
          <w:szCs w:val="13"/>
          <w:color w:val="auto"/>
        </w:rPr>
        <w:t xml:space="preserve">19.5 </w:t>
      </w:r>
      <w:r>
        <w:rPr>
          <w:rFonts w:ascii="Arial" w:cs="Arial" w:eastAsia="Arial" w:hAnsi="Arial"/>
          <w:sz w:val="13"/>
          <w:szCs w:val="13"/>
          <w:b w:val="1"/>
          <w:bCs w:val="1"/>
          <w:color w:val="auto"/>
        </w:rPr>
        <w:t>Rights as a Stockholder.</w:t>
      </w:r>
      <w:r>
        <w:rPr>
          <w:rFonts w:ascii="Arial" w:cs="Arial" w:eastAsia="Arial" w:hAnsi="Arial"/>
          <w:sz w:val="13"/>
          <w:szCs w:val="13"/>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52" w:lineRule="exact"/>
        <w:rPr>
          <w:sz w:val="20"/>
          <w:szCs w:val="20"/>
          <w:color w:val="auto"/>
        </w:rPr>
      </w:pPr>
    </w:p>
    <w:p>
      <w:pPr>
        <w:ind w:right="60" w:firstLine="328"/>
        <w:spacing w:after="0" w:line="300" w:lineRule="auto"/>
        <w:rPr>
          <w:sz w:val="20"/>
          <w:szCs w:val="20"/>
          <w:color w:val="auto"/>
        </w:rPr>
      </w:pPr>
      <w:r>
        <w:rPr>
          <w:rFonts w:ascii="Arial" w:cs="Arial" w:eastAsia="Arial" w:hAnsi="Arial"/>
          <w:sz w:val="12"/>
          <w:szCs w:val="12"/>
          <w:color w:val="auto"/>
        </w:rPr>
        <w:t xml:space="preserve">19.6 </w:t>
      </w:r>
      <w:r>
        <w:rPr>
          <w:rFonts w:ascii="Arial" w:cs="Arial" w:eastAsia="Arial" w:hAnsi="Arial"/>
          <w:sz w:val="12"/>
          <w:szCs w:val="12"/>
          <w:b w:val="1"/>
          <w:bCs w:val="1"/>
          <w:color w:val="auto"/>
        </w:rPr>
        <w:t>Delivery of Title to Shares.</w:t>
      </w:r>
      <w:r>
        <w:rPr>
          <w:rFonts w:ascii="Arial" w:cs="Arial" w:eastAsia="Arial" w:hAnsi="Arial"/>
          <w:sz w:val="12"/>
          <w:szCs w:val="12"/>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19.7 </w:t>
      </w:r>
      <w:r>
        <w:rPr>
          <w:rFonts w:ascii="Arial" w:cs="Arial" w:eastAsia="Arial" w:hAnsi="Arial"/>
          <w:sz w:val="13"/>
          <w:szCs w:val="13"/>
          <w:b w:val="1"/>
          <w:bCs w:val="1"/>
          <w:color w:val="auto"/>
        </w:rPr>
        <w:t>Fractional Shares.</w:t>
      </w:r>
      <w:r>
        <w:rPr>
          <w:rFonts w:ascii="Arial" w:cs="Arial" w:eastAsia="Arial" w:hAnsi="Arial"/>
          <w:sz w:val="13"/>
          <w:szCs w:val="13"/>
          <w:color w:val="auto"/>
        </w:rPr>
        <w:t xml:space="preserve"> The Company shall not be required to issue fractional shares upon the exercise or settlement of any Award.</w:t>
      </w:r>
    </w:p>
    <w:p>
      <w:pPr>
        <w:spacing w:after="0" w:line="86" w:lineRule="exact"/>
        <w:rPr>
          <w:sz w:val="20"/>
          <w:szCs w:val="20"/>
          <w:color w:val="auto"/>
        </w:rPr>
      </w:pPr>
    </w:p>
    <w:p>
      <w:pPr>
        <w:ind w:right="20" w:firstLine="328"/>
        <w:spacing w:after="0" w:line="267" w:lineRule="auto"/>
        <w:rPr>
          <w:sz w:val="20"/>
          <w:szCs w:val="20"/>
          <w:color w:val="auto"/>
        </w:rPr>
      </w:pPr>
      <w:r>
        <w:rPr>
          <w:rFonts w:ascii="Arial" w:cs="Arial" w:eastAsia="Arial" w:hAnsi="Arial"/>
          <w:sz w:val="13"/>
          <w:szCs w:val="13"/>
          <w:color w:val="auto"/>
        </w:rPr>
        <w:t xml:space="preserve">19.8 </w:t>
      </w:r>
      <w:r>
        <w:rPr>
          <w:rFonts w:ascii="Arial" w:cs="Arial" w:eastAsia="Arial" w:hAnsi="Arial"/>
          <w:sz w:val="13"/>
          <w:szCs w:val="13"/>
          <w:b w:val="1"/>
          <w:bCs w:val="1"/>
          <w:color w:val="auto"/>
        </w:rPr>
        <w:t>Retirement and Welfare Plans</w:t>
      </w:r>
      <w:r>
        <w:rPr>
          <w:rFonts w:ascii="Arial" w:cs="Arial" w:eastAsia="Arial" w:hAnsi="Arial"/>
          <w:sz w:val="13"/>
          <w:szCs w:val="13"/>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52"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19.9 </w:t>
      </w:r>
      <w:r>
        <w:rPr>
          <w:rFonts w:ascii="Arial" w:cs="Arial" w:eastAsia="Arial" w:hAnsi="Arial"/>
          <w:sz w:val="13"/>
          <w:szCs w:val="13"/>
          <w:b w:val="1"/>
          <w:bCs w:val="1"/>
          <w:color w:val="auto"/>
        </w:rPr>
        <w:t>Beneficiary Designation.</w:t>
      </w:r>
      <w:r>
        <w:rPr>
          <w:rFonts w:ascii="Arial" w:cs="Arial" w:eastAsia="Arial" w:hAnsi="Arial"/>
          <w:sz w:val="13"/>
          <w:szCs w:val="13"/>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55" w:lineRule="exact"/>
        <w:rPr>
          <w:sz w:val="20"/>
          <w:szCs w:val="20"/>
          <w:color w:val="auto"/>
        </w:rPr>
      </w:pPr>
    </w:p>
    <w:p>
      <w:pPr>
        <w:ind w:right="60" w:firstLine="328"/>
        <w:spacing w:after="0" w:line="283" w:lineRule="auto"/>
        <w:rPr>
          <w:sz w:val="20"/>
          <w:szCs w:val="20"/>
          <w:color w:val="auto"/>
        </w:rPr>
      </w:pPr>
      <w:r>
        <w:rPr>
          <w:rFonts w:ascii="Arial" w:cs="Arial" w:eastAsia="Arial" w:hAnsi="Arial"/>
          <w:sz w:val="13"/>
          <w:szCs w:val="13"/>
          <w:color w:val="auto"/>
        </w:rPr>
        <w:t xml:space="preserve">19.10 </w:t>
      </w:r>
      <w:r>
        <w:rPr>
          <w:rFonts w:ascii="Arial" w:cs="Arial" w:eastAsia="Arial" w:hAnsi="Arial"/>
          <w:sz w:val="13"/>
          <w:szCs w:val="13"/>
          <w:b w:val="1"/>
          <w:bCs w:val="1"/>
          <w:color w:val="auto"/>
        </w:rPr>
        <w:t>Severability</w:t>
      </w:r>
      <w:r>
        <w:rPr>
          <w:rFonts w:ascii="Arial" w:cs="Arial" w:eastAsia="Arial" w:hAnsi="Arial"/>
          <w:sz w:val="13"/>
          <w:szCs w:val="13"/>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41" w:lineRule="exact"/>
        <w:rPr>
          <w:sz w:val="20"/>
          <w:szCs w:val="20"/>
          <w:color w:val="auto"/>
        </w:rPr>
      </w:pPr>
    </w:p>
    <w:p>
      <w:pPr>
        <w:ind w:firstLine="328"/>
        <w:spacing w:after="0" w:line="283" w:lineRule="auto"/>
        <w:rPr>
          <w:sz w:val="20"/>
          <w:szCs w:val="20"/>
          <w:color w:val="auto"/>
        </w:rPr>
      </w:pPr>
      <w:r>
        <w:rPr>
          <w:rFonts w:ascii="Arial" w:cs="Arial" w:eastAsia="Arial" w:hAnsi="Arial"/>
          <w:sz w:val="13"/>
          <w:szCs w:val="13"/>
          <w:color w:val="auto"/>
        </w:rPr>
        <w:t xml:space="preserve">19.11 </w:t>
      </w:r>
      <w:r>
        <w:rPr>
          <w:rFonts w:ascii="Arial" w:cs="Arial" w:eastAsia="Arial" w:hAnsi="Arial"/>
          <w:sz w:val="13"/>
          <w:szCs w:val="13"/>
          <w:b w:val="1"/>
          <w:bCs w:val="1"/>
          <w:color w:val="auto"/>
        </w:rPr>
        <w:t>No Constraint on Corporate Action.</w:t>
      </w:r>
      <w:r>
        <w:rPr>
          <w:rFonts w:ascii="Arial" w:cs="Arial" w:eastAsia="Arial" w:hAnsi="Arial"/>
          <w:sz w:val="13"/>
          <w:szCs w:val="13"/>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7" w:name="page308"/>
    <w:bookmarkEnd w:id="307"/>
    <w:p>
      <w:pPr>
        <w:spacing w:after="0"/>
        <w:rPr>
          <w:sz w:val="20"/>
          <w:szCs w:val="20"/>
          <w:color w:val="auto"/>
        </w:rPr>
      </w:pPr>
      <w:r>
        <w:rPr>
          <w:rFonts w:ascii="Arial" w:cs="Arial" w:eastAsia="Arial" w:hAnsi="Arial"/>
          <w:sz w:val="13"/>
          <w:szCs w:val="13"/>
          <w:color w:val="auto"/>
        </w:rPr>
        <w:t>all or any part of its business or assets; or (b) limit the right or power of the Company or another Participating Company to take any action which such entity deems to be necessary or appropriate.</w:t>
      </w:r>
    </w:p>
    <w:p>
      <w:pPr>
        <w:spacing w:after="0" w:line="82" w:lineRule="exact"/>
        <w:rPr>
          <w:sz w:val="20"/>
          <w:szCs w:val="20"/>
          <w:color w:val="auto"/>
        </w:rPr>
      </w:pPr>
    </w:p>
    <w:p>
      <w:pPr>
        <w:ind w:firstLine="328"/>
        <w:spacing w:after="0" w:line="314" w:lineRule="auto"/>
        <w:rPr>
          <w:sz w:val="20"/>
          <w:szCs w:val="20"/>
          <w:color w:val="auto"/>
        </w:rPr>
      </w:pPr>
      <w:r>
        <w:rPr>
          <w:rFonts w:ascii="Arial" w:cs="Arial" w:eastAsia="Arial" w:hAnsi="Arial"/>
          <w:sz w:val="11"/>
          <w:szCs w:val="11"/>
          <w:color w:val="auto"/>
        </w:rPr>
        <w:t xml:space="preserve">19.12 </w:t>
      </w:r>
      <w:r>
        <w:rPr>
          <w:rFonts w:ascii="Arial" w:cs="Arial" w:eastAsia="Arial" w:hAnsi="Arial"/>
          <w:sz w:val="11"/>
          <w:szCs w:val="11"/>
          <w:b w:val="1"/>
          <w:bCs w:val="1"/>
          <w:color w:val="auto"/>
        </w:rPr>
        <w:t>Unfunded Obligation.</w:t>
      </w:r>
      <w:r>
        <w:rPr>
          <w:rFonts w:ascii="Arial" w:cs="Arial" w:eastAsia="Arial" w:hAnsi="Arial"/>
          <w:sz w:val="11"/>
          <w:szCs w:val="11"/>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29"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19.13 </w:t>
      </w:r>
      <w:r>
        <w:rPr>
          <w:rFonts w:ascii="Arial" w:cs="Arial" w:eastAsia="Arial" w:hAnsi="Arial"/>
          <w:sz w:val="13"/>
          <w:szCs w:val="13"/>
          <w:b w:val="1"/>
          <w:bCs w:val="1"/>
          <w:color w:val="auto"/>
        </w:rPr>
        <w:t>Choice of Law.</w:t>
      </w:r>
      <w:r>
        <w:rPr>
          <w:rFonts w:ascii="Arial" w:cs="Arial" w:eastAsia="Arial" w:hAnsi="Arial"/>
          <w:sz w:val="13"/>
          <w:szCs w:val="13"/>
          <w:color w:val="auto"/>
        </w:rPr>
        <w:t xml:space="preserve"> Except to the extent governed by applicable federal law, the validity, interpretation, construction and performance of the Plan and each Award Agreement shall be governed by the laws of the State of Arizona, without regard to its conflict of law rules.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20"/>
          </w:cols>
          <w:pgMar w:left="220" w:top="721" w:right="259" w:bottom="1440" w:gutter="0" w:footer="0" w:header="0"/>
        </w:sectPr>
      </w:pPr>
    </w:p>
    <w:bookmarkStart w:id="308" w:name="page309"/>
    <w:bookmarkEnd w:id="308"/>
    <w:p>
      <w:pPr>
        <w:jc w:val="right"/>
        <w:spacing w:after="0"/>
        <w:rPr>
          <w:sz w:val="20"/>
          <w:szCs w:val="20"/>
          <w:color w:val="auto"/>
        </w:rPr>
      </w:pPr>
      <w:r>
        <w:rPr>
          <w:rFonts w:ascii="Arial" w:cs="Arial" w:eastAsia="Arial" w:hAnsi="Arial"/>
          <w:sz w:val="13"/>
          <w:szCs w:val="13"/>
          <w:b w:val="1"/>
          <w:bCs w:val="1"/>
          <w:color w:val="auto"/>
        </w:rPr>
        <w:t>Exhibit 10.5</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GRAND CANYON EDUCATION,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2008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297815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6" w:right="21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160" w:type="dxa"/>
            <w:vAlign w:val="bottom"/>
            <w:gridSpan w:val="3"/>
          </w:tcPr>
          <w:p>
            <w:pPr>
              <w:jc w:val="right"/>
              <w:ind w:right="498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267"/>
        </w:trPr>
        <w:tc>
          <w:tcPr>
            <w:tcW w:w="120" w:type="dxa"/>
            <w:vAlign w:val="bottom"/>
            <w:vMerge w:val="restart"/>
          </w:tcPr>
          <w:p>
            <w:pPr>
              <w:spacing w:after="0"/>
              <w:rPr>
                <w:sz w:val="20"/>
                <w:szCs w:val="20"/>
                <w:color w:val="auto"/>
              </w:rPr>
            </w:pPr>
            <w:r>
              <w:rPr>
                <w:rFonts w:ascii="Arial" w:cs="Arial" w:eastAsia="Arial" w:hAnsi="Arial"/>
                <w:sz w:val="13"/>
                <w:szCs w:val="13"/>
                <w:color w:val="auto"/>
                <w:w w:val="91"/>
              </w:rPr>
              <w:t>1.</w:t>
            </w:r>
          </w:p>
        </w:tc>
        <w:tc>
          <w:tcPr>
            <w:tcW w:w="4100" w:type="dxa"/>
            <w:vAlign w:val="bottom"/>
            <w:gridSpan w:val="2"/>
            <w:vMerge w:val="restart"/>
          </w:tcPr>
          <w:p>
            <w:pPr>
              <w:spacing w:after="0"/>
              <w:rPr>
                <w:sz w:val="20"/>
                <w:szCs w:val="20"/>
                <w:color w:val="auto"/>
              </w:rPr>
            </w:pPr>
            <w:r>
              <w:rPr>
                <w:rFonts w:ascii="Arial" w:cs="Arial" w:eastAsia="Arial" w:hAnsi="Arial"/>
                <w:sz w:val="13"/>
                <w:szCs w:val="13"/>
                <w:color w:val="auto"/>
              </w:rPr>
              <w:t>Establishment, Purpose and Term of Plan</w:t>
            </w:r>
          </w:p>
        </w:tc>
        <w:tc>
          <w:tcPr>
            <w:tcW w:w="646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120" w:type="dxa"/>
            <w:vAlign w:val="bottom"/>
            <w:vMerge w:val="continue"/>
          </w:tcPr>
          <w:p>
            <w:pPr>
              <w:spacing w:after="0"/>
              <w:rPr>
                <w:sz w:val="13"/>
                <w:szCs w:val="13"/>
                <w:color w:val="auto"/>
              </w:rPr>
            </w:pPr>
          </w:p>
        </w:tc>
        <w:tc>
          <w:tcPr>
            <w:tcW w:w="4100" w:type="dxa"/>
            <w:vAlign w:val="bottom"/>
            <w:gridSpan w:val="2"/>
            <w:vMerge w:val="continue"/>
          </w:tcPr>
          <w:p>
            <w:pPr>
              <w:spacing w:after="0"/>
              <w:rPr>
                <w:sz w:val="13"/>
                <w:szCs w:val="13"/>
                <w:color w:val="auto"/>
              </w:rPr>
            </w:pPr>
          </w:p>
        </w:tc>
        <w:tc>
          <w:tcPr>
            <w:tcW w:w="64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1.1</w:t>
            </w:r>
          </w:p>
        </w:tc>
        <w:tc>
          <w:tcPr>
            <w:tcW w:w="3900" w:type="dxa"/>
            <w:vAlign w:val="bottom"/>
          </w:tcPr>
          <w:p>
            <w:pPr>
              <w:ind w:left="20"/>
              <w:spacing w:after="0"/>
              <w:rPr>
                <w:sz w:val="20"/>
                <w:szCs w:val="20"/>
                <w:color w:val="auto"/>
              </w:rPr>
            </w:pPr>
            <w:r>
              <w:rPr>
                <w:rFonts w:ascii="Arial" w:cs="Arial" w:eastAsia="Arial" w:hAnsi="Arial"/>
                <w:sz w:val="13"/>
                <w:szCs w:val="13"/>
                <w:color w:val="auto"/>
              </w:rPr>
              <w:t>Establishment</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1.2</w:t>
            </w:r>
          </w:p>
        </w:tc>
        <w:tc>
          <w:tcPr>
            <w:tcW w:w="3900" w:type="dxa"/>
            <w:vAlign w:val="bottom"/>
          </w:tcPr>
          <w:p>
            <w:pPr>
              <w:ind w:left="20"/>
              <w:spacing w:after="0"/>
              <w:rPr>
                <w:sz w:val="20"/>
                <w:szCs w:val="20"/>
                <w:color w:val="auto"/>
              </w:rPr>
            </w:pPr>
            <w:r>
              <w:rPr>
                <w:rFonts w:ascii="Arial" w:cs="Arial" w:eastAsia="Arial" w:hAnsi="Arial"/>
                <w:sz w:val="13"/>
                <w:szCs w:val="13"/>
                <w:color w:val="auto"/>
              </w:rPr>
              <w:t>Purpose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1.3</w:t>
            </w:r>
          </w:p>
        </w:tc>
        <w:tc>
          <w:tcPr>
            <w:tcW w:w="3900" w:type="dxa"/>
            <w:vAlign w:val="bottom"/>
          </w:tcPr>
          <w:p>
            <w:pPr>
              <w:ind w:left="20"/>
              <w:spacing w:after="0"/>
              <w:rPr>
                <w:sz w:val="20"/>
                <w:szCs w:val="20"/>
                <w:color w:val="auto"/>
              </w:rPr>
            </w:pPr>
            <w:r>
              <w:rPr>
                <w:rFonts w:ascii="Arial" w:cs="Arial" w:eastAsia="Arial" w:hAnsi="Arial"/>
                <w:sz w:val="13"/>
                <w:szCs w:val="13"/>
                <w:color w:val="auto"/>
              </w:rPr>
              <w:t>Term of Plan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2.</w:t>
            </w:r>
          </w:p>
        </w:tc>
        <w:tc>
          <w:tcPr>
            <w:tcW w:w="4100" w:type="dxa"/>
            <w:vAlign w:val="bottom"/>
            <w:gridSpan w:val="2"/>
          </w:tcPr>
          <w:p>
            <w:pPr>
              <w:spacing w:after="0"/>
              <w:rPr>
                <w:sz w:val="20"/>
                <w:szCs w:val="20"/>
                <w:color w:val="auto"/>
              </w:rPr>
            </w:pPr>
            <w:r>
              <w:rPr>
                <w:rFonts w:ascii="Arial" w:cs="Arial" w:eastAsia="Arial" w:hAnsi="Arial"/>
                <w:sz w:val="13"/>
                <w:szCs w:val="13"/>
                <w:color w:val="auto"/>
              </w:rPr>
              <w:t>Definitions and Construction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2.1</w:t>
            </w:r>
          </w:p>
        </w:tc>
        <w:tc>
          <w:tcPr>
            <w:tcW w:w="3900" w:type="dxa"/>
            <w:vAlign w:val="bottom"/>
          </w:tcPr>
          <w:p>
            <w:pPr>
              <w:ind w:left="20"/>
              <w:spacing w:after="0"/>
              <w:rPr>
                <w:sz w:val="20"/>
                <w:szCs w:val="20"/>
                <w:color w:val="auto"/>
              </w:rPr>
            </w:pPr>
            <w:r>
              <w:rPr>
                <w:rFonts w:ascii="Arial" w:cs="Arial" w:eastAsia="Arial" w:hAnsi="Arial"/>
                <w:sz w:val="13"/>
                <w:szCs w:val="13"/>
                <w:color w:val="auto"/>
              </w:rPr>
              <w:t>Definitions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2.2</w:t>
            </w:r>
          </w:p>
        </w:tc>
        <w:tc>
          <w:tcPr>
            <w:tcW w:w="39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3.</w:t>
            </w:r>
          </w:p>
        </w:tc>
        <w:tc>
          <w:tcPr>
            <w:tcW w:w="4100" w:type="dxa"/>
            <w:vAlign w:val="bottom"/>
            <w:gridSpan w:val="2"/>
          </w:tcPr>
          <w:p>
            <w:pPr>
              <w:spacing w:after="0"/>
              <w:rPr>
                <w:sz w:val="20"/>
                <w:szCs w:val="20"/>
                <w:color w:val="auto"/>
              </w:rPr>
            </w:pPr>
            <w:r>
              <w:rPr>
                <w:rFonts w:ascii="Arial" w:cs="Arial" w:eastAsia="Arial" w:hAnsi="Arial"/>
                <w:sz w:val="13"/>
                <w:szCs w:val="13"/>
                <w:color w:val="auto"/>
              </w:rPr>
              <w:t>Administration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3.1</w:t>
            </w:r>
          </w:p>
        </w:tc>
        <w:tc>
          <w:tcPr>
            <w:tcW w:w="3900" w:type="dxa"/>
            <w:vAlign w:val="bottom"/>
          </w:tcPr>
          <w:p>
            <w:pPr>
              <w:ind w:left="20"/>
              <w:spacing w:after="0"/>
              <w:rPr>
                <w:sz w:val="20"/>
                <w:szCs w:val="20"/>
                <w:color w:val="auto"/>
              </w:rPr>
            </w:pPr>
            <w:r>
              <w:rPr>
                <w:rFonts w:ascii="Arial" w:cs="Arial" w:eastAsia="Arial" w:hAnsi="Arial"/>
                <w:sz w:val="13"/>
                <w:szCs w:val="13"/>
                <w:color w:val="auto"/>
              </w:rPr>
              <w:t>Administration by the Committee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3.2</w:t>
            </w:r>
          </w:p>
        </w:tc>
        <w:tc>
          <w:tcPr>
            <w:tcW w:w="3900" w:type="dxa"/>
            <w:vAlign w:val="bottom"/>
          </w:tcPr>
          <w:p>
            <w:pPr>
              <w:ind w:left="20"/>
              <w:spacing w:after="0"/>
              <w:rPr>
                <w:sz w:val="20"/>
                <w:szCs w:val="20"/>
                <w:color w:val="auto"/>
              </w:rPr>
            </w:pPr>
            <w:r>
              <w:rPr>
                <w:rFonts w:ascii="Arial" w:cs="Arial" w:eastAsia="Arial" w:hAnsi="Arial"/>
                <w:sz w:val="13"/>
                <w:szCs w:val="13"/>
                <w:color w:val="auto"/>
              </w:rPr>
              <w:t>Authority of Officers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3.3</w:t>
            </w:r>
          </w:p>
        </w:tc>
        <w:tc>
          <w:tcPr>
            <w:tcW w:w="3900" w:type="dxa"/>
            <w:vAlign w:val="bottom"/>
          </w:tcPr>
          <w:p>
            <w:pPr>
              <w:ind w:left="20"/>
              <w:spacing w:after="0"/>
              <w:rPr>
                <w:sz w:val="20"/>
                <w:szCs w:val="20"/>
                <w:color w:val="auto"/>
              </w:rPr>
            </w:pPr>
            <w:r>
              <w:rPr>
                <w:rFonts w:ascii="Arial" w:cs="Arial" w:eastAsia="Arial" w:hAnsi="Arial"/>
                <w:sz w:val="13"/>
                <w:szCs w:val="13"/>
                <w:color w:val="auto"/>
              </w:rPr>
              <w:t>Power to Adopt Sub-plans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3.4</w:t>
            </w:r>
          </w:p>
        </w:tc>
        <w:tc>
          <w:tcPr>
            <w:tcW w:w="3900" w:type="dxa"/>
            <w:vAlign w:val="bottom"/>
          </w:tcPr>
          <w:p>
            <w:pPr>
              <w:ind w:left="20"/>
              <w:spacing w:after="0"/>
              <w:rPr>
                <w:sz w:val="20"/>
                <w:szCs w:val="20"/>
                <w:color w:val="auto"/>
              </w:rPr>
            </w:pPr>
            <w:r>
              <w:rPr>
                <w:rFonts w:ascii="Arial" w:cs="Arial" w:eastAsia="Arial" w:hAnsi="Arial"/>
                <w:sz w:val="13"/>
                <w:szCs w:val="13"/>
                <w:color w:val="auto"/>
              </w:rPr>
              <w:t>Policies and Procedures Established by the Company</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3.5</w:t>
            </w:r>
          </w:p>
        </w:tc>
        <w:tc>
          <w:tcPr>
            <w:tcW w:w="3900" w:type="dxa"/>
            <w:vAlign w:val="bottom"/>
          </w:tcPr>
          <w:p>
            <w:pPr>
              <w:ind w:left="20"/>
              <w:spacing w:after="0"/>
              <w:rPr>
                <w:sz w:val="20"/>
                <w:szCs w:val="20"/>
                <w:color w:val="auto"/>
              </w:rPr>
            </w:pPr>
            <w:r>
              <w:rPr>
                <w:rFonts w:ascii="Arial" w:cs="Arial" w:eastAsia="Arial" w:hAnsi="Arial"/>
                <w:sz w:val="13"/>
                <w:szCs w:val="13"/>
                <w:color w:val="auto"/>
              </w:rPr>
              <w:t>Indemnification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4.</w:t>
            </w:r>
          </w:p>
        </w:tc>
        <w:tc>
          <w:tcPr>
            <w:tcW w:w="4100" w:type="dxa"/>
            <w:vAlign w:val="bottom"/>
            <w:gridSpan w:val="2"/>
          </w:tcPr>
          <w:p>
            <w:pPr>
              <w:spacing w:after="0"/>
              <w:rPr>
                <w:sz w:val="20"/>
                <w:szCs w:val="20"/>
                <w:color w:val="auto"/>
              </w:rPr>
            </w:pPr>
            <w:r>
              <w:rPr>
                <w:rFonts w:ascii="Arial" w:cs="Arial" w:eastAsia="Arial" w:hAnsi="Arial"/>
                <w:sz w:val="13"/>
                <w:szCs w:val="13"/>
                <w:color w:val="auto"/>
              </w:rPr>
              <w:t>Shares Subject to Plan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4.1</w:t>
            </w:r>
          </w:p>
        </w:tc>
        <w:tc>
          <w:tcPr>
            <w:tcW w:w="3900" w:type="dxa"/>
            <w:vAlign w:val="bottom"/>
          </w:tcPr>
          <w:p>
            <w:pPr>
              <w:ind w:left="20"/>
              <w:spacing w:after="0"/>
              <w:rPr>
                <w:sz w:val="20"/>
                <w:szCs w:val="20"/>
                <w:color w:val="auto"/>
              </w:rPr>
            </w:pPr>
            <w:r>
              <w:rPr>
                <w:rFonts w:ascii="Arial" w:cs="Arial" w:eastAsia="Arial" w:hAnsi="Arial"/>
                <w:sz w:val="13"/>
                <w:szCs w:val="13"/>
                <w:color w:val="auto"/>
              </w:rPr>
              <w:t>Maximum Number of Shares Issuable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4.2</w:t>
            </w:r>
          </w:p>
        </w:tc>
        <w:tc>
          <w:tcPr>
            <w:tcW w:w="3900" w:type="dxa"/>
            <w:vAlign w:val="bottom"/>
          </w:tcPr>
          <w:p>
            <w:pPr>
              <w:ind w:left="20"/>
              <w:spacing w:after="0"/>
              <w:rPr>
                <w:sz w:val="20"/>
                <w:szCs w:val="20"/>
                <w:color w:val="auto"/>
              </w:rPr>
            </w:pPr>
            <w:r>
              <w:rPr>
                <w:rFonts w:ascii="Arial" w:cs="Arial" w:eastAsia="Arial" w:hAnsi="Arial"/>
                <w:sz w:val="13"/>
                <w:szCs w:val="13"/>
                <w:color w:val="auto"/>
              </w:rPr>
              <w:t>Annual Increase in Maximum Number of Shares Issuable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4.3</w:t>
            </w:r>
          </w:p>
        </w:tc>
        <w:tc>
          <w:tcPr>
            <w:tcW w:w="3900" w:type="dxa"/>
            <w:vAlign w:val="bottom"/>
          </w:tcPr>
          <w:p>
            <w:pPr>
              <w:ind w:left="20"/>
              <w:spacing w:after="0"/>
              <w:rPr>
                <w:sz w:val="20"/>
                <w:szCs w:val="20"/>
                <w:color w:val="auto"/>
              </w:rPr>
            </w:pPr>
            <w:r>
              <w:rPr>
                <w:rFonts w:ascii="Arial" w:cs="Arial" w:eastAsia="Arial" w:hAnsi="Arial"/>
                <w:sz w:val="13"/>
                <w:szCs w:val="13"/>
                <w:color w:val="auto"/>
              </w:rPr>
              <w:t>Adjustments for Changes in Capital Structure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5.</w:t>
            </w:r>
          </w:p>
        </w:tc>
        <w:tc>
          <w:tcPr>
            <w:tcW w:w="4100" w:type="dxa"/>
            <w:vAlign w:val="bottom"/>
            <w:gridSpan w:val="2"/>
          </w:tcPr>
          <w:p>
            <w:pPr>
              <w:spacing w:after="0"/>
              <w:rPr>
                <w:sz w:val="20"/>
                <w:szCs w:val="20"/>
                <w:color w:val="auto"/>
              </w:rPr>
            </w:pPr>
            <w:r>
              <w:rPr>
                <w:rFonts w:ascii="Arial" w:cs="Arial" w:eastAsia="Arial" w:hAnsi="Arial"/>
                <w:sz w:val="13"/>
                <w:szCs w:val="13"/>
                <w:color w:val="auto"/>
              </w:rPr>
              <w:t>Eligibility</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5.1</w:t>
            </w:r>
          </w:p>
        </w:tc>
        <w:tc>
          <w:tcPr>
            <w:tcW w:w="3900" w:type="dxa"/>
            <w:vAlign w:val="bottom"/>
          </w:tcPr>
          <w:p>
            <w:pPr>
              <w:ind w:left="20"/>
              <w:spacing w:after="0"/>
              <w:rPr>
                <w:sz w:val="20"/>
                <w:szCs w:val="20"/>
                <w:color w:val="auto"/>
              </w:rPr>
            </w:pPr>
            <w:r>
              <w:rPr>
                <w:rFonts w:ascii="Arial" w:cs="Arial" w:eastAsia="Arial" w:hAnsi="Arial"/>
                <w:sz w:val="13"/>
                <w:szCs w:val="13"/>
                <w:color w:val="auto"/>
              </w:rPr>
              <w:t>Employees Eligible to Participate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5.2</w:t>
            </w:r>
          </w:p>
        </w:tc>
        <w:tc>
          <w:tcPr>
            <w:tcW w:w="3900" w:type="dxa"/>
            <w:vAlign w:val="bottom"/>
          </w:tcPr>
          <w:p>
            <w:pPr>
              <w:ind w:left="20"/>
              <w:spacing w:after="0"/>
              <w:rPr>
                <w:sz w:val="20"/>
                <w:szCs w:val="20"/>
                <w:color w:val="auto"/>
              </w:rPr>
            </w:pPr>
            <w:r>
              <w:rPr>
                <w:rFonts w:ascii="Arial" w:cs="Arial" w:eastAsia="Arial" w:hAnsi="Arial"/>
                <w:sz w:val="13"/>
                <w:szCs w:val="13"/>
                <w:color w:val="auto"/>
              </w:rPr>
              <w:t>Exclusion of Certain Stockholders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5.3</w:t>
            </w:r>
          </w:p>
        </w:tc>
        <w:tc>
          <w:tcPr>
            <w:tcW w:w="3900" w:type="dxa"/>
            <w:vAlign w:val="bottom"/>
          </w:tcPr>
          <w:p>
            <w:pPr>
              <w:ind w:left="20"/>
              <w:spacing w:after="0"/>
              <w:rPr>
                <w:sz w:val="20"/>
                <w:szCs w:val="20"/>
                <w:color w:val="auto"/>
              </w:rPr>
            </w:pPr>
            <w:r>
              <w:rPr>
                <w:rFonts w:ascii="Arial" w:cs="Arial" w:eastAsia="Arial" w:hAnsi="Arial"/>
                <w:sz w:val="13"/>
                <w:szCs w:val="13"/>
                <w:color w:val="auto"/>
              </w:rPr>
              <w:t>Determination by Company</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6.</w:t>
            </w:r>
          </w:p>
        </w:tc>
        <w:tc>
          <w:tcPr>
            <w:tcW w:w="4100" w:type="dxa"/>
            <w:vAlign w:val="bottom"/>
            <w:gridSpan w:val="2"/>
          </w:tcPr>
          <w:p>
            <w:pPr>
              <w:spacing w:after="0"/>
              <w:rPr>
                <w:sz w:val="20"/>
                <w:szCs w:val="20"/>
                <w:color w:val="auto"/>
              </w:rPr>
            </w:pPr>
            <w:r>
              <w:rPr>
                <w:rFonts w:ascii="Arial" w:cs="Arial" w:eastAsia="Arial" w:hAnsi="Arial"/>
                <w:sz w:val="13"/>
                <w:szCs w:val="13"/>
                <w:color w:val="auto"/>
              </w:rPr>
              <w:t>Offerings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7.</w:t>
            </w:r>
          </w:p>
        </w:tc>
        <w:tc>
          <w:tcPr>
            <w:tcW w:w="4100" w:type="dxa"/>
            <w:vAlign w:val="bottom"/>
            <w:gridSpan w:val="2"/>
          </w:tcPr>
          <w:p>
            <w:pPr>
              <w:spacing w:after="0"/>
              <w:rPr>
                <w:sz w:val="20"/>
                <w:szCs w:val="20"/>
                <w:color w:val="auto"/>
              </w:rPr>
            </w:pPr>
            <w:r>
              <w:rPr>
                <w:rFonts w:ascii="Arial" w:cs="Arial" w:eastAsia="Arial" w:hAnsi="Arial"/>
                <w:sz w:val="13"/>
                <w:szCs w:val="13"/>
                <w:color w:val="auto"/>
              </w:rPr>
              <w:t>Participation in the Plan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7.1</w:t>
            </w:r>
          </w:p>
        </w:tc>
        <w:tc>
          <w:tcPr>
            <w:tcW w:w="3900" w:type="dxa"/>
            <w:vAlign w:val="bottom"/>
          </w:tcPr>
          <w:p>
            <w:pPr>
              <w:ind w:left="20"/>
              <w:spacing w:after="0"/>
              <w:rPr>
                <w:sz w:val="20"/>
                <w:szCs w:val="20"/>
                <w:color w:val="auto"/>
              </w:rPr>
            </w:pPr>
            <w:r>
              <w:rPr>
                <w:rFonts w:ascii="Arial" w:cs="Arial" w:eastAsia="Arial" w:hAnsi="Arial"/>
                <w:sz w:val="13"/>
                <w:szCs w:val="13"/>
                <w:color w:val="auto"/>
              </w:rPr>
              <w:t>Initial Participation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7.2</w:t>
            </w:r>
          </w:p>
        </w:tc>
        <w:tc>
          <w:tcPr>
            <w:tcW w:w="3900" w:type="dxa"/>
            <w:vAlign w:val="bottom"/>
          </w:tcPr>
          <w:p>
            <w:pPr>
              <w:ind w:left="20"/>
              <w:spacing w:after="0"/>
              <w:rPr>
                <w:sz w:val="20"/>
                <w:szCs w:val="20"/>
                <w:color w:val="auto"/>
              </w:rPr>
            </w:pPr>
            <w:r>
              <w:rPr>
                <w:rFonts w:ascii="Arial" w:cs="Arial" w:eastAsia="Arial" w:hAnsi="Arial"/>
                <w:sz w:val="13"/>
                <w:szCs w:val="13"/>
                <w:color w:val="auto"/>
              </w:rPr>
              <w:t>Continued Participation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8.</w:t>
            </w:r>
          </w:p>
        </w:tc>
        <w:tc>
          <w:tcPr>
            <w:tcW w:w="4100" w:type="dxa"/>
            <w:vAlign w:val="bottom"/>
            <w:gridSpan w:val="2"/>
          </w:tcPr>
          <w:p>
            <w:pPr>
              <w:spacing w:after="0"/>
              <w:rPr>
                <w:sz w:val="20"/>
                <w:szCs w:val="20"/>
                <w:color w:val="auto"/>
              </w:rPr>
            </w:pPr>
            <w:r>
              <w:rPr>
                <w:rFonts w:ascii="Arial" w:cs="Arial" w:eastAsia="Arial" w:hAnsi="Arial"/>
                <w:sz w:val="13"/>
                <w:szCs w:val="13"/>
                <w:color w:val="auto"/>
              </w:rPr>
              <w:t>Right to Purchase Shares</w:t>
            </w:r>
          </w:p>
        </w:tc>
        <w:tc>
          <w:tcPr>
            <w:tcW w:w="71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8.1</w:t>
            </w:r>
          </w:p>
        </w:tc>
        <w:tc>
          <w:tcPr>
            <w:tcW w:w="3900" w:type="dxa"/>
            <w:vAlign w:val="bottom"/>
          </w:tcPr>
          <w:p>
            <w:pPr>
              <w:ind w:left="20"/>
              <w:spacing w:after="0"/>
              <w:rPr>
                <w:sz w:val="20"/>
                <w:szCs w:val="20"/>
                <w:color w:val="auto"/>
              </w:rPr>
            </w:pPr>
            <w:r>
              <w:rPr>
                <w:rFonts w:ascii="Arial" w:cs="Arial" w:eastAsia="Arial" w:hAnsi="Arial"/>
                <w:sz w:val="13"/>
                <w:szCs w:val="13"/>
                <w:color w:val="auto"/>
              </w:rPr>
              <w:t>Grant of Purchase Right</w:t>
            </w:r>
          </w:p>
        </w:tc>
        <w:tc>
          <w:tcPr>
            <w:tcW w:w="71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88"/>
              </w:rPr>
              <w:t>8.2</w:t>
            </w:r>
          </w:p>
        </w:tc>
        <w:tc>
          <w:tcPr>
            <w:tcW w:w="3900" w:type="dxa"/>
            <w:vAlign w:val="bottom"/>
          </w:tcPr>
          <w:p>
            <w:pPr>
              <w:ind w:left="20"/>
              <w:spacing w:after="0"/>
              <w:rPr>
                <w:sz w:val="20"/>
                <w:szCs w:val="20"/>
                <w:color w:val="auto"/>
              </w:rPr>
            </w:pPr>
            <w:r>
              <w:rPr>
                <w:rFonts w:ascii="Arial" w:cs="Arial" w:eastAsia="Arial" w:hAnsi="Arial"/>
                <w:sz w:val="13"/>
                <w:szCs w:val="13"/>
                <w:color w:val="auto"/>
              </w:rPr>
              <w:t>Calendar Year Purchase Limitation</w:t>
            </w:r>
          </w:p>
        </w:tc>
        <w:tc>
          <w:tcPr>
            <w:tcW w:w="71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20" w:type="dxa"/>
            <w:vAlign w:val="bottom"/>
          </w:tcPr>
          <w:p>
            <w:pPr>
              <w:spacing w:after="0"/>
              <w:rPr>
                <w:sz w:val="20"/>
                <w:szCs w:val="20"/>
                <w:color w:val="auto"/>
              </w:rPr>
            </w:pPr>
            <w:r>
              <w:rPr>
                <w:rFonts w:ascii="Arial" w:cs="Arial" w:eastAsia="Arial" w:hAnsi="Arial"/>
                <w:sz w:val="13"/>
                <w:szCs w:val="13"/>
                <w:color w:val="auto"/>
                <w:w w:val="91"/>
              </w:rPr>
              <w:t>9.</w:t>
            </w:r>
          </w:p>
        </w:tc>
        <w:tc>
          <w:tcPr>
            <w:tcW w:w="4100" w:type="dxa"/>
            <w:vAlign w:val="bottom"/>
            <w:gridSpan w:val="2"/>
          </w:tcPr>
          <w:p>
            <w:pPr>
              <w:spacing w:after="0"/>
              <w:rPr>
                <w:sz w:val="20"/>
                <w:szCs w:val="20"/>
                <w:color w:val="auto"/>
              </w:rPr>
            </w:pPr>
            <w:r>
              <w:rPr>
                <w:rFonts w:ascii="Arial" w:cs="Arial" w:eastAsia="Arial" w:hAnsi="Arial"/>
                <w:sz w:val="13"/>
                <w:szCs w:val="13"/>
                <w:color w:val="auto"/>
              </w:rPr>
              <w:t>Purchase Price</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15"/>
        </w:trPr>
        <w:tc>
          <w:tcPr>
            <w:tcW w:w="4220" w:type="dxa"/>
            <w:vAlign w:val="bottom"/>
            <w:gridSpan w:val="3"/>
          </w:tcPr>
          <w:p>
            <w:pPr>
              <w:spacing w:after="0"/>
              <w:rPr>
                <w:sz w:val="20"/>
                <w:szCs w:val="20"/>
                <w:color w:val="auto"/>
              </w:rPr>
            </w:pPr>
            <w:r>
              <w:rPr>
                <w:rFonts w:ascii="Arial" w:cs="Arial" w:eastAsia="Arial" w:hAnsi="Arial"/>
                <w:sz w:val="13"/>
                <w:szCs w:val="13"/>
                <w:color w:val="auto"/>
              </w:rPr>
              <w:t>10. Accumulation of Purchase Price through Payroll Deduction</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07"/>
        </w:trPr>
        <w:tc>
          <w:tcPr>
            <w:tcW w:w="12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3"/>
                <w:szCs w:val="13"/>
                <w:color w:val="auto"/>
              </w:rPr>
              <w:t>10.1 Amount of Payroll Deductions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Arial" w:cs="Arial" w:eastAsia="Arial" w:hAnsi="Arial"/>
                <w:sz w:val="13"/>
                <w:szCs w:val="13"/>
                <w:color w:val="auto"/>
              </w:rPr>
              <w:t>10.2 Commencement of Payroll Deductions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100" w:type="dxa"/>
            <w:vAlign w:val="bottom"/>
            <w:gridSpan w:val="2"/>
          </w:tcPr>
          <w:p>
            <w:pPr>
              <w:ind w:left="20"/>
              <w:spacing w:after="0"/>
              <w:rPr>
                <w:sz w:val="20"/>
                <w:szCs w:val="20"/>
                <w:color w:val="auto"/>
              </w:rPr>
            </w:pPr>
            <w:r>
              <w:rPr>
                <w:rFonts w:ascii="Arial" w:cs="Arial" w:eastAsia="Arial" w:hAnsi="Arial"/>
                <w:sz w:val="13"/>
                <w:szCs w:val="13"/>
                <w:color w:val="auto"/>
              </w:rPr>
              <w:t>10.3 Election to Decrease or Stop Payroll Deductions</w:t>
            </w:r>
          </w:p>
        </w:tc>
        <w:tc>
          <w:tcPr>
            <w:tcW w:w="71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40" w:right="31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57"/>
        </w:trPr>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920" w:type="dxa"/>
            <w:vAlign w:val="bottom"/>
            <w:gridSpan w:val="2"/>
          </w:tcPr>
          <w:p>
            <w:pPr>
              <w:jc w:val="center"/>
              <w:ind w:right="4281"/>
              <w:spacing w:after="0"/>
              <w:rPr>
                <w:sz w:val="20"/>
                <w:szCs w:val="20"/>
                <w:color w:val="auto"/>
              </w:rPr>
            </w:pPr>
            <w:r>
              <w:rPr>
                <w:rFonts w:ascii="Arial" w:cs="Arial" w:eastAsia="Arial" w:hAnsi="Arial"/>
                <w:sz w:val="13"/>
                <w:szCs w:val="13"/>
                <w:color w:val="auto"/>
                <w:w w:val="97"/>
              </w:rPr>
              <w:t>TABLE OF CONTENTS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920" w:type="dxa"/>
            <w:vAlign w:val="bottom"/>
            <w:gridSpan w:val="2"/>
          </w:tcPr>
          <w:p>
            <w:pPr>
              <w:jc w:val="center"/>
              <w:ind w:right="4261"/>
              <w:spacing w:after="0"/>
              <w:rPr>
                <w:sz w:val="20"/>
                <w:szCs w:val="20"/>
                <w:color w:val="auto"/>
              </w:rPr>
            </w:pPr>
            <w:r>
              <w:rPr>
                <w:rFonts w:ascii="Arial" w:cs="Arial" w:eastAsia="Arial" w:hAnsi="Arial"/>
                <w:sz w:val="13"/>
                <w:szCs w:val="13"/>
                <w:color w:val="auto"/>
                <w:w w:val="92"/>
              </w:rPr>
              <w:t>(continued)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10.4</w:t>
            </w:r>
          </w:p>
        </w:tc>
        <w:tc>
          <w:tcPr>
            <w:tcW w:w="4060" w:type="dxa"/>
            <w:vAlign w:val="bottom"/>
            <w:vMerge w:val="restart"/>
          </w:tcPr>
          <w:p>
            <w:pPr>
              <w:ind w:left="20"/>
              <w:spacing w:after="0"/>
              <w:rPr>
                <w:sz w:val="20"/>
                <w:szCs w:val="20"/>
                <w:color w:val="auto"/>
              </w:rPr>
            </w:pPr>
            <w:r>
              <w:rPr>
                <w:rFonts w:ascii="Arial" w:cs="Arial" w:eastAsia="Arial" w:hAnsi="Arial"/>
                <w:sz w:val="13"/>
                <w:szCs w:val="13"/>
                <w:color w:val="auto"/>
              </w:rPr>
              <w:t>Administrative Suspension of Payroll Deductions</w:t>
            </w:r>
          </w:p>
        </w:tc>
        <w:tc>
          <w:tcPr>
            <w:tcW w:w="6240" w:type="dxa"/>
            <w:vAlign w:val="bottom"/>
          </w:tcPr>
          <w:p>
            <w:pPr>
              <w:spacing w:after="0"/>
              <w:rPr>
                <w:sz w:val="23"/>
                <w:szCs w:val="23"/>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color w:val="auto"/>
              </w:rPr>
              <w:t>Page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380" w:type="dxa"/>
            <w:vAlign w:val="bottom"/>
            <w:gridSpan w:val="2"/>
            <w:vMerge w:val="continue"/>
          </w:tcPr>
          <w:p>
            <w:pPr>
              <w:spacing w:after="0"/>
              <w:rPr>
                <w:sz w:val="12"/>
                <w:szCs w:val="12"/>
                <w:color w:val="auto"/>
              </w:rPr>
            </w:pPr>
          </w:p>
        </w:tc>
        <w:tc>
          <w:tcPr>
            <w:tcW w:w="4060" w:type="dxa"/>
            <w:vAlign w:val="bottom"/>
            <w:vMerge w:val="continue"/>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10.5</w:t>
            </w:r>
          </w:p>
        </w:tc>
        <w:tc>
          <w:tcPr>
            <w:tcW w:w="4060" w:type="dxa"/>
            <w:vAlign w:val="bottom"/>
          </w:tcPr>
          <w:p>
            <w:pPr>
              <w:ind w:left="20"/>
              <w:spacing w:after="0"/>
              <w:rPr>
                <w:sz w:val="20"/>
                <w:szCs w:val="20"/>
                <w:color w:val="auto"/>
              </w:rPr>
            </w:pPr>
            <w:r>
              <w:rPr>
                <w:rFonts w:ascii="Arial" w:cs="Arial" w:eastAsia="Arial" w:hAnsi="Arial"/>
                <w:sz w:val="13"/>
                <w:szCs w:val="13"/>
                <w:color w:val="auto"/>
              </w:rPr>
              <w:t>Participant Accounts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10.6</w:t>
            </w:r>
          </w:p>
        </w:tc>
        <w:tc>
          <w:tcPr>
            <w:tcW w:w="4060" w:type="dxa"/>
            <w:vAlign w:val="bottom"/>
          </w:tcPr>
          <w:p>
            <w:pPr>
              <w:ind w:left="20"/>
              <w:spacing w:after="0"/>
              <w:rPr>
                <w:sz w:val="20"/>
                <w:szCs w:val="20"/>
                <w:color w:val="auto"/>
              </w:rPr>
            </w:pPr>
            <w:r>
              <w:rPr>
                <w:rFonts w:ascii="Arial" w:cs="Arial" w:eastAsia="Arial" w:hAnsi="Arial"/>
                <w:sz w:val="13"/>
                <w:szCs w:val="13"/>
                <w:color w:val="auto"/>
              </w:rPr>
              <w:t>No Interest Paid</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440" w:type="dxa"/>
            <w:vAlign w:val="bottom"/>
            <w:gridSpan w:val="3"/>
          </w:tcPr>
          <w:p>
            <w:pPr>
              <w:spacing w:after="0"/>
              <w:rPr>
                <w:sz w:val="20"/>
                <w:szCs w:val="20"/>
                <w:color w:val="auto"/>
              </w:rPr>
            </w:pPr>
            <w:r>
              <w:rPr>
                <w:rFonts w:ascii="Arial" w:cs="Arial" w:eastAsia="Arial" w:hAnsi="Arial"/>
                <w:sz w:val="13"/>
                <w:szCs w:val="13"/>
                <w:color w:val="auto"/>
              </w:rPr>
              <w:t>11. Purchase of Shares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11.1</w:t>
            </w:r>
          </w:p>
        </w:tc>
        <w:tc>
          <w:tcPr>
            <w:tcW w:w="4060" w:type="dxa"/>
            <w:vAlign w:val="bottom"/>
          </w:tcPr>
          <w:p>
            <w:pPr>
              <w:ind w:left="20"/>
              <w:spacing w:after="0"/>
              <w:rPr>
                <w:sz w:val="20"/>
                <w:szCs w:val="20"/>
                <w:color w:val="auto"/>
              </w:rPr>
            </w:pPr>
            <w:r>
              <w:rPr>
                <w:rFonts w:ascii="Arial" w:cs="Arial" w:eastAsia="Arial" w:hAnsi="Arial"/>
                <w:sz w:val="13"/>
                <w:szCs w:val="13"/>
                <w:color w:val="auto"/>
              </w:rPr>
              <w:t>Exercise of Purchase Right</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11.2</w:t>
            </w:r>
          </w:p>
        </w:tc>
        <w:tc>
          <w:tcPr>
            <w:tcW w:w="4060" w:type="dxa"/>
            <w:vAlign w:val="bottom"/>
          </w:tcPr>
          <w:p>
            <w:pPr>
              <w:ind w:left="20"/>
              <w:spacing w:after="0"/>
              <w:rPr>
                <w:sz w:val="20"/>
                <w:szCs w:val="20"/>
                <w:color w:val="auto"/>
              </w:rPr>
            </w:pPr>
            <w:r>
              <w:rPr>
                <w:rFonts w:ascii="Arial" w:cs="Arial" w:eastAsia="Arial" w:hAnsi="Arial"/>
                <w:sz w:val="13"/>
                <w:szCs w:val="13"/>
                <w:color w:val="auto"/>
              </w:rPr>
              <w:t>Pro Rata Allocation of Shares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11.3</w:t>
            </w:r>
          </w:p>
        </w:tc>
        <w:tc>
          <w:tcPr>
            <w:tcW w:w="4060" w:type="dxa"/>
            <w:vAlign w:val="bottom"/>
          </w:tcPr>
          <w:p>
            <w:pPr>
              <w:ind w:left="20"/>
              <w:spacing w:after="0"/>
              <w:rPr>
                <w:sz w:val="20"/>
                <w:szCs w:val="20"/>
                <w:color w:val="auto"/>
              </w:rPr>
            </w:pPr>
            <w:r>
              <w:rPr>
                <w:rFonts w:ascii="Arial" w:cs="Arial" w:eastAsia="Arial" w:hAnsi="Arial"/>
                <w:sz w:val="13"/>
                <w:szCs w:val="13"/>
                <w:color w:val="auto"/>
              </w:rPr>
              <w:t>Delivery of Certificates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4060" w:type="dxa"/>
            <w:vAlign w:val="bottom"/>
          </w:tcPr>
          <w:p>
            <w:pPr>
              <w:ind w:left="20"/>
              <w:spacing w:after="0"/>
              <w:rPr>
                <w:sz w:val="20"/>
                <w:szCs w:val="20"/>
                <w:color w:val="auto"/>
              </w:rPr>
            </w:pPr>
            <w:r>
              <w:rPr>
                <w:rFonts w:ascii="Arial" w:cs="Arial" w:eastAsia="Arial" w:hAnsi="Arial"/>
                <w:sz w:val="13"/>
                <w:szCs w:val="13"/>
                <w:color w:val="auto"/>
              </w:rPr>
              <w:t>Return of Plan Account Balance</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11.5</w:t>
            </w:r>
          </w:p>
        </w:tc>
        <w:tc>
          <w:tcPr>
            <w:tcW w:w="4060" w:type="dxa"/>
            <w:vAlign w:val="bottom"/>
          </w:tcPr>
          <w:p>
            <w:pPr>
              <w:ind w:left="20"/>
              <w:spacing w:after="0"/>
              <w:rPr>
                <w:sz w:val="20"/>
                <w:szCs w:val="20"/>
                <w:color w:val="auto"/>
              </w:rPr>
            </w:pPr>
            <w:r>
              <w:rPr>
                <w:rFonts w:ascii="Arial" w:cs="Arial" w:eastAsia="Arial" w:hAnsi="Arial"/>
                <w:sz w:val="13"/>
                <w:szCs w:val="13"/>
                <w:color w:val="auto"/>
              </w:rPr>
              <w:t>Tax Withholding</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4060" w:type="dxa"/>
            <w:vAlign w:val="bottom"/>
          </w:tcPr>
          <w:p>
            <w:pPr>
              <w:ind w:left="20"/>
              <w:spacing w:after="0"/>
              <w:rPr>
                <w:sz w:val="20"/>
                <w:szCs w:val="20"/>
                <w:color w:val="auto"/>
              </w:rPr>
            </w:pPr>
            <w:r>
              <w:rPr>
                <w:rFonts w:ascii="Arial" w:cs="Arial" w:eastAsia="Arial" w:hAnsi="Arial"/>
                <w:sz w:val="13"/>
                <w:szCs w:val="13"/>
                <w:color w:val="auto"/>
              </w:rPr>
              <w:t>Expiration of Purchase Right</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11.7</w:t>
            </w:r>
          </w:p>
        </w:tc>
        <w:tc>
          <w:tcPr>
            <w:tcW w:w="4060" w:type="dxa"/>
            <w:vAlign w:val="bottom"/>
          </w:tcPr>
          <w:p>
            <w:pPr>
              <w:ind w:left="20"/>
              <w:spacing w:after="0"/>
              <w:rPr>
                <w:sz w:val="20"/>
                <w:szCs w:val="20"/>
                <w:color w:val="auto"/>
              </w:rPr>
            </w:pPr>
            <w:r>
              <w:rPr>
                <w:rFonts w:ascii="Arial" w:cs="Arial" w:eastAsia="Arial" w:hAnsi="Arial"/>
                <w:sz w:val="13"/>
                <w:szCs w:val="13"/>
                <w:color w:val="auto"/>
              </w:rPr>
              <w:t>Provision of Reports and Stockholder Information to Participants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12.</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Withdrawal from Plan</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12.1</w:t>
            </w:r>
          </w:p>
        </w:tc>
        <w:tc>
          <w:tcPr>
            <w:tcW w:w="4060" w:type="dxa"/>
            <w:vAlign w:val="bottom"/>
          </w:tcPr>
          <w:p>
            <w:pPr>
              <w:ind w:left="20"/>
              <w:spacing w:after="0"/>
              <w:rPr>
                <w:sz w:val="20"/>
                <w:szCs w:val="20"/>
                <w:color w:val="auto"/>
              </w:rPr>
            </w:pPr>
            <w:r>
              <w:rPr>
                <w:rFonts w:ascii="Arial" w:cs="Arial" w:eastAsia="Arial" w:hAnsi="Arial"/>
                <w:sz w:val="13"/>
                <w:szCs w:val="13"/>
                <w:color w:val="auto"/>
              </w:rPr>
              <w:t>Voluntary Withdrawal from the Plan</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12.2</w:t>
            </w:r>
          </w:p>
        </w:tc>
        <w:tc>
          <w:tcPr>
            <w:tcW w:w="4060" w:type="dxa"/>
            <w:vAlign w:val="bottom"/>
          </w:tcPr>
          <w:p>
            <w:pPr>
              <w:ind w:left="20"/>
              <w:spacing w:after="0"/>
              <w:rPr>
                <w:sz w:val="20"/>
                <w:szCs w:val="20"/>
                <w:color w:val="auto"/>
              </w:rPr>
            </w:pPr>
            <w:r>
              <w:rPr>
                <w:rFonts w:ascii="Arial" w:cs="Arial" w:eastAsia="Arial" w:hAnsi="Arial"/>
                <w:sz w:val="13"/>
                <w:szCs w:val="13"/>
                <w:color w:val="auto"/>
              </w:rPr>
              <w:t>Return of Plan Account Balance</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13.</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Termination of Employment or Eligibility</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14.</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Effect of Change in Control on Purchase Rights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15.</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Nontransferability of Purchase Rights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16.</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Compliance with Securities Law</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17.</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Rights as a Stockholder and Employee</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18.</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Notification of Disposition of Shares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19.</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Legends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20.</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Designation of Beneficiary</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20.1</w:t>
            </w:r>
          </w:p>
        </w:tc>
        <w:tc>
          <w:tcPr>
            <w:tcW w:w="4060" w:type="dxa"/>
            <w:vAlign w:val="bottom"/>
          </w:tcPr>
          <w:p>
            <w:pPr>
              <w:ind w:left="20"/>
              <w:spacing w:after="0"/>
              <w:rPr>
                <w:sz w:val="20"/>
                <w:szCs w:val="20"/>
                <w:color w:val="auto"/>
              </w:rPr>
            </w:pPr>
            <w:r>
              <w:rPr>
                <w:rFonts w:ascii="Arial" w:cs="Arial" w:eastAsia="Arial" w:hAnsi="Arial"/>
                <w:sz w:val="13"/>
                <w:szCs w:val="13"/>
                <w:color w:val="auto"/>
              </w:rPr>
              <w:t>Designation Procedure</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0" w:type="dxa"/>
            <w:vAlign w:val="bottom"/>
            <w:gridSpan w:val="2"/>
          </w:tcPr>
          <w:p>
            <w:pPr>
              <w:jc w:val="right"/>
              <w:spacing w:after="0"/>
              <w:rPr>
                <w:sz w:val="20"/>
                <w:szCs w:val="20"/>
                <w:color w:val="auto"/>
              </w:rPr>
            </w:pPr>
            <w:r>
              <w:rPr>
                <w:rFonts w:ascii="Arial" w:cs="Arial" w:eastAsia="Arial" w:hAnsi="Arial"/>
                <w:sz w:val="13"/>
                <w:szCs w:val="13"/>
                <w:color w:val="auto"/>
              </w:rPr>
              <w:t>20.2</w:t>
            </w:r>
          </w:p>
        </w:tc>
        <w:tc>
          <w:tcPr>
            <w:tcW w:w="4060" w:type="dxa"/>
            <w:vAlign w:val="bottom"/>
          </w:tcPr>
          <w:p>
            <w:pPr>
              <w:ind w:left="20"/>
              <w:spacing w:after="0"/>
              <w:rPr>
                <w:sz w:val="20"/>
                <w:szCs w:val="20"/>
                <w:color w:val="auto"/>
              </w:rPr>
            </w:pPr>
            <w:r>
              <w:rPr>
                <w:rFonts w:ascii="Arial" w:cs="Arial" w:eastAsia="Arial" w:hAnsi="Arial"/>
                <w:sz w:val="13"/>
                <w:szCs w:val="13"/>
                <w:color w:val="auto"/>
              </w:rPr>
              <w:t>Absence of Beneficiary Designation</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21.</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Notices</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 w:type="dxa"/>
            <w:vAlign w:val="bottom"/>
          </w:tcPr>
          <w:p>
            <w:pPr>
              <w:spacing w:after="0"/>
              <w:rPr>
                <w:sz w:val="20"/>
                <w:szCs w:val="20"/>
                <w:color w:val="auto"/>
              </w:rPr>
            </w:pPr>
            <w:r>
              <w:rPr>
                <w:rFonts w:ascii="Arial" w:cs="Arial" w:eastAsia="Arial" w:hAnsi="Arial"/>
                <w:sz w:val="13"/>
                <w:szCs w:val="13"/>
                <w:color w:val="auto"/>
                <w:w w:val="88"/>
              </w:rPr>
              <w:t>22.</w:t>
            </w:r>
          </w:p>
        </w:tc>
        <w:tc>
          <w:tcPr>
            <w:tcW w:w="4260" w:type="dxa"/>
            <w:vAlign w:val="bottom"/>
            <w:gridSpan w:val="2"/>
          </w:tcPr>
          <w:p>
            <w:pPr>
              <w:ind w:left="20"/>
              <w:spacing w:after="0"/>
              <w:rPr>
                <w:sz w:val="20"/>
                <w:szCs w:val="20"/>
                <w:color w:val="auto"/>
              </w:rPr>
            </w:pPr>
            <w:r>
              <w:rPr>
                <w:rFonts w:ascii="Arial" w:cs="Arial" w:eastAsia="Arial" w:hAnsi="Arial"/>
                <w:sz w:val="13"/>
                <w:szCs w:val="13"/>
                <w:color w:val="auto"/>
              </w:rPr>
              <w:t>Amendment or Termination of the Plan</w:t>
            </w:r>
          </w:p>
        </w:tc>
        <w:tc>
          <w:tcPr>
            <w:tcW w:w="692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920" w:type="dxa"/>
            <w:vAlign w:val="bottom"/>
            <w:gridSpan w:val="2"/>
          </w:tcPr>
          <w:p>
            <w:pPr>
              <w:jc w:val="center"/>
              <w:ind w:right="4261"/>
              <w:spacing w:after="0"/>
              <w:rPr>
                <w:sz w:val="20"/>
                <w:szCs w:val="20"/>
                <w:color w:val="auto"/>
              </w:rPr>
            </w:pPr>
            <w:r>
              <w:rPr>
                <w:rFonts w:ascii="Arial" w:cs="Arial" w:eastAsia="Arial" w:hAnsi="Arial"/>
                <w:sz w:val="13"/>
                <w:szCs w:val="13"/>
                <w:color w:val="auto"/>
              </w:rPr>
              <w:t>-ii-</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62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11" w:name="page312"/>
    <w:bookmarkEnd w:id="311"/>
    <w:p>
      <w:pPr>
        <w:jc w:val="center"/>
        <w:ind w:right="-59"/>
        <w:spacing w:after="0"/>
        <w:rPr>
          <w:sz w:val="20"/>
          <w:szCs w:val="20"/>
          <w:color w:val="auto"/>
        </w:rPr>
      </w:pPr>
      <w:r>
        <w:rPr>
          <w:rFonts w:ascii="Arial" w:cs="Arial" w:eastAsia="Arial" w:hAnsi="Arial"/>
          <w:sz w:val="13"/>
          <w:szCs w:val="13"/>
          <w:b w:val="1"/>
          <w:bCs w:val="1"/>
          <w:color w:val="auto"/>
        </w:rPr>
        <w:t>Grand Canyon Education,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2008 Employee Stock Purchase Plan</w:t>
      </w:r>
    </w:p>
    <w:p>
      <w:pPr>
        <w:spacing w:after="0" w:line="75" w:lineRule="exact"/>
        <w:rPr>
          <w:sz w:val="20"/>
          <w:szCs w:val="20"/>
          <w:color w:val="auto"/>
        </w:rPr>
      </w:pPr>
    </w:p>
    <w:p>
      <w:pPr>
        <w:ind w:left="300" w:hanging="138"/>
        <w:spacing w:after="0"/>
        <w:tabs>
          <w:tab w:leader="none" w:pos="300" w:val="left"/>
        </w:tabs>
        <w:numPr>
          <w:ilvl w:val="0"/>
          <w:numId w:val="235"/>
        </w:numPr>
        <w:rPr>
          <w:rFonts w:ascii="Arial" w:cs="Arial" w:eastAsia="Arial" w:hAnsi="Arial"/>
          <w:sz w:val="13"/>
          <w:szCs w:val="13"/>
          <w:color w:val="auto"/>
        </w:rPr>
      </w:pP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STABLISHMENT</w:t>
      </w:r>
      <w:r>
        <w:rPr>
          <w:rFonts w:ascii="Arial" w:cs="Arial" w:eastAsia="Arial" w:hAnsi="Arial"/>
          <w:sz w:val="13"/>
          <w:szCs w:val="13"/>
          <w:b w:val="1"/>
          <w:bCs w:val="1"/>
          <w:u w:val="single" w:color="auto"/>
          <w:color w:val="auto"/>
        </w:rPr>
        <w:t>, P</w:t>
      </w:r>
      <w:r>
        <w:rPr>
          <w:rFonts w:ascii="Arial" w:cs="Arial" w:eastAsia="Arial" w:hAnsi="Arial"/>
          <w:sz w:val="8"/>
          <w:szCs w:val="8"/>
          <w:b w:val="1"/>
          <w:bCs w:val="1"/>
          <w:u w:val="single" w:color="auto"/>
          <w:color w:val="auto"/>
        </w:rPr>
        <w:t>URPOSE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ERM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86" w:lineRule="exact"/>
        <w:rPr>
          <w:sz w:val="20"/>
          <w:szCs w:val="20"/>
          <w:color w:val="auto"/>
        </w:rPr>
      </w:pPr>
    </w:p>
    <w:p>
      <w:pPr>
        <w:ind w:right="200" w:firstLine="328"/>
        <w:spacing w:after="0" w:line="283"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Establishment.</w:t>
      </w:r>
      <w:r>
        <w:rPr>
          <w:rFonts w:ascii="Arial" w:cs="Arial" w:eastAsia="Arial" w:hAnsi="Arial"/>
          <w:sz w:val="13"/>
          <w:szCs w:val="13"/>
          <w:color w:val="auto"/>
        </w:rPr>
        <w:t xml:space="preserve"> The Grand Canyon Education, Inc. 2008 Employee Stock Purchase Plan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i w:val="1"/>
          <w:iCs w:val="1"/>
          <w:color w:val="auto"/>
        </w:rPr>
        <w:t>”</w:t>
      </w:r>
      <w:r>
        <w:rPr>
          <w:rFonts w:ascii="Arial" w:cs="Arial" w:eastAsia="Arial" w:hAnsi="Arial"/>
          <w:sz w:val="13"/>
          <w:szCs w:val="13"/>
          <w:color w:val="auto"/>
        </w:rPr>
        <w:t xml:space="preserve">) is hereby established effective as of the effective date of the initial registration by the Company of its Stock under Section 12 of the Securities Exchange Act of 1934, as amended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41" w:lineRule="exact"/>
        <w:rPr>
          <w:sz w:val="20"/>
          <w:szCs w:val="20"/>
          <w:color w:val="auto"/>
        </w:rPr>
      </w:pPr>
    </w:p>
    <w:p>
      <w:pPr>
        <w:ind w:right="40" w:firstLine="328"/>
        <w:spacing w:after="0" w:line="262"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Purpose.</w:t>
      </w:r>
      <w:r>
        <w:rPr>
          <w:rFonts w:ascii="Arial" w:cs="Arial" w:eastAsia="Arial" w:hAnsi="Arial"/>
          <w:sz w:val="13"/>
          <w:szCs w:val="13"/>
          <w:color w:val="auto"/>
        </w:rPr>
        <w:t xml:space="preserve"> The purpose of the Plan is to advance the interests of the Company and its stockholders by providing an incentive to attract, retain and reward Eligible Employees of the Participating Company Group and by motivating such persons to contribute to the growth and profitability of the Participating Company Group. The Plan provides such Eligible Employees with an opportunity to acquire a proprietary interest in the Company through the purchase of Stock. The Company intends that the Plan qualify as an “employee stock purchase plan” under Section 423 of the Code (including any amendments or replacements of such section), and the Plan shall be so construed.</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Term of Plan.</w:t>
      </w:r>
      <w:r>
        <w:rPr>
          <w:rFonts w:ascii="Arial" w:cs="Arial" w:eastAsia="Arial" w:hAnsi="Arial"/>
          <w:sz w:val="13"/>
          <w:szCs w:val="13"/>
          <w:color w:val="auto"/>
        </w:rPr>
        <w:t xml:space="preserve"> The Plan shall continue in effect until its termination by the Committee.</w:t>
      </w:r>
    </w:p>
    <w:p>
      <w:pPr>
        <w:spacing w:after="0" w:line="86" w:lineRule="exact"/>
        <w:rPr>
          <w:sz w:val="20"/>
          <w:szCs w:val="20"/>
          <w:color w:val="auto"/>
        </w:rPr>
      </w:pPr>
    </w:p>
    <w:p>
      <w:pPr>
        <w:ind w:left="300" w:hanging="138"/>
        <w:spacing w:after="0"/>
        <w:tabs>
          <w:tab w:leader="none" w:pos="300" w:val="left"/>
        </w:tabs>
        <w:numPr>
          <w:ilvl w:val="0"/>
          <w:numId w:val="236"/>
        </w:numPr>
        <w:rPr>
          <w:rFonts w:ascii="Arial" w:cs="Arial" w:eastAsia="Arial" w:hAnsi="Arial"/>
          <w:sz w:val="13"/>
          <w:szCs w:val="13"/>
          <w:color w:val="auto"/>
        </w:rPr>
      </w:pP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EFINITIONS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ONSTRUCTION</w:t>
      </w:r>
      <w:r>
        <w:rPr>
          <w:rFonts w:ascii="Arial" w:cs="Arial" w:eastAsia="Arial" w:hAnsi="Arial"/>
          <w:sz w:val="13"/>
          <w:szCs w:val="13"/>
          <w:b w:val="1"/>
          <w:bCs w:val="1"/>
          <w:color w:val="auto"/>
        </w:rPr>
        <w:t>.</w:t>
      </w:r>
    </w:p>
    <w:p>
      <w:pPr>
        <w:spacing w:after="0" w:line="86" w:lineRule="exact"/>
        <w:rPr>
          <w:sz w:val="20"/>
          <w:szCs w:val="20"/>
          <w:color w:val="auto"/>
        </w:rPr>
      </w:pPr>
    </w:p>
    <w:p>
      <w:pPr>
        <w:ind w:right="100" w:firstLine="328"/>
        <w:spacing w:after="0" w:line="283"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color w:val="auto"/>
        </w:rPr>
        <w:t>Definitions.</w:t>
      </w:r>
      <w:r>
        <w:rPr>
          <w:rFonts w:ascii="Arial" w:cs="Arial" w:eastAsia="Arial" w:hAnsi="Arial"/>
          <w:sz w:val="13"/>
          <w:szCs w:val="13"/>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45" w:lineRule="exact"/>
        <w:rPr>
          <w:sz w:val="20"/>
          <w:szCs w:val="20"/>
          <w:color w:val="auto"/>
        </w:rPr>
      </w:pPr>
    </w:p>
    <w:p>
      <w:pPr>
        <w:ind w:left="660" w:hanging="170"/>
        <w:spacing w:after="0"/>
        <w:tabs>
          <w:tab w:leader="none" w:pos="660" w:val="left"/>
        </w:tabs>
        <w:numPr>
          <w:ilvl w:val="0"/>
          <w:numId w:val="23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Board</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Board of Directors of the Company.</w:t>
      </w:r>
    </w:p>
    <w:p>
      <w:pPr>
        <w:spacing w:after="0" w:line="86" w:lineRule="exact"/>
        <w:rPr>
          <w:rFonts w:ascii="Arial" w:cs="Arial" w:eastAsia="Arial" w:hAnsi="Arial"/>
          <w:sz w:val="13"/>
          <w:szCs w:val="13"/>
          <w:color w:val="auto"/>
        </w:rPr>
      </w:pPr>
    </w:p>
    <w:p>
      <w:pPr>
        <w:ind w:right="140" w:firstLine="490"/>
        <w:spacing w:after="0" w:line="276" w:lineRule="auto"/>
        <w:tabs>
          <w:tab w:leader="none" w:pos="677" w:val="left"/>
        </w:tabs>
        <w:numPr>
          <w:ilvl w:val="0"/>
          <w:numId w:val="23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Cash Exercise Notice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written notice in such form as specified by the Company which states a Participant’s election to exercise, as of the next Purchase Date, a Purchase Right granted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 with respect to a Pre-Registration Offering Period.</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23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Change in Control</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occurrence of any of the following:</w:t>
      </w:r>
    </w:p>
    <w:p>
      <w:pPr>
        <w:spacing w:after="0" w:line="86" w:lineRule="exact"/>
        <w:rPr>
          <w:rFonts w:ascii="Arial" w:cs="Arial" w:eastAsia="Arial" w:hAnsi="Arial"/>
          <w:sz w:val="13"/>
          <w:szCs w:val="13"/>
          <w:color w:val="auto"/>
        </w:rPr>
      </w:pPr>
    </w:p>
    <w:p>
      <w:pPr>
        <w:ind w:firstLine="654"/>
        <w:spacing w:after="0" w:line="260" w:lineRule="auto"/>
        <w:tabs>
          <w:tab w:leader="none" w:pos="811" w:val="left"/>
        </w:tabs>
        <w:numPr>
          <w:ilvl w:val="1"/>
          <w:numId w:val="237"/>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level of beneficial ownership results from any of the following: (A) an acquisition by any person who on the Effective Date is the beneficial owner of more than fifty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5" w:right="259" w:bottom="1440" w:gutter="0" w:footer="0" w:header="0"/>
        </w:sectPr>
      </w:pPr>
    </w:p>
    <w:bookmarkStart w:id="312" w:name="page313"/>
    <w:bookmarkEnd w:id="312"/>
    <w:p>
      <w:pPr>
        <w:ind w:left="1"/>
        <w:spacing w:after="0"/>
        <w:rPr>
          <w:sz w:val="20"/>
          <w:szCs w:val="20"/>
          <w:color w:val="auto"/>
        </w:rPr>
      </w:pPr>
      <w:r>
        <w:rPr>
          <w:rFonts w:ascii="Arial" w:cs="Arial" w:eastAsia="Arial" w:hAnsi="Arial"/>
          <w:sz w:val="12"/>
          <w:szCs w:val="12"/>
          <w:color w:val="auto"/>
        </w:rPr>
        <w:t>percent (50%) of such voting power, (B) any acquisition directly from the Company, including, without limitation, pursuant to or in connection with a public offering of securities, (C) any acquisition by the Company,</w:t>
      </w:r>
    </w:p>
    <w:p>
      <w:pPr>
        <w:spacing w:after="0" w:line="27" w:lineRule="exact"/>
        <w:rPr>
          <w:sz w:val="20"/>
          <w:szCs w:val="20"/>
          <w:color w:val="auto"/>
        </w:rPr>
      </w:pPr>
    </w:p>
    <w:p>
      <w:pPr>
        <w:ind w:left="1" w:right="320" w:hanging="1"/>
        <w:spacing w:after="0" w:line="264" w:lineRule="auto"/>
        <w:tabs>
          <w:tab w:leader="none" w:pos="216" w:val="left"/>
        </w:tabs>
        <w:numPr>
          <w:ilvl w:val="0"/>
          <w:numId w:val="238"/>
        </w:numPr>
        <w:rPr>
          <w:rFonts w:ascii="Arial" w:cs="Arial" w:eastAsia="Arial" w:hAnsi="Arial"/>
          <w:sz w:val="13"/>
          <w:szCs w:val="13"/>
          <w:color w:val="auto"/>
        </w:rPr>
      </w:pPr>
      <w:r>
        <w:rPr>
          <w:rFonts w:ascii="Arial" w:cs="Arial" w:eastAsia="Arial" w:hAnsi="Arial"/>
          <w:sz w:val="13"/>
          <w:szCs w:val="13"/>
          <w:color w:val="auto"/>
        </w:rPr>
        <w:t>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56" w:lineRule="exact"/>
        <w:rPr>
          <w:rFonts w:ascii="Arial" w:cs="Arial" w:eastAsia="Arial" w:hAnsi="Arial"/>
          <w:sz w:val="13"/>
          <w:szCs w:val="13"/>
          <w:color w:val="auto"/>
        </w:rPr>
      </w:pPr>
    </w:p>
    <w:p>
      <w:pPr>
        <w:ind w:left="1" w:right="160" w:firstLine="654"/>
        <w:spacing w:after="0" w:line="296" w:lineRule="auto"/>
        <w:tabs>
          <w:tab w:leader="none" w:pos="849" w:val="left"/>
        </w:tabs>
        <w:numPr>
          <w:ilvl w:val="1"/>
          <w:numId w:val="238"/>
        </w:numPr>
        <w:rPr>
          <w:rFonts w:ascii="Arial" w:cs="Arial" w:eastAsia="Arial" w:hAnsi="Arial"/>
          <w:sz w:val="12"/>
          <w:szCs w:val="12"/>
          <w:color w:val="auto"/>
        </w:rPr>
      </w:pPr>
      <w:r>
        <w:rPr>
          <w:rFonts w:ascii="Arial" w:cs="Arial" w:eastAsia="Arial" w:hAnsi="Arial"/>
          <w:sz w:val="12"/>
          <w:szCs w:val="12"/>
          <w:color w:val="auto"/>
        </w:rPr>
        <w:t xml:space="preserve">an Ownership Change Event or series of related Ownership Change Events (collectively, a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Transaction</w:t>
      </w:r>
      <w:r>
        <w:rPr>
          <w:rFonts w:ascii="Arial" w:cs="Arial" w:eastAsia="Arial" w:hAnsi="Arial"/>
          <w:sz w:val="12"/>
          <w:szCs w:val="12"/>
          <w:i w:val="1"/>
          <w:iCs w:val="1"/>
          <w:color w:val="auto"/>
        </w:rPr>
        <w:t>”</w:t>
      </w:r>
      <w:r>
        <w:rPr>
          <w:rFonts w:ascii="Arial" w:cs="Arial" w:eastAsia="Arial" w:hAnsi="Arial"/>
          <w:sz w:val="12"/>
          <w:szCs w:val="12"/>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2.1(p)(iii), the entity to which the assets of the Company were transferred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Transferee</w:t>
      </w:r>
      <w:r>
        <w:rPr>
          <w:rFonts w:ascii="Arial" w:cs="Arial" w:eastAsia="Arial" w:hAnsi="Arial"/>
          <w:sz w:val="12"/>
          <w:szCs w:val="12"/>
          <w:i w:val="1"/>
          <w:iCs w:val="1"/>
          <w:color w:val="auto"/>
        </w:rPr>
        <w:t>”</w:t>
      </w:r>
      <w:r>
        <w:rPr>
          <w:rFonts w:ascii="Arial" w:cs="Arial" w:eastAsia="Arial" w:hAnsi="Arial"/>
          <w:sz w:val="12"/>
          <w:szCs w:val="12"/>
          <w:color w:val="auto"/>
        </w:rPr>
        <w:t>), as the case may be; or</w:t>
      </w:r>
    </w:p>
    <w:p>
      <w:pPr>
        <w:spacing w:after="0" w:line="39" w:lineRule="exact"/>
        <w:rPr>
          <w:rFonts w:ascii="Arial" w:cs="Arial" w:eastAsia="Arial" w:hAnsi="Arial"/>
          <w:sz w:val="12"/>
          <w:szCs w:val="12"/>
          <w:color w:val="auto"/>
        </w:rPr>
      </w:pPr>
    </w:p>
    <w:p>
      <w:pPr>
        <w:ind w:left="881" w:hanging="226"/>
        <w:spacing w:after="0"/>
        <w:tabs>
          <w:tab w:leader="none" w:pos="881" w:val="left"/>
        </w:tabs>
        <w:numPr>
          <w:ilvl w:val="1"/>
          <w:numId w:val="238"/>
        </w:numPr>
        <w:rPr>
          <w:rFonts w:ascii="Arial" w:cs="Arial" w:eastAsia="Arial" w:hAnsi="Arial"/>
          <w:sz w:val="13"/>
          <w:szCs w:val="13"/>
          <w:color w:val="auto"/>
        </w:rPr>
      </w:pPr>
      <w:r>
        <w:rPr>
          <w:rFonts w:ascii="Arial" w:cs="Arial" w:eastAsia="Arial" w:hAnsi="Arial"/>
          <w:sz w:val="13"/>
          <w:szCs w:val="13"/>
          <w:color w:val="auto"/>
        </w:rPr>
        <w:t>a liquidation or dissolution of the Company;</w:t>
      </w:r>
    </w:p>
    <w:p>
      <w:pPr>
        <w:spacing w:after="0" w:line="86" w:lineRule="exact"/>
        <w:rPr>
          <w:sz w:val="20"/>
          <w:szCs w:val="20"/>
          <w:color w:val="auto"/>
        </w:rPr>
      </w:pPr>
    </w:p>
    <w:p>
      <w:pPr>
        <w:ind w:left="1" w:right="340"/>
        <w:spacing w:after="0" w:line="276" w:lineRule="auto"/>
        <w:rPr>
          <w:sz w:val="20"/>
          <w:szCs w:val="20"/>
          <w:color w:val="auto"/>
        </w:rPr>
      </w:pPr>
      <w:r>
        <w:rPr>
          <w:rFonts w:ascii="Arial" w:cs="Arial" w:eastAsia="Arial" w:hAnsi="Arial"/>
          <w:sz w:val="13"/>
          <w:szCs w:val="13"/>
          <w:color w:val="auto"/>
        </w:rPr>
        <w:t>provided, however, that a Change in Control shall be deemed not to include a transaction described in subsections (i) or (ii) of this Section 2.1(c) in which a majority of the members of the board of directors of the continuing, surviving or successor entity, or parent thereof, immediately after such transaction is comprised of Incumbent Directors.</w:t>
      </w:r>
    </w:p>
    <w:p>
      <w:pPr>
        <w:spacing w:after="0" w:line="49" w:lineRule="exact"/>
        <w:rPr>
          <w:sz w:val="20"/>
          <w:szCs w:val="20"/>
          <w:color w:val="auto"/>
        </w:rPr>
      </w:pPr>
    </w:p>
    <w:p>
      <w:pPr>
        <w:ind w:left="1" w:right="60" w:firstLine="164"/>
        <w:spacing w:after="0" w:line="264" w:lineRule="auto"/>
        <w:rPr>
          <w:sz w:val="20"/>
          <w:szCs w:val="20"/>
          <w:color w:val="auto"/>
        </w:rPr>
      </w:pPr>
      <w:r>
        <w:rPr>
          <w:rFonts w:ascii="Arial" w:cs="Arial" w:eastAsia="Arial" w:hAnsi="Arial"/>
          <w:sz w:val="13"/>
          <w:szCs w:val="13"/>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sales or exchanges of the voting securities of the Company or multiple Ownership Change Events are related, and its determination shall be final, binding and conclusive.</w:t>
      </w:r>
    </w:p>
    <w:p>
      <w:pPr>
        <w:spacing w:after="0" w:line="57" w:lineRule="exact"/>
        <w:rPr>
          <w:sz w:val="20"/>
          <w:szCs w:val="20"/>
          <w:color w:val="auto"/>
        </w:rPr>
      </w:pPr>
    </w:p>
    <w:p>
      <w:pPr>
        <w:ind w:left="681" w:hanging="190"/>
        <w:spacing w:after="0"/>
        <w:tabs>
          <w:tab w:leader="none" w:pos="681" w:val="left"/>
        </w:tabs>
        <w:numPr>
          <w:ilvl w:val="0"/>
          <w:numId w:val="23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Internal Revenue Code of 1986, as amended, and any applicable regulations promulgated thereunder.</w:t>
      </w:r>
    </w:p>
    <w:p>
      <w:pPr>
        <w:spacing w:after="0" w:line="86" w:lineRule="exact"/>
        <w:rPr>
          <w:rFonts w:ascii="Arial" w:cs="Arial" w:eastAsia="Arial" w:hAnsi="Arial"/>
          <w:sz w:val="13"/>
          <w:szCs w:val="13"/>
          <w:color w:val="auto"/>
        </w:rPr>
      </w:pPr>
    </w:p>
    <w:p>
      <w:pPr>
        <w:ind w:left="1" w:firstLine="490"/>
        <w:spacing w:after="0" w:line="264" w:lineRule="auto"/>
        <w:tabs>
          <w:tab w:leader="none" w:pos="671" w:val="left"/>
        </w:tabs>
        <w:numPr>
          <w:ilvl w:val="0"/>
          <w:numId w:val="23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Compensation Committee and such other committee or subcommittee of the Board, if any, duly appointed to administer the Plan and having such powers in each instance as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57" w:lineRule="exact"/>
        <w:rPr>
          <w:rFonts w:ascii="Arial" w:cs="Arial" w:eastAsia="Arial" w:hAnsi="Arial"/>
          <w:sz w:val="13"/>
          <w:szCs w:val="13"/>
          <w:color w:val="auto"/>
        </w:rPr>
      </w:pPr>
    </w:p>
    <w:p>
      <w:pPr>
        <w:ind w:left="661" w:hanging="170"/>
        <w:spacing w:after="0"/>
        <w:tabs>
          <w:tab w:leader="none" w:pos="661" w:val="left"/>
        </w:tabs>
        <w:numPr>
          <w:ilvl w:val="0"/>
          <w:numId w:val="23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means Grand Canyon Education, Inc., a Delaware corporation, or any successor corporation thereto.</w:t>
      </w:r>
    </w:p>
    <w:p>
      <w:pPr>
        <w:spacing w:after="0" w:line="86" w:lineRule="exact"/>
        <w:rPr>
          <w:rFonts w:ascii="Arial" w:cs="Arial" w:eastAsia="Arial" w:hAnsi="Arial"/>
          <w:sz w:val="13"/>
          <w:szCs w:val="13"/>
          <w:color w:val="auto"/>
        </w:rPr>
      </w:pPr>
    </w:p>
    <w:p>
      <w:pPr>
        <w:ind w:left="1" w:right="200" w:firstLine="490"/>
        <w:spacing w:after="0" w:line="264" w:lineRule="auto"/>
        <w:tabs>
          <w:tab w:leader="none" w:pos="678" w:val="left"/>
        </w:tabs>
        <w:numPr>
          <w:ilvl w:val="0"/>
          <w:numId w:val="23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with respect to any Offering Period, base wages or salary, overtime, bonuses, commissions, shift differentials, payments for paid time off, payments in lieu of notice,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deferred under any program or plan, including, without limitation, pursuant to Section 401(k) or Section 125 of the Code. Compensation shall be limited to amounts actually payable in cash or deferred during the Offering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13" w:name="page314"/>
    <w:bookmarkEnd w:id="313"/>
    <w:p>
      <w:pPr>
        <w:ind w:right="120"/>
        <w:spacing w:after="0" w:line="276" w:lineRule="auto"/>
        <w:rPr>
          <w:sz w:val="20"/>
          <w:szCs w:val="20"/>
          <w:color w:val="auto"/>
        </w:rPr>
      </w:pPr>
      <w:r>
        <w:rPr>
          <w:rFonts w:ascii="Arial" w:cs="Arial" w:eastAsia="Arial" w:hAnsi="Arial"/>
          <w:sz w:val="13"/>
          <w:szCs w:val="13"/>
          <w:color w:val="auto"/>
        </w:rPr>
        <w:t>Compensation shall not include moving allowances, payments pursuant to a severance agreement, termination pay, relocation payments, sign-on bonuses, any amounts directly or indirectly paid pursuant to the Plan or any other stock purchase, stock option or other stock-based compensation plan, or any other compensation not included above.</w:t>
      </w:r>
    </w:p>
    <w:p>
      <w:pPr>
        <w:spacing w:after="0" w:line="49" w:lineRule="exact"/>
        <w:rPr>
          <w:sz w:val="20"/>
          <w:szCs w:val="20"/>
          <w:color w:val="auto"/>
        </w:rPr>
      </w:pPr>
    </w:p>
    <w:p>
      <w:pPr>
        <w:ind w:left="680" w:hanging="190"/>
        <w:spacing w:after="0"/>
        <w:tabs>
          <w:tab w:leader="none" w:pos="680" w:val="left"/>
        </w:tabs>
        <w:numPr>
          <w:ilvl w:val="0"/>
          <w:numId w:val="24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Eligible Employee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Employee who meets the requirements set forth in Section 5 for eligibility to participate in the Plan.</w:t>
      </w:r>
    </w:p>
    <w:p>
      <w:pPr>
        <w:spacing w:after="0" w:line="86" w:lineRule="exact"/>
        <w:rPr>
          <w:rFonts w:ascii="Arial" w:cs="Arial" w:eastAsia="Arial" w:hAnsi="Arial"/>
          <w:sz w:val="13"/>
          <w:szCs w:val="13"/>
          <w:color w:val="auto"/>
        </w:rPr>
      </w:pPr>
    </w:p>
    <w:p>
      <w:pPr>
        <w:ind w:firstLine="490"/>
        <w:spacing w:after="0" w:line="322" w:lineRule="auto"/>
        <w:tabs>
          <w:tab w:leader="none" w:pos="648" w:val="left"/>
        </w:tabs>
        <w:numPr>
          <w:ilvl w:val="0"/>
          <w:numId w:val="240"/>
        </w:numPr>
        <w:rPr>
          <w:rFonts w:ascii="Arial" w:cs="Arial" w:eastAsia="Arial" w:hAnsi="Arial"/>
          <w:sz w:val="11"/>
          <w:szCs w:val="11"/>
          <w:color w:val="auto"/>
        </w:rPr>
      </w:pP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Employee</w:t>
      </w:r>
      <w:r>
        <w:rPr>
          <w:rFonts w:ascii="Arial" w:cs="Arial" w:eastAsia="Arial" w:hAnsi="Arial"/>
          <w:sz w:val="11"/>
          <w:szCs w:val="11"/>
          <w:i w:val="1"/>
          <w:iCs w:val="1"/>
          <w:color w:val="auto"/>
        </w:rPr>
        <w:t xml:space="preserve">” </w:t>
      </w:r>
      <w:r>
        <w:rPr>
          <w:rFonts w:ascii="Arial" w:cs="Arial" w:eastAsia="Arial" w:hAnsi="Arial"/>
          <w:sz w:val="11"/>
          <w:szCs w:val="11"/>
          <w:color w:val="auto"/>
        </w:rPr>
        <w:t>means a person treated as an employee of a Participating Company for purposes of Section 423 of the Code. A Participant shall be deemed to have ceased to be an Employee either upon an</w:t>
      </w:r>
      <w:r>
        <w:rPr>
          <w:rFonts w:ascii="Arial" w:cs="Arial" w:eastAsia="Arial" w:hAnsi="Arial"/>
          <w:sz w:val="11"/>
          <w:szCs w:val="11"/>
          <w:i w:val="1"/>
          <w:iCs w:val="1"/>
          <w:color w:val="auto"/>
        </w:rPr>
        <w:t xml:space="preserve"> </w:t>
      </w:r>
      <w:r>
        <w:rPr>
          <w:rFonts w:ascii="Arial" w:cs="Arial" w:eastAsia="Arial" w:hAnsi="Arial"/>
          <w:sz w:val="11"/>
          <w:szCs w:val="11"/>
          <w:color w:val="auto"/>
        </w:rPr>
        <w:t>actual termination of employment or upon the corporation employing the Participant ceasing to be a Participating Company. For purposes of the Plan, an individual shall not be deemed to have ceased to be an Employee while on any military leave, sick leave, or other bona fide leave of absence approved by the Company of ninety (90) days or less. If an individual’s leave of absence exceeds ninety (90) days, the individual shall be deemed to have ceased to be an Employee on the ninety-first (91st) day of such leave unless the individual’s right to reemployment with the Participating Company Group is guaranteed either by statute or by contract.</w:t>
      </w:r>
    </w:p>
    <w:p>
      <w:pPr>
        <w:spacing w:after="0" w:line="28" w:lineRule="exact"/>
        <w:rPr>
          <w:rFonts w:ascii="Arial" w:cs="Arial" w:eastAsia="Arial" w:hAnsi="Arial"/>
          <w:sz w:val="11"/>
          <w:szCs w:val="11"/>
          <w:color w:val="auto"/>
        </w:rPr>
      </w:pPr>
    </w:p>
    <w:p>
      <w:pPr>
        <w:ind w:left="640" w:hanging="150"/>
        <w:spacing w:after="0"/>
        <w:tabs>
          <w:tab w:leader="none" w:pos="640" w:val="left"/>
        </w:tabs>
        <w:numPr>
          <w:ilvl w:val="0"/>
          <w:numId w:val="24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as of any date:</w:t>
      </w:r>
    </w:p>
    <w:p>
      <w:pPr>
        <w:spacing w:after="0" w:line="86" w:lineRule="exact"/>
        <w:rPr>
          <w:rFonts w:ascii="Arial" w:cs="Arial" w:eastAsia="Arial" w:hAnsi="Arial"/>
          <w:sz w:val="13"/>
          <w:szCs w:val="13"/>
          <w:color w:val="auto"/>
        </w:rPr>
      </w:pPr>
    </w:p>
    <w:p>
      <w:pPr>
        <w:ind w:right="20" w:firstLine="654"/>
        <w:spacing w:after="0" w:line="260" w:lineRule="auto"/>
        <w:tabs>
          <w:tab w:leader="none" w:pos="811" w:val="left"/>
        </w:tabs>
        <w:numPr>
          <w:ilvl w:val="1"/>
          <w:numId w:val="240"/>
        </w:numPr>
        <w:rPr>
          <w:rFonts w:ascii="Arial" w:cs="Arial" w:eastAsia="Arial" w:hAnsi="Arial"/>
          <w:sz w:val="13"/>
          <w:szCs w:val="13"/>
          <w:color w:val="auto"/>
        </w:rPr>
      </w:pPr>
      <w:r>
        <w:rPr>
          <w:rFonts w:ascii="Arial" w:cs="Arial" w:eastAsia="Arial" w:hAnsi="Arial"/>
          <w:sz w:val="13"/>
          <w:szCs w:val="13"/>
          <w:color w:val="auto"/>
        </w:rPr>
        <w:t xml:space="preserve">Except as otherwise determined by the Committee, if, on such date, the Stock is listed or quoted on a national or regional securities exchange or quotation system, the closing price of a share of Stock as quoted on the national or regional securities exchange or quotation system constituting the primary market for the Stock,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Company deems reliable. If the relevant date does not fall on a day on which the Stock has traded on such securities exchange or quotation system, the date on which the Fair Market Value is established shall be the last day on which the Stock was so traded or quoted prior to the relevant date, or such other appropriate day as determined by the Committee, in its discretion.</w:t>
      </w:r>
    </w:p>
    <w:p>
      <w:pPr>
        <w:spacing w:after="0" w:line="59" w:lineRule="exact"/>
        <w:rPr>
          <w:rFonts w:ascii="Arial" w:cs="Arial" w:eastAsia="Arial" w:hAnsi="Arial"/>
          <w:sz w:val="13"/>
          <w:szCs w:val="13"/>
          <w:color w:val="auto"/>
        </w:rPr>
      </w:pPr>
    </w:p>
    <w:p>
      <w:pPr>
        <w:ind w:left="840" w:hanging="186"/>
        <w:spacing w:after="0"/>
        <w:tabs>
          <w:tab w:leader="none" w:pos="840" w:val="left"/>
        </w:tabs>
        <w:numPr>
          <w:ilvl w:val="1"/>
          <w:numId w:val="240"/>
        </w:numPr>
        <w:rPr>
          <w:rFonts w:ascii="Arial" w:cs="Arial" w:eastAsia="Arial" w:hAnsi="Arial"/>
          <w:sz w:val="11"/>
          <w:szCs w:val="11"/>
          <w:color w:val="auto"/>
        </w:rPr>
      </w:pPr>
      <w:r>
        <w:rPr>
          <w:rFonts w:ascii="Arial" w:cs="Arial" w:eastAsia="Arial" w:hAnsi="Arial"/>
          <w:sz w:val="11"/>
          <w:szCs w:val="11"/>
          <w:color w:val="auto"/>
        </w:rPr>
        <w:t>If, on the relevant date, the Stock is not then listed on a national or regional securities exchange or quotation system, the Fair Market Value of a share of Stock shall be as determined in good faith by the</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Committee.</w:t>
      </w:r>
    </w:p>
    <w:p>
      <w:pPr>
        <w:spacing w:after="0" w:line="78" w:lineRule="exact"/>
        <w:rPr>
          <w:rFonts w:ascii="Arial" w:cs="Arial" w:eastAsia="Arial" w:hAnsi="Arial"/>
          <w:sz w:val="11"/>
          <w:szCs w:val="11"/>
          <w:color w:val="auto"/>
        </w:rPr>
      </w:pPr>
    </w:p>
    <w:p>
      <w:pPr>
        <w:ind w:firstLine="654"/>
        <w:spacing w:after="0" w:line="276" w:lineRule="auto"/>
        <w:tabs>
          <w:tab w:leader="none" w:pos="884" w:val="left"/>
        </w:tabs>
        <w:numPr>
          <w:ilvl w:val="1"/>
          <w:numId w:val="240"/>
        </w:numPr>
        <w:rPr>
          <w:rFonts w:ascii="Arial" w:cs="Arial" w:eastAsia="Arial" w:hAnsi="Arial"/>
          <w:sz w:val="13"/>
          <w:szCs w:val="13"/>
          <w:color w:val="auto"/>
        </w:rPr>
      </w:pPr>
      <w:r>
        <w:rPr>
          <w:rFonts w:ascii="Arial" w:cs="Arial" w:eastAsia="Arial" w:hAnsi="Arial"/>
          <w:sz w:val="13"/>
          <w:szCs w:val="13"/>
          <w:color w:val="auto"/>
        </w:rPr>
        <w:t>Notwithstanding the foregoing, if the initial Offering Period commences on the Effective Date, then the Fair Market Value of a share of Stock on such date shall be deemed to be the public offering price set forth in the final prospectus filed with the Securities and Exchange Commission in connection with the Company’s initial public offering of the Stock.</w:t>
      </w:r>
    </w:p>
    <w:p>
      <w:pPr>
        <w:spacing w:after="0" w:line="49" w:lineRule="exact"/>
        <w:rPr>
          <w:rFonts w:ascii="Arial" w:cs="Arial" w:eastAsia="Arial" w:hAnsi="Arial"/>
          <w:sz w:val="13"/>
          <w:szCs w:val="13"/>
          <w:color w:val="auto"/>
        </w:rPr>
      </w:pPr>
    </w:p>
    <w:p>
      <w:pPr>
        <w:ind w:right="140" w:firstLine="490"/>
        <w:spacing w:after="0" w:line="264" w:lineRule="auto"/>
        <w:tabs>
          <w:tab w:leader="none" w:pos="677" w:val="left"/>
        </w:tabs>
        <w:numPr>
          <w:ilvl w:val="0"/>
          <w:numId w:val="24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Incumbent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director who either (i) is a member of the Board as of the Effective Date, or (ii) is elected, or nominated for election, to the Board with the affirmative votes of at least a</w:t>
      </w:r>
      <w:r>
        <w:rPr>
          <w:rFonts w:ascii="Arial" w:cs="Arial" w:eastAsia="Arial" w:hAnsi="Arial"/>
          <w:sz w:val="13"/>
          <w:szCs w:val="13"/>
          <w:i w:val="1"/>
          <w:iCs w:val="1"/>
          <w:color w:val="auto"/>
        </w:rPr>
        <w:t xml:space="preserve"> </w:t>
      </w:r>
      <w:r>
        <w:rPr>
          <w:rFonts w:ascii="Arial" w:cs="Arial" w:eastAsia="Arial" w:hAnsi="Arial"/>
          <w:sz w:val="13"/>
          <w:szCs w:val="13"/>
          <w:color w:val="auto"/>
        </w:rPr>
        <w:t>majority of the Incumbent Directors at the time of such election or nomination, but who was not elected or nominated in connection with an actual or threatened proxy contest relating to the election of directors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4" w:name="page315"/>
    <w:bookmarkEnd w:id="314"/>
    <w:p>
      <w:pPr>
        <w:ind w:left="640" w:hanging="150"/>
        <w:spacing w:after="0"/>
        <w:tabs>
          <w:tab w:leader="none" w:pos="64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offering of Stock pursuant to the Plan, as provided in Section 6.</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Offering Date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for any Offering Period, the first day of such Offering Period.</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Offering Period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period, established by the Committee in accordance with Section 6, during which an Offering is outstanding.</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Officer</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person designated by the Board as an officer of the Company.</w:t>
      </w:r>
    </w:p>
    <w:p>
      <w:pPr>
        <w:spacing w:after="0" w:line="86" w:lineRule="exact"/>
        <w:rPr>
          <w:rFonts w:ascii="Arial" w:cs="Arial" w:eastAsia="Arial" w:hAnsi="Arial"/>
          <w:sz w:val="13"/>
          <w:szCs w:val="13"/>
          <w:color w:val="auto"/>
        </w:rPr>
      </w:pPr>
    </w:p>
    <w:p>
      <w:pPr>
        <w:jc w:val="both"/>
        <w:ind w:right="340" w:firstLine="490"/>
        <w:spacing w:after="0" w:line="264" w:lineRule="auto"/>
        <w:tabs>
          <w:tab w:leader="none" w:pos="677"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Ownership Change Event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occurrence of any of the following with respect to the Company: (i) the direct or indirect sale or exchange in a single or series of related transactions by the</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57" w:lineRule="exact"/>
        <w:rPr>
          <w:rFonts w:ascii="Arial" w:cs="Arial" w:eastAsia="Arial" w:hAnsi="Arial"/>
          <w:sz w:val="13"/>
          <w:szCs w:val="13"/>
          <w:color w:val="auto"/>
        </w:rPr>
      </w:pPr>
    </w:p>
    <w:p>
      <w:pPr>
        <w:ind w:left="680" w:hanging="190"/>
        <w:spacing w:after="0"/>
        <w:tabs>
          <w:tab w:leader="none" w:pos="68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Parent Corporation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present or future “parent corporation” of the Company, as defined in Section 424(e) of the Code.</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Eligible Employee who has become a participant in an Offering Period in accordance with Section 7 and remains a participant in accordance with the Plan.</w:t>
      </w:r>
    </w:p>
    <w:p>
      <w:pPr>
        <w:spacing w:after="0" w:line="86" w:lineRule="exact"/>
        <w:rPr>
          <w:rFonts w:ascii="Arial" w:cs="Arial" w:eastAsia="Arial" w:hAnsi="Arial"/>
          <w:sz w:val="13"/>
          <w:szCs w:val="13"/>
          <w:color w:val="auto"/>
        </w:rPr>
      </w:pPr>
    </w:p>
    <w:p>
      <w:pPr>
        <w:ind w:right="40" w:firstLine="490"/>
        <w:spacing w:after="0" w:line="320" w:lineRule="auto"/>
        <w:tabs>
          <w:tab w:leader="none" w:pos="662" w:val="left"/>
        </w:tabs>
        <w:numPr>
          <w:ilvl w:val="0"/>
          <w:numId w:val="241"/>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Participating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Company and any Parent Corporation or Subsidiary Corporation designated by the Committee as a corporation the Employees of which may, if Eligible Employees,</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participate in the Plan. The Committee shall have the discretion to determine from time to time which Parent Corporations or Subsidiary Corporations shall be Participating Companies.</w:t>
      </w:r>
    </w:p>
    <w:p>
      <w:pPr>
        <w:spacing w:after="0" w:line="25" w:lineRule="exact"/>
        <w:rPr>
          <w:rFonts w:ascii="Arial" w:cs="Arial" w:eastAsia="Arial" w:hAnsi="Arial"/>
          <w:sz w:val="12"/>
          <w:szCs w:val="12"/>
          <w:color w:val="auto"/>
        </w:rPr>
      </w:pPr>
    </w:p>
    <w:p>
      <w:pPr>
        <w:ind w:left="640" w:hanging="150"/>
        <w:spacing w:after="0"/>
        <w:tabs>
          <w:tab w:leader="none" w:pos="64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Participating Company Group</w:t>
      </w:r>
      <w:r>
        <w:rPr>
          <w:rFonts w:ascii="Arial" w:cs="Arial" w:eastAsia="Arial" w:hAnsi="Arial"/>
          <w:sz w:val="13"/>
          <w:szCs w:val="13"/>
          <w:i w:val="1"/>
          <w:iCs w:val="1"/>
          <w:color w:val="auto"/>
        </w:rPr>
        <w:t xml:space="preserve">” </w:t>
      </w:r>
      <w:r>
        <w:rPr>
          <w:rFonts w:ascii="Arial" w:cs="Arial" w:eastAsia="Arial" w:hAnsi="Arial"/>
          <w:sz w:val="13"/>
          <w:szCs w:val="13"/>
          <w:color w:val="auto"/>
        </w:rPr>
        <w:t>means, at any point in time, the Company and all other corporations collectively which are then Participating Companies.</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4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Pre-Registration Offering Period</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Offering Period commencing prior to the Registration Date with respect to the shares of Stock issuable pursuant to such Offering Period.</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41"/>
        </w:numPr>
        <w:rPr>
          <w:rFonts w:ascii="Arial" w:cs="Arial" w:eastAsia="Arial" w:hAnsi="Arial"/>
          <w:sz w:val="11"/>
          <w:szCs w:val="11"/>
          <w:color w:val="auto"/>
        </w:rPr>
      </w:pP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Purchase Date</w:t>
      </w:r>
      <w:r>
        <w:rPr>
          <w:rFonts w:ascii="Arial" w:cs="Arial" w:eastAsia="Arial" w:hAnsi="Arial"/>
          <w:sz w:val="11"/>
          <w:szCs w:val="11"/>
          <w:i w:val="1"/>
          <w:iCs w:val="1"/>
          <w:color w:val="auto"/>
        </w:rPr>
        <w:t xml:space="preserve">” </w:t>
      </w:r>
      <w:r>
        <w:rPr>
          <w:rFonts w:ascii="Arial" w:cs="Arial" w:eastAsia="Arial" w:hAnsi="Arial"/>
          <w:sz w:val="11"/>
          <w:szCs w:val="11"/>
          <w:color w:val="auto"/>
        </w:rPr>
        <w:t>means, for any Offering Period, the last day of such Offering Period, or, if so determined by the Committee, the last day of each Purchase Period occurring within such Offering Period.</w:t>
      </w:r>
    </w:p>
    <w:p>
      <w:pPr>
        <w:spacing w:after="0" w:line="109" w:lineRule="exact"/>
        <w:rPr>
          <w:rFonts w:ascii="Arial" w:cs="Arial" w:eastAsia="Arial" w:hAnsi="Arial"/>
          <w:sz w:val="11"/>
          <w:szCs w:val="11"/>
          <w:color w:val="auto"/>
        </w:rPr>
      </w:pPr>
    </w:p>
    <w:p>
      <w:pPr>
        <w:ind w:left="700" w:hanging="210"/>
        <w:spacing w:after="0"/>
        <w:tabs>
          <w:tab w:leader="none" w:pos="700" w:val="left"/>
        </w:tabs>
        <w:numPr>
          <w:ilvl w:val="0"/>
          <w:numId w:val="241"/>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Purchase Period</w:t>
      </w:r>
      <w:r>
        <w:rPr>
          <w:rFonts w:ascii="Arial" w:cs="Arial" w:eastAsia="Arial" w:hAnsi="Arial"/>
          <w:sz w:val="12"/>
          <w:szCs w:val="12"/>
          <w:i w:val="1"/>
          <w:iCs w:val="1"/>
          <w:color w:val="auto"/>
        </w:rPr>
        <w:t xml:space="preserve">” </w:t>
      </w:r>
      <w:r>
        <w:rPr>
          <w:rFonts w:ascii="Arial" w:cs="Arial" w:eastAsia="Arial" w:hAnsi="Arial"/>
          <w:sz w:val="12"/>
          <w:szCs w:val="12"/>
          <w:color w:val="auto"/>
        </w:rPr>
        <w:t>means a period, established by the Committee in accordance with Section 6, included within an Offering Period and on the final date of which outstanding Purchase Rights are</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exercised.</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0" w:right="379" w:bottom="1440" w:gutter="0" w:footer="0" w:header="0"/>
        </w:sectPr>
      </w:pPr>
    </w:p>
    <w:bookmarkStart w:id="315" w:name="page316"/>
    <w:bookmarkEnd w:id="315"/>
    <w:p>
      <w:pPr>
        <w:ind w:left="680" w:hanging="190"/>
        <w:spacing w:after="0"/>
        <w:tabs>
          <w:tab w:leader="none" w:pos="680" w:val="left"/>
        </w:tabs>
        <w:numPr>
          <w:ilvl w:val="0"/>
          <w:numId w:val="24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Purchase Price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price at which a share of Stock may be purchased under the Plan, as determined in accordance with Section 9.</w:t>
      </w:r>
    </w:p>
    <w:p>
      <w:pPr>
        <w:spacing w:after="0" w:line="86" w:lineRule="exact"/>
        <w:rPr>
          <w:rFonts w:ascii="Arial" w:cs="Arial" w:eastAsia="Arial" w:hAnsi="Arial"/>
          <w:sz w:val="13"/>
          <w:szCs w:val="13"/>
          <w:color w:val="auto"/>
        </w:rPr>
      </w:pPr>
    </w:p>
    <w:p>
      <w:pPr>
        <w:ind w:firstLine="490"/>
        <w:spacing w:after="0" w:line="264" w:lineRule="auto"/>
        <w:tabs>
          <w:tab w:leader="none" w:pos="677" w:val="left"/>
        </w:tabs>
        <w:numPr>
          <w:ilvl w:val="0"/>
          <w:numId w:val="24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Purchase Right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option granted to a Participant pursuant to the Plan to purchase such shares of Stock as provided in Section 8, which the Participant may or may not exercise during the 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Period in which such option is outstanding. Such option arises from the right of a Participant to withdraw any payroll deductions or other funds accumulated on behalf of the Participant and not previously applied to the purchase of Stock under the Plan, and to terminate participation in the Plan at any time during an Offering Period.</w:t>
      </w:r>
    </w:p>
    <w:p>
      <w:pPr>
        <w:spacing w:after="0" w:line="57" w:lineRule="exact"/>
        <w:rPr>
          <w:rFonts w:ascii="Arial" w:cs="Arial" w:eastAsia="Arial" w:hAnsi="Arial"/>
          <w:sz w:val="13"/>
          <w:szCs w:val="13"/>
          <w:color w:val="auto"/>
        </w:rPr>
      </w:pPr>
    </w:p>
    <w:p>
      <w:pPr>
        <w:ind w:left="660" w:hanging="170"/>
        <w:spacing w:after="0"/>
        <w:tabs>
          <w:tab w:leader="none" w:pos="660" w:val="left"/>
        </w:tabs>
        <w:numPr>
          <w:ilvl w:val="0"/>
          <w:numId w:val="242"/>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Registration Date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effective date of the registration on Form S-8 of shares of Stock issuable pursuant to the Plan.</w:t>
      </w:r>
    </w:p>
    <w:p>
      <w:pPr>
        <w:spacing w:after="0" w:line="86" w:lineRule="exact"/>
        <w:rPr>
          <w:sz w:val="20"/>
          <w:szCs w:val="20"/>
          <w:color w:val="auto"/>
        </w:rPr>
      </w:pPr>
    </w:p>
    <w:p>
      <w:pPr>
        <w:ind w:left="720" w:hanging="230"/>
        <w:spacing w:after="0"/>
        <w:tabs>
          <w:tab w:leader="none" w:pos="720" w:val="left"/>
        </w:tabs>
        <w:numPr>
          <w:ilvl w:val="0"/>
          <w:numId w:val="243"/>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Securities Act</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Securities Act of 1933, as amended.</w:t>
      </w:r>
    </w:p>
    <w:p>
      <w:pPr>
        <w:spacing w:after="0" w:line="97" w:lineRule="exact"/>
        <w:rPr>
          <w:rFonts w:ascii="Arial" w:cs="Arial" w:eastAsia="Arial" w:hAnsi="Arial"/>
          <w:sz w:val="12"/>
          <w:szCs w:val="12"/>
          <w:color w:val="auto"/>
        </w:rPr>
      </w:pPr>
    </w:p>
    <w:p>
      <w:pPr>
        <w:ind w:left="740" w:hanging="250"/>
        <w:spacing w:after="0"/>
        <w:tabs>
          <w:tab w:leader="none" w:pos="740" w:val="left"/>
        </w:tabs>
        <w:numPr>
          <w:ilvl w:val="0"/>
          <w:numId w:val="24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Stock</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common stock of the Company, as adjusted from time to time in accordance with Section 4.3.</w:t>
      </w:r>
    </w:p>
    <w:p>
      <w:pPr>
        <w:spacing w:after="0" w:line="86" w:lineRule="exact"/>
        <w:rPr>
          <w:rFonts w:ascii="Arial" w:cs="Arial" w:eastAsia="Arial" w:hAnsi="Arial"/>
          <w:sz w:val="13"/>
          <w:szCs w:val="13"/>
          <w:color w:val="auto"/>
        </w:rPr>
      </w:pPr>
    </w:p>
    <w:p>
      <w:pPr>
        <w:ind w:right="520" w:firstLine="490"/>
        <w:spacing w:after="0" w:line="276" w:lineRule="auto"/>
        <w:tabs>
          <w:tab w:leader="none" w:pos="728" w:val="left"/>
        </w:tabs>
        <w:numPr>
          <w:ilvl w:val="0"/>
          <w:numId w:val="24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Subscription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written or electronic agreement, in such form as is specified by the Company, stating an Employee’s election to participate in the Plan and authorizing payroll</w:t>
      </w:r>
      <w:r>
        <w:rPr>
          <w:rFonts w:ascii="Arial" w:cs="Arial" w:eastAsia="Arial" w:hAnsi="Arial"/>
          <w:sz w:val="13"/>
          <w:szCs w:val="13"/>
          <w:i w:val="1"/>
          <w:iCs w:val="1"/>
          <w:color w:val="auto"/>
        </w:rPr>
        <w:t xml:space="preserve"> </w:t>
      </w:r>
      <w:r>
        <w:rPr>
          <w:rFonts w:ascii="Arial" w:cs="Arial" w:eastAsia="Arial" w:hAnsi="Arial"/>
          <w:sz w:val="13"/>
          <w:szCs w:val="13"/>
          <w:color w:val="auto"/>
        </w:rPr>
        <w:t>deductions under the Plan from the Employee’s Compensation or other method of payment authorized by the Committee pursuant to Section 11.1(c).</w:t>
      </w:r>
    </w:p>
    <w:p>
      <w:pPr>
        <w:spacing w:after="0" w:line="49" w:lineRule="exact"/>
        <w:rPr>
          <w:rFonts w:ascii="Arial" w:cs="Arial" w:eastAsia="Arial" w:hAnsi="Arial"/>
          <w:sz w:val="13"/>
          <w:szCs w:val="13"/>
          <w:color w:val="auto"/>
        </w:rPr>
      </w:pPr>
    </w:p>
    <w:p>
      <w:pPr>
        <w:ind w:left="740" w:hanging="250"/>
        <w:spacing w:after="0"/>
        <w:tabs>
          <w:tab w:leader="none" w:pos="740" w:val="left"/>
        </w:tabs>
        <w:numPr>
          <w:ilvl w:val="0"/>
          <w:numId w:val="24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Subscription Date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last business day prior to the Offering Date of an Offering Period or such earlier date as the Company shall establish.</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0"/>
          <w:numId w:val="243"/>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Subsidiary Corporation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present or future “subsidiary corporation” of the Company, as defined in Section 424(f) of the Code.</w:t>
      </w:r>
    </w:p>
    <w:p>
      <w:pPr>
        <w:spacing w:after="0" w:line="94" w:lineRule="exact"/>
        <w:rPr>
          <w:sz w:val="20"/>
          <w:szCs w:val="20"/>
          <w:color w:val="auto"/>
        </w:rPr>
      </w:pPr>
    </w:p>
    <w:p>
      <w:pPr>
        <w:ind w:right="40" w:firstLine="328"/>
        <w:spacing w:after="0" w:line="283"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Construction.</w:t>
      </w:r>
      <w:r>
        <w:rPr>
          <w:rFonts w:ascii="Arial" w:cs="Arial" w:eastAsia="Arial" w:hAnsi="Arial"/>
          <w:sz w:val="13"/>
          <w:szCs w:val="13"/>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41" w:lineRule="exact"/>
        <w:rPr>
          <w:sz w:val="20"/>
          <w:szCs w:val="20"/>
          <w:color w:val="auto"/>
        </w:rPr>
      </w:pPr>
    </w:p>
    <w:p>
      <w:pPr>
        <w:ind w:left="300" w:hanging="138"/>
        <w:spacing w:after="0"/>
        <w:tabs>
          <w:tab w:leader="none" w:pos="300" w:val="left"/>
        </w:tabs>
        <w:numPr>
          <w:ilvl w:val="0"/>
          <w:numId w:val="244"/>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DMINISTRATION</w:t>
      </w:r>
      <w:r>
        <w:rPr>
          <w:rFonts w:ascii="Arial" w:cs="Arial" w:eastAsia="Arial" w:hAnsi="Arial"/>
          <w:sz w:val="13"/>
          <w:szCs w:val="13"/>
          <w:b w:val="1"/>
          <w:bCs w:val="1"/>
          <w:color w:val="auto"/>
        </w:rPr>
        <w:t>.</w:t>
      </w:r>
    </w:p>
    <w:p>
      <w:pPr>
        <w:spacing w:after="0" w:line="86" w:lineRule="exact"/>
        <w:rPr>
          <w:sz w:val="20"/>
          <w:szCs w:val="20"/>
          <w:color w:val="auto"/>
        </w:rPr>
      </w:pPr>
    </w:p>
    <w:p>
      <w:pPr>
        <w:ind w:right="180" w:firstLine="328"/>
        <w:spacing w:after="0" w:line="29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b w:val="1"/>
          <w:bCs w:val="1"/>
          <w:color w:val="auto"/>
        </w:rPr>
        <w:t>Administration by the Committee.</w:t>
      </w:r>
      <w:r>
        <w:rPr>
          <w:rFonts w:ascii="Arial" w:cs="Arial" w:eastAsia="Arial" w:hAnsi="Arial"/>
          <w:sz w:val="12"/>
          <w:szCs w:val="12"/>
          <w:color w:val="auto"/>
        </w:rPr>
        <w:t xml:space="preserve"> The Plan shall be administered by the Committee. All questions of interpretation of the Plan, of any form of agreement or other document employed by the Company in the administration of the Plan, or of any Purchase Right shall be determined by the Committee, and such determinations shall be final, binding and conclusive upon all persons having an interest in the Plan or the Purchase Right, unless fraudulent or made in bad faith. Subject to the provisions of the Plan, the Committee shall determine all of the relevant terms and conditions of Purchase Rights; provided, however, that all Participants granted Purchase Rights pursuant to an Offering shall have the same rights and privileges within the meaning of Section 423(b)(5) of the Code. Any and all actions, decisions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6" w:name="page317"/>
    <w:bookmarkEnd w:id="316"/>
    <w:p>
      <w:pPr>
        <w:ind w:right="100"/>
        <w:spacing w:after="0" w:line="320" w:lineRule="auto"/>
        <w:rPr>
          <w:sz w:val="20"/>
          <w:szCs w:val="20"/>
          <w:color w:val="auto"/>
        </w:rPr>
      </w:pPr>
      <w:r>
        <w:rPr>
          <w:rFonts w:ascii="Arial" w:cs="Arial" w:eastAsia="Arial" w:hAnsi="Arial"/>
          <w:sz w:val="12"/>
          <w:szCs w:val="12"/>
          <w:color w:val="auto"/>
        </w:rPr>
        <w:t>and determinations taken or made by the Committee in the exercise of its discretion pursuant to the Plan or any agreement thereunder (other than determining questions of interpretation pursuant to the second sentence of this Section 3.1) shall be final, binding and conclusive upon all persons having an interest therein. All expenses incurred in connection with the administration of the Plan shall be paid by the Company.</w:t>
      </w:r>
    </w:p>
    <w:p>
      <w:pPr>
        <w:spacing w:after="0" w:line="21" w:lineRule="exact"/>
        <w:rPr>
          <w:sz w:val="20"/>
          <w:szCs w:val="20"/>
          <w:color w:val="auto"/>
        </w:rPr>
      </w:pPr>
    </w:p>
    <w:p>
      <w:pPr>
        <w:ind w:right="480" w:firstLine="328"/>
        <w:spacing w:after="0" w:line="283"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Authority of Officers.</w:t>
      </w:r>
      <w:r>
        <w:rPr>
          <w:rFonts w:ascii="Arial" w:cs="Arial" w:eastAsia="Arial" w:hAnsi="Arial"/>
          <w:sz w:val="13"/>
          <w:szCs w:val="13"/>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41" w:lineRule="exact"/>
        <w:rPr>
          <w:sz w:val="20"/>
          <w:szCs w:val="20"/>
          <w:color w:val="auto"/>
        </w:rPr>
      </w:pPr>
    </w:p>
    <w:p>
      <w:pPr>
        <w:ind w:right="120" w:firstLine="328"/>
        <w:spacing w:after="0" w:line="262"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Power to Adopt Sub-Plans.</w:t>
      </w:r>
      <w:r>
        <w:rPr>
          <w:rFonts w:ascii="Arial" w:cs="Arial" w:eastAsia="Arial" w:hAnsi="Arial"/>
          <w:sz w:val="13"/>
          <w:szCs w:val="13"/>
          <w:color w:val="auto"/>
        </w:rPr>
        <w:t xml:space="preserve"> The Committee shall have the power, in its discretion, to adopt on or more sub-plans of the Plan as the Committee 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of the Code. Any of the provisions of any such sub-plan may supersede the provisions of this Plan, other than Section 4. Except as superseded by the provisions of a sub-plan, the provisions of this Plan shall govern such sub-plan.</w:t>
      </w:r>
    </w:p>
    <w:p>
      <w:pPr>
        <w:spacing w:after="0" w:line="55" w:lineRule="exact"/>
        <w:rPr>
          <w:sz w:val="20"/>
          <w:szCs w:val="20"/>
          <w:color w:val="auto"/>
        </w:rPr>
      </w:pPr>
    </w:p>
    <w:p>
      <w:pPr>
        <w:ind w:right="140" w:firstLine="328"/>
        <w:spacing w:after="0" w:line="25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b w:val="1"/>
          <w:bCs w:val="1"/>
          <w:color w:val="auto"/>
        </w:rPr>
        <w:t>Policies and Procedures Established by the Company.</w:t>
      </w:r>
      <w:r>
        <w:rPr>
          <w:rFonts w:ascii="Arial" w:cs="Arial" w:eastAsia="Arial" w:hAnsi="Arial"/>
          <w:sz w:val="13"/>
          <w:szCs w:val="13"/>
          <w:color w:val="auto"/>
        </w:rPr>
        <w:t xml:space="preserve"> Without regard to whether any Participant’s Purchase Right may be considered adversely 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 (b) 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Subscription Agreement or in otherwise effecting a Participant’s election under the Plan or as advisable to comply with the requirements of Section 423 of the Code, and (e) determination of the date and manner by which the Fair Market Value of a share of Stock is determined for purposes of administration of the Plan. All such actions by the Company shall be taken consistent with the requirement under Section 423(b)(5) of the Code that all Participants granted Purchase Rights pursuant to an Offering shall have the same rights and privileges within the meaning of such section.</w:t>
      </w:r>
    </w:p>
    <w:p>
      <w:pPr>
        <w:spacing w:after="0" w:line="61" w:lineRule="exact"/>
        <w:rPr>
          <w:sz w:val="20"/>
          <w:szCs w:val="20"/>
          <w:color w:val="auto"/>
        </w:rPr>
      </w:pPr>
    </w:p>
    <w:p>
      <w:pPr>
        <w:jc w:val="both"/>
        <w:ind w:firstLine="328"/>
        <w:spacing w:after="0" w:line="291"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b w:val="1"/>
          <w:bCs w:val="1"/>
          <w:color w:val="auto"/>
        </w:rPr>
        <w:t>Indemnification.</w:t>
      </w:r>
      <w:r>
        <w:rPr>
          <w:rFonts w:ascii="Arial" w:cs="Arial" w:eastAsia="Arial" w:hAnsi="Arial"/>
          <w:sz w:val="12"/>
          <w:szCs w:val="12"/>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7" w:name="page318"/>
    <w:bookmarkEnd w:id="317"/>
    <w:p>
      <w:pPr>
        <w:ind w:right="60"/>
        <w:spacing w:after="0" w:line="296" w:lineRule="auto"/>
        <w:rPr>
          <w:sz w:val="20"/>
          <w:szCs w:val="20"/>
          <w:color w:val="auto"/>
        </w:rPr>
      </w:pPr>
      <w:r>
        <w:rPr>
          <w:rFonts w:ascii="Arial" w:cs="Arial" w:eastAsia="Arial" w:hAnsi="Arial"/>
          <w:sz w:val="12"/>
          <w:szCs w:val="12"/>
          <w:color w:val="auto"/>
        </w:rPr>
        <w:t>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36" w:lineRule="exact"/>
        <w:rPr>
          <w:sz w:val="20"/>
          <w:szCs w:val="20"/>
          <w:color w:val="auto"/>
        </w:rPr>
      </w:pPr>
    </w:p>
    <w:p>
      <w:pPr>
        <w:ind w:left="300" w:hanging="138"/>
        <w:spacing w:after="0"/>
        <w:tabs>
          <w:tab w:leader="none" w:pos="300" w:val="left"/>
        </w:tabs>
        <w:numPr>
          <w:ilvl w:val="0"/>
          <w:numId w:val="245"/>
        </w:numPr>
        <w:rPr>
          <w:rFonts w:ascii="Arial" w:cs="Arial" w:eastAsia="Arial" w:hAnsi="Arial"/>
          <w:sz w:val="13"/>
          <w:szCs w:val="13"/>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HARES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UBJECT TO</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86" w:lineRule="exact"/>
        <w:rPr>
          <w:sz w:val="20"/>
          <w:szCs w:val="20"/>
          <w:color w:val="auto"/>
        </w:rPr>
      </w:pPr>
    </w:p>
    <w:p>
      <w:pPr>
        <w:jc w:val="both"/>
        <w:ind w:right="100" w:firstLine="328"/>
        <w:spacing w:after="0" w:line="26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Maximum Number of Shares Issuable.</w:t>
      </w:r>
      <w:r>
        <w:rPr>
          <w:rFonts w:ascii="Arial" w:cs="Arial" w:eastAsia="Arial" w:hAnsi="Arial"/>
          <w:sz w:val="13"/>
          <w:szCs w:val="13"/>
          <w:color w:val="auto"/>
        </w:rPr>
        <w:t xml:space="preserve"> Subject to adjustment as provided in Sections 4.32 and 4.3, the maximum aggregate number of shares of Stock that may be issued under the Plan shall be 1,049,984 and shall consist of authorized but unissued or reacquired shares of Stock, or any combination thereof. If an outstanding Purchase Right for any reason expires or is terminated or canceled, the shares of Stock allocable to the unexercised portion of that Purchase Right shall again be available for issuance under the Plan.</w:t>
      </w:r>
    </w:p>
    <w:p>
      <w:pPr>
        <w:spacing w:after="0" w:line="52" w:lineRule="exact"/>
        <w:rPr>
          <w:sz w:val="20"/>
          <w:szCs w:val="20"/>
          <w:color w:val="auto"/>
        </w:rPr>
      </w:pPr>
    </w:p>
    <w:p>
      <w:pPr>
        <w:ind w:firstLine="328"/>
        <w:spacing w:after="0" w:line="300"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Annual Increase in Maximum Number of Shares Issuable.</w:t>
      </w:r>
      <w:r>
        <w:rPr>
          <w:rFonts w:ascii="Arial" w:cs="Arial" w:eastAsia="Arial" w:hAnsi="Arial"/>
          <w:sz w:val="12"/>
          <w:szCs w:val="12"/>
          <w:color w:val="auto"/>
        </w:rPr>
        <w:t xml:space="preserve"> Subject to adjustment as provided in Section 4.3, the maximum aggregate number of shares of Stock that may be issued under the Plan as set forth in Section 4.1 shall be cumulatively increased on January 1, 2009 and on each subsequent January 1, through and including January 1, 2017, by a number of shares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Annual Increase</w:t>
      </w:r>
      <w:r>
        <w:rPr>
          <w:rFonts w:ascii="Arial" w:cs="Arial" w:eastAsia="Arial" w:hAnsi="Arial"/>
          <w:sz w:val="12"/>
          <w:szCs w:val="12"/>
          <w:i w:val="1"/>
          <w:iCs w:val="1"/>
          <w:color w:val="auto"/>
        </w:rPr>
        <w:t>”</w:t>
      </w:r>
      <w:r>
        <w:rPr>
          <w:rFonts w:ascii="Arial" w:cs="Arial" w:eastAsia="Arial" w:hAnsi="Arial"/>
          <w:sz w:val="12"/>
          <w:szCs w:val="12"/>
          <w:color w:val="auto"/>
        </w:rPr>
        <w:t>) equal to the smallest of (a) one percent (1.0%) of the number of shares of Stock issued and outstanding on the immediately preceding December 31, (b) 1,049,984 shares, or (c) an amount determined by the Board.</w:t>
      </w:r>
    </w:p>
    <w:p>
      <w:pPr>
        <w:spacing w:after="0" w:line="33"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Adjustments for Changes in Capital Structure.</w:t>
      </w:r>
      <w:r>
        <w:rPr>
          <w:rFonts w:ascii="Arial" w:cs="Arial" w:eastAsia="Arial" w:hAnsi="Arial"/>
          <w:sz w:val="13"/>
          <w:szCs w:val="13"/>
          <w:color w:val="auto"/>
        </w:rPr>
        <w:t xml:space="preserve"> Subject to any required action by the stockholders of the Company and the requirements of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and kind of shares subject to the Plan, the Annual Increase, the limit on the shares which may be purchased by any Participant during an Offering (as described in Sections 8.1 and 8.2) and each Purchase Right, and in the Purchase Price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Purchase Rights are exchanged for, converted into, or otherwise become (whether or not pursuant to an Ownership Change Event) shares of another corporation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New Shares</w:t>
      </w:r>
      <w:r>
        <w:rPr>
          <w:rFonts w:ascii="Arial" w:cs="Arial" w:eastAsia="Arial" w:hAnsi="Arial"/>
          <w:sz w:val="13"/>
          <w:szCs w:val="13"/>
          <w:i w:val="1"/>
          <w:iCs w:val="1"/>
          <w:color w:val="auto"/>
        </w:rPr>
        <w:t>”</w:t>
      </w:r>
      <w:r>
        <w:rPr>
          <w:rFonts w:ascii="Arial" w:cs="Arial" w:eastAsia="Arial" w:hAnsi="Arial"/>
          <w:sz w:val="13"/>
          <w:szCs w:val="13"/>
          <w:color w:val="auto"/>
        </w:rPr>
        <w:t>), the Committee may unilaterally amend the outstanding Purchase Rights to provide that such Purchase Rights are for New Shares. In the event of any such amendment, the number of shares subject to, and the exercise price per share of, the outstanding Purchase Rights shall be adjusted in a fair and equitable manner as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8" w:name="page319"/>
    <w:bookmarkEnd w:id="318"/>
    <w:p>
      <w:pPr>
        <w:spacing w:after="0" w:line="369" w:lineRule="auto"/>
        <w:rPr>
          <w:sz w:val="20"/>
          <w:szCs w:val="20"/>
          <w:color w:val="auto"/>
        </w:rPr>
      </w:pPr>
      <w:r>
        <w:rPr>
          <w:rFonts w:ascii="Arial" w:cs="Arial" w:eastAsia="Arial" w:hAnsi="Arial"/>
          <w:sz w:val="11"/>
          <w:szCs w:val="11"/>
          <w:color w:val="auto"/>
        </w:rPr>
        <w:t>determined by the Committee, in its discretion. Any fractional share resulting from an adjustment pursuant to this Section 4.3 shall be rounded down to the nearest whole number, and in no event may the Purchase Price be decreased to an amount less than the par value, if any, of the stock subject to the Purchase Right. The adjustments determined by the Committee pursuant to this Section 4.3 shall be final, binding and conclusive.</w:t>
      </w:r>
    </w:p>
    <w:p>
      <w:pPr>
        <w:ind w:left="300" w:hanging="138"/>
        <w:spacing w:after="0"/>
        <w:tabs>
          <w:tab w:leader="none" w:pos="300" w:val="left"/>
        </w:tabs>
        <w:numPr>
          <w:ilvl w:val="0"/>
          <w:numId w:val="246"/>
        </w:numPr>
        <w:rPr>
          <w:rFonts w:ascii="Arial" w:cs="Arial" w:eastAsia="Arial" w:hAnsi="Arial"/>
          <w:sz w:val="13"/>
          <w:szCs w:val="13"/>
          <w:color w:val="auto"/>
        </w:rPr>
      </w:pP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LIGIBILITY</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b w:val="1"/>
          <w:bCs w:val="1"/>
          <w:color w:val="auto"/>
        </w:rPr>
        <w:t>Employees Eligible to Participate.</w:t>
      </w:r>
      <w:r>
        <w:rPr>
          <w:rFonts w:ascii="Arial" w:cs="Arial" w:eastAsia="Arial" w:hAnsi="Arial"/>
          <w:sz w:val="13"/>
          <w:szCs w:val="13"/>
          <w:color w:val="auto"/>
        </w:rPr>
        <w:t xml:space="preserve"> Each Employee of a Participating Company is eligible to participate in the Plan and shall be deemed an Eligible Employee, except the following:</w:t>
      </w:r>
    </w:p>
    <w:p>
      <w:pPr>
        <w:spacing w:after="0" w:line="90" w:lineRule="exact"/>
        <w:rPr>
          <w:sz w:val="20"/>
          <w:szCs w:val="20"/>
          <w:color w:val="auto"/>
        </w:rPr>
      </w:pPr>
    </w:p>
    <w:p>
      <w:pPr>
        <w:ind w:left="660" w:hanging="170"/>
        <w:spacing w:after="0"/>
        <w:tabs>
          <w:tab w:leader="none" w:pos="66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Any Employee who is customarily employed by the Participating Company Group for twenty (20) hours or less per week; or</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Any Employee who is customarily employed by the Participating Company Group for not more than five (5) months in any calendar year.</w:t>
      </w:r>
    </w:p>
    <w:p>
      <w:pPr>
        <w:spacing w:after="0" w:line="82"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b w:val="1"/>
          <w:bCs w:val="1"/>
          <w:color w:val="auto"/>
        </w:rPr>
        <w:t>Exclusion of Certain Stockholders.</w:t>
      </w:r>
      <w:r>
        <w:rPr>
          <w:rFonts w:ascii="Arial" w:cs="Arial" w:eastAsia="Arial" w:hAnsi="Arial"/>
          <w:sz w:val="13"/>
          <w:szCs w:val="13"/>
          <w:color w:val="auto"/>
        </w:rPr>
        <w:t xml:space="preserve"> Notwithstanding any provision of the Plan to the contrary, no Employee shall be treated as an Eligible Employee and granted a Purchase Right under the Plan if, immediately after such grant, the Employee would own, or hold options to purchase, stock of the Company or of any Parent Corporation or Subsidiary Corporation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spacing w:after="0" w:line="55" w:lineRule="exact"/>
        <w:rPr>
          <w:sz w:val="20"/>
          <w:szCs w:val="20"/>
          <w:color w:val="auto"/>
        </w:rPr>
      </w:pPr>
    </w:p>
    <w:p>
      <w:pPr>
        <w:ind w:right="60" w:firstLine="328"/>
        <w:spacing w:after="0" w:line="262"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b w:val="1"/>
          <w:bCs w:val="1"/>
          <w:color w:val="auto"/>
        </w:rPr>
        <w:t>Determination by Company.</w:t>
      </w:r>
      <w:r>
        <w:rPr>
          <w:rFonts w:ascii="Arial" w:cs="Arial" w:eastAsia="Arial" w:hAnsi="Arial"/>
          <w:sz w:val="13"/>
          <w:szCs w:val="13"/>
          <w:color w:val="auto"/>
        </w:rPr>
        <w:t xml:space="preserve"> The Company shall determine in good faith and in the exercise of its discretion whether an individual has become or has ceased to be an Employee or an Eligible Employee and the effective date of such individual’s attainment or termination of such status, as the case may be. For purposes of an individual’s participation in or other rights, if any, under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55" w:lineRule="exact"/>
        <w:rPr>
          <w:sz w:val="20"/>
          <w:szCs w:val="20"/>
          <w:color w:val="auto"/>
        </w:rPr>
      </w:pPr>
    </w:p>
    <w:p>
      <w:pPr>
        <w:ind w:left="300" w:hanging="138"/>
        <w:spacing w:after="0"/>
        <w:tabs>
          <w:tab w:leader="none" w:pos="300" w:val="left"/>
        </w:tabs>
        <w:numPr>
          <w:ilvl w:val="0"/>
          <w:numId w:val="248"/>
        </w:numPr>
        <w:rPr>
          <w:rFonts w:ascii="Arial" w:cs="Arial" w:eastAsia="Arial" w:hAnsi="Arial"/>
          <w:sz w:val="13"/>
          <w:szCs w:val="13"/>
          <w:color w:val="auto"/>
        </w:rPr>
      </w:pPr>
      <w:r>
        <w:rPr>
          <w:rFonts w:ascii="Arial" w:cs="Arial" w:eastAsia="Arial" w:hAnsi="Arial"/>
          <w:sz w:val="13"/>
          <w:szCs w:val="13"/>
          <w:b w:val="1"/>
          <w:bCs w:val="1"/>
          <w:u w:val="single" w:color="auto"/>
          <w:color w:val="auto"/>
        </w:rPr>
        <w:t>O</w:t>
      </w:r>
      <w:r>
        <w:rPr>
          <w:rFonts w:ascii="Arial" w:cs="Arial" w:eastAsia="Arial" w:hAnsi="Arial"/>
          <w:sz w:val="8"/>
          <w:szCs w:val="8"/>
          <w:b w:val="1"/>
          <w:bCs w:val="1"/>
          <w:u w:val="single" w:color="auto"/>
          <w:color w:val="auto"/>
        </w:rPr>
        <w:t>FFERINGS</w:t>
      </w:r>
      <w:r>
        <w:rPr>
          <w:rFonts w:ascii="Arial" w:cs="Arial" w:eastAsia="Arial" w:hAnsi="Arial"/>
          <w:sz w:val="13"/>
          <w:szCs w:val="13"/>
          <w:b w:val="1"/>
          <w:bCs w:val="1"/>
          <w:color w:val="auto"/>
        </w:rPr>
        <w:t>.</w:t>
      </w:r>
    </w:p>
    <w:p>
      <w:pPr>
        <w:spacing w:after="0" w:line="90" w:lineRule="exact"/>
        <w:rPr>
          <w:sz w:val="20"/>
          <w:szCs w:val="20"/>
          <w:color w:val="auto"/>
        </w:rPr>
      </w:pPr>
    </w:p>
    <w:p>
      <w:pPr>
        <w:jc w:val="both"/>
        <w:ind w:right="60" w:firstLine="325"/>
        <w:spacing w:after="0" w:line="289" w:lineRule="auto"/>
        <w:rPr>
          <w:sz w:val="20"/>
          <w:szCs w:val="20"/>
          <w:color w:val="auto"/>
        </w:rPr>
      </w:pPr>
      <w:r>
        <w:rPr>
          <w:rFonts w:ascii="Arial" w:cs="Arial" w:eastAsia="Arial" w:hAnsi="Arial"/>
          <w:sz w:val="12"/>
          <w:szCs w:val="12"/>
          <w:color w:val="auto"/>
        </w:rPr>
        <w:t>The Plan shall be implemented by sequential Offerings of approximately three (3) months duration or such other duration as the Committee shall determine. Offering Periods shall commence on or about the first trading days of February, May, August and November of each year and end on or about the last trading days of the next April, July, October and January, respectively, occurring thereafter. However, if so determined by the Committee, the initial Offering Period shall commence on the Effective Date and end on or about October 31, 2008. Notwithstanding the foregoing, the Committee may establish additional or alternative sequential or overlapping Offering Periods, a different duration for one or more Offering Periods or different commencing or ending dates for such Offering Periods; provided, however, that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9" w:name="page320"/>
    <w:bookmarkEnd w:id="319"/>
    <w:p>
      <w:pPr>
        <w:spacing w:after="0" w:line="260" w:lineRule="auto"/>
        <w:rPr>
          <w:sz w:val="20"/>
          <w:szCs w:val="20"/>
          <w:color w:val="auto"/>
        </w:rPr>
      </w:pPr>
      <w:r>
        <w:rPr>
          <w:rFonts w:ascii="Arial" w:cs="Arial" w:eastAsia="Arial" w:hAnsi="Arial"/>
          <w:sz w:val="13"/>
          <w:szCs w:val="13"/>
          <w:color w:val="auto"/>
        </w:rPr>
        <w:t>Offering Period may have a duration exceeding twenty-seven (27) months. If the Committee shall so determine in its discretion, each Offering Period may consist of two (2) or more consecutive Purchase Periods having such duration as the Committee shall specify, and the last day of each such Purchase Period shall be a Purchase Date. If the first or last day of an Offering Period or a Purchase Period is not a day on which the principal stock exchange or quotation system on which the Stock is then listed is open for trading, the Company shall specify the trading day that will be deemed the first or last day, as the case may be, of the Offering Period or Purchase Period.</w:t>
      </w:r>
    </w:p>
    <w:p>
      <w:pPr>
        <w:spacing w:after="0" w:line="56" w:lineRule="exact"/>
        <w:rPr>
          <w:sz w:val="20"/>
          <w:szCs w:val="20"/>
          <w:color w:val="auto"/>
        </w:rPr>
      </w:pPr>
    </w:p>
    <w:p>
      <w:pPr>
        <w:ind w:left="300" w:hanging="138"/>
        <w:spacing w:after="0"/>
        <w:tabs>
          <w:tab w:leader="none" w:pos="300" w:val="left"/>
        </w:tabs>
        <w:numPr>
          <w:ilvl w:val="0"/>
          <w:numId w:val="249"/>
        </w:numPr>
        <w:rPr>
          <w:rFonts w:ascii="Arial" w:cs="Arial" w:eastAsia="Arial" w:hAnsi="Arial"/>
          <w:sz w:val="13"/>
          <w:szCs w:val="13"/>
          <w:color w:val="auto"/>
        </w:rPr>
      </w:pP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ARTICIPATION IN THE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b w:val="1"/>
          <w:bCs w:val="1"/>
          <w:color w:val="auto"/>
        </w:rPr>
        <w:t>Initial Participation.</w:t>
      </w:r>
    </w:p>
    <w:p>
      <w:pPr>
        <w:spacing w:after="0" w:line="86" w:lineRule="exact"/>
        <w:rPr>
          <w:sz w:val="20"/>
          <w:szCs w:val="20"/>
          <w:color w:val="auto"/>
        </w:rPr>
      </w:pPr>
    </w:p>
    <w:p>
      <w:pPr>
        <w:ind w:right="20" w:firstLine="490"/>
        <w:spacing w:after="0" w:line="314" w:lineRule="auto"/>
        <w:tabs>
          <w:tab w:leader="none" w:pos="669" w:val="left"/>
        </w:tabs>
        <w:numPr>
          <w:ilvl w:val="0"/>
          <w:numId w:val="250"/>
        </w:numPr>
        <w:rPr>
          <w:rFonts w:ascii="Arial" w:cs="Arial" w:eastAsia="Arial" w:hAnsi="Arial"/>
          <w:sz w:val="11"/>
          <w:szCs w:val="11"/>
          <w:color w:val="auto"/>
        </w:rPr>
      </w:pPr>
      <w:r>
        <w:rPr>
          <w:rFonts w:ascii="Arial" w:cs="Arial" w:eastAsia="Arial" w:hAnsi="Arial"/>
          <w:sz w:val="11"/>
          <w:szCs w:val="11"/>
          <w:b w:val="1"/>
          <w:bCs w:val="1"/>
          <w:color w:val="auto"/>
        </w:rPr>
        <w:t xml:space="preserve">Generally. </w:t>
      </w:r>
      <w:r>
        <w:rPr>
          <w:rFonts w:ascii="Arial" w:cs="Arial" w:eastAsia="Arial" w:hAnsi="Arial"/>
          <w:sz w:val="11"/>
          <w:szCs w:val="11"/>
          <w:color w:val="auto"/>
        </w:rPr>
        <w:t>Except as provided in Section 7.1(b), an Eligible Employee may become a Participant in an Offering Period by delivering a properly completed written or electronic Subscription Agreement to</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office or representative designated by the Company (including a third-party administrator designated by the Company) not later than the close of business on the Subscription Date established by the Company for that Offering Period. An Eligible Employee who does not deliver a properly completed Subscription Agreement in the manner permitted or required on or before the Subscription Date for an Offering Period shall not participate in the Plan for that Offering Period or for any subsequent Offering Period unless the Eligible Employee subsequently delivers a properly completed Subscription Agreement to the appropriate Company office or representative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spacing w:after="0" w:line="29" w:lineRule="exact"/>
        <w:rPr>
          <w:rFonts w:ascii="Arial" w:cs="Arial" w:eastAsia="Arial" w:hAnsi="Arial"/>
          <w:sz w:val="11"/>
          <w:szCs w:val="11"/>
          <w:color w:val="auto"/>
        </w:rPr>
      </w:pPr>
    </w:p>
    <w:p>
      <w:pPr>
        <w:ind w:right="60" w:firstLine="490"/>
        <w:spacing w:after="0" w:line="284" w:lineRule="auto"/>
        <w:tabs>
          <w:tab w:leader="none" w:pos="677" w:val="left"/>
        </w:tabs>
        <w:numPr>
          <w:ilvl w:val="0"/>
          <w:numId w:val="250"/>
        </w:numPr>
        <w:rPr>
          <w:rFonts w:ascii="Arial" w:cs="Arial" w:eastAsia="Arial" w:hAnsi="Arial"/>
          <w:sz w:val="12"/>
          <w:szCs w:val="12"/>
          <w:color w:val="auto"/>
        </w:rPr>
      </w:pPr>
      <w:r>
        <w:rPr>
          <w:rFonts w:ascii="Arial" w:cs="Arial" w:eastAsia="Arial" w:hAnsi="Arial"/>
          <w:sz w:val="12"/>
          <w:szCs w:val="12"/>
          <w:b w:val="1"/>
          <w:bCs w:val="1"/>
          <w:color w:val="auto"/>
        </w:rPr>
        <w:t xml:space="preserve">Automatic Participation in Pre-Registration Offering Period. </w:t>
      </w:r>
      <w:r>
        <w:rPr>
          <w:rFonts w:ascii="Arial" w:cs="Arial" w:eastAsia="Arial" w:hAnsi="Arial"/>
          <w:sz w:val="12"/>
          <w:szCs w:val="12"/>
          <w:color w:val="auto"/>
        </w:rPr>
        <w:t>Notwithstanding Section 7.1(a), each Employee who is an Eligible Employee as of the Offering Date of a Pre-Registration Offering Period</w:t>
      </w:r>
      <w:r>
        <w:rPr>
          <w:rFonts w:ascii="Arial" w:cs="Arial" w:eastAsia="Arial" w:hAnsi="Arial"/>
          <w:sz w:val="12"/>
          <w:szCs w:val="12"/>
          <w:b w:val="1"/>
          <w:bCs w:val="1"/>
          <w:color w:val="auto"/>
        </w:rPr>
        <w:t xml:space="preserve"> </w:t>
      </w:r>
      <w:r>
        <w:rPr>
          <w:rFonts w:ascii="Arial" w:cs="Arial" w:eastAsia="Arial" w:hAnsi="Arial"/>
          <w:sz w:val="12"/>
          <w:szCs w:val="12"/>
          <w:color w:val="auto"/>
        </w:rPr>
        <w:t>shall automatically become a Participant in the Pre-Registration Offering Period and shall be granted automatically a Purchase Right consisting of an option to purchase the lesser of (i) a number of whole shares of Stock determined in accordance with Section 8, or (ii) a number of whole shares of Stock determined by dividing twenty percent (20%) of such Participant’s Compensation paid during the Pre-Registration Offering Period by the Purchase Price applicable to the Pre-Registration Offering Period. The Company shall not require or permit any Participant to deliver a Subscription Agreement for participation in the Pre-Registration Offering Period; provided, however, that following the applicable Registration Date a Participant may deliver a Subscription Agreement to the office designated by the Company if the Participant wishes to change the terms of the Participant’s participation in the Pre-Registration Offering Period. Such changes may include, for example, an election to commence payroll deductions in accordance with Section 10.</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color w:val="auto"/>
        </w:rPr>
        <w:t>Continued Participation.</w:t>
      </w:r>
    </w:p>
    <w:p>
      <w:pPr>
        <w:spacing w:after="0" w:line="86" w:lineRule="exact"/>
        <w:rPr>
          <w:sz w:val="20"/>
          <w:szCs w:val="20"/>
          <w:color w:val="auto"/>
        </w:rPr>
      </w:pPr>
    </w:p>
    <w:p>
      <w:pPr>
        <w:ind w:left="5700" w:right="2620" w:hanging="5210"/>
        <w:spacing w:after="0" w:line="504" w:lineRule="auto"/>
        <w:tabs>
          <w:tab w:leader="none" w:pos="667"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Generally. </w:t>
      </w:r>
      <w:r>
        <w:rPr>
          <w:rFonts w:ascii="Arial" w:cs="Arial" w:eastAsia="Arial" w:hAnsi="Arial"/>
          <w:sz w:val="13"/>
          <w:szCs w:val="13"/>
          <w:color w:val="auto"/>
        </w:rPr>
        <w:t>Except as provided in Section 7.2(b), a Participant shall automatically participate in the next Offering Period commencing immediately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0" w:name="page321"/>
    <w:bookmarkEnd w:id="320"/>
    <w:p>
      <w:pPr>
        <w:ind w:left="1"/>
        <w:spacing w:after="0"/>
        <w:rPr>
          <w:sz w:val="20"/>
          <w:szCs w:val="20"/>
          <w:color w:val="auto"/>
        </w:rPr>
      </w:pPr>
      <w:r>
        <w:rPr>
          <w:rFonts w:ascii="Arial" w:cs="Arial" w:eastAsia="Arial" w:hAnsi="Arial"/>
          <w:sz w:val="12"/>
          <w:szCs w:val="12"/>
          <w:color w:val="auto"/>
        </w:rPr>
        <w:t>final Purchase Date of each Offering Period in which the Participant participates provided that the Participant remains an Eligible Employee on the Offering Date of the new Offering Period and has not either</w:t>
      </w:r>
    </w:p>
    <w:p>
      <w:pPr>
        <w:spacing w:after="0" w:line="27" w:lineRule="exact"/>
        <w:rPr>
          <w:sz w:val="20"/>
          <w:szCs w:val="20"/>
          <w:color w:val="auto"/>
        </w:rPr>
      </w:pPr>
    </w:p>
    <w:p>
      <w:pPr>
        <w:jc w:val="both"/>
        <w:ind w:left="1" w:right="80" w:hanging="1"/>
        <w:spacing w:after="0" w:line="256" w:lineRule="auto"/>
        <w:tabs>
          <w:tab w:leader="none" w:pos="18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withdrawn from the Plan pursuant to Section 12.1, or (b) terminated employment or otherwise ceased to be an Eligible Employee as provided in Section 13. A Participant who may automatically participate in a subsequent Offering Period, as provided in this Section, is not required to deliver any additional Subscription Agreement for the subsequent Offering Period in order to continue participation in the Plan. However, a Participant may deliver a new Subscription Agreement for a subsequent Offering Period in accordance with the procedures set forth in Section 7.1(a) if the Participant desires to change any of the elections contained in the Participant’s then effective Subscription Agreement.</w:t>
      </w:r>
    </w:p>
    <w:p>
      <w:pPr>
        <w:spacing w:after="0" w:line="58" w:lineRule="exact"/>
        <w:rPr>
          <w:rFonts w:ascii="Arial" w:cs="Arial" w:eastAsia="Arial" w:hAnsi="Arial"/>
          <w:sz w:val="13"/>
          <w:szCs w:val="13"/>
          <w:color w:val="auto"/>
        </w:rPr>
      </w:pPr>
    </w:p>
    <w:p>
      <w:pPr>
        <w:ind w:left="1" w:firstLine="490"/>
        <w:spacing w:after="0" w:line="300" w:lineRule="auto"/>
        <w:tabs>
          <w:tab w:leader="none" w:pos="678" w:val="left"/>
        </w:tabs>
        <w:numPr>
          <w:ilvl w:val="1"/>
          <w:numId w:val="252"/>
        </w:numPr>
        <w:rPr>
          <w:rFonts w:ascii="Arial" w:cs="Arial" w:eastAsia="Arial" w:hAnsi="Arial"/>
          <w:sz w:val="12"/>
          <w:szCs w:val="12"/>
          <w:color w:val="auto"/>
        </w:rPr>
      </w:pPr>
      <w:r>
        <w:rPr>
          <w:rFonts w:ascii="Arial" w:cs="Arial" w:eastAsia="Arial" w:hAnsi="Arial"/>
          <w:sz w:val="12"/>
          <w:szCs w:val="12"/>
          <w:b w:val="1"/>
          <w:bCs w:val="1"/>
          <w:color w:val="auto"/>
        </w:rPr>
        <w:t xml:space="preserve">Participation Following Pre-Registration Offering Period. </w:t>
      </w:r>
      <w:r>
        <w:rPr>
          <w:rFonts w:ascii="Arial" w:cs="Arial" w:eastAsia="Arial" w:hAnsi="Arial"/>
          <w:sz w:val="12"/>
          <w:szCs w:val="12"/>
          <w:color w:val="auto"/>
        </w:rPr>
        <w:t>Notwithstanding Section 7.2(a), an Eligible Employee who was automatically enrolled in a Pre-Registration Offering Period and who wishes to</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participate in an Offering Period which begins after the Pre-Registration Offering Period shall deliver a Subscription Agreement in accordance with Section 7.1(a) no earlier than the applicable Registration Date and no later than the Subscription Date for such Offering Period, unless the Employee delivered a Subscription Agreement with respect to the Pre-Registration Offering Period as provided in Section 7.1(b).</w:t>
      </w:r>
    </w:p>
    <w:p>
      <w:pPr>
        <w:spacing w:after="0" w:line="33" w:lineRule="exact"/>
        <w:rPr>
          <w:sz w:val="20"/>
          <w:szCs w:val="20"/>
          <w:color w:val="auto"/>
        </w:rPr>
      </w:pPr>
    </w:p>
    <w:p>
      <w:pPr>
        <w:ind w:left="301" w:hanging="138"/>
        <w:spacing w:after="0"/>
        <w:tabs>
          <w:tab w:leader="none" w:pos="301" w:val="left"/>
        </w:tabs>
        <w:numPr>
          <w:ilvl w:val="0"/>
          <w:numId w:val="253"/>
        </w:numPr>
        <w:rPr>
          <w:rFonts w:ascii="Arial" w:cs="Arial" w:eastAsia="Arial" w:hAnsi="Arial"/>
          <w:sz w:val="13"/>
          <w:szCs w:val="13"/>
          <w:color w:val="auto"/>
        </w:rPr>
      </w:pP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IGHT TO</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HARES</w:t>
      </w:r>
      <w:r>
        <w:rPr>
          <w:rFonts w:ascii="Arial" w:cs="Arial" w:eastAsia="Arial" w:hAnsi="Arial"/>
          <w:sz w:val="13"/>
          <w:szCs w:val="13"/>
          <w:b w:val="1"/>
          <w:bCs w:val="1"/>
          <w:color w:val="auto"/>
        </w:rPr>
        <w:t>.</w:t>
      </w:r>
    </w:p>
    <w:p>
      <w:pPr>
        <w:spacing w:after="0" w:line="86" w:lineRule="exact"/>
        <w:rPr>
          <w:sz w:val="20"/>
          <w:szCs w:val="20"/>
          <w:color w:val="auto"/>
        </w:rPr>
      </w:pPr>
    </w:p>
    <w:p>
      <w:pPr>
        <w:ind w:left="1" w:right="20" w:firstLine="328"/>
        <w:spacing w:after="0" w:line="256"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Grant of Purchase Right.</w:t>
      </w:r>
      <w:r>
        <w:rPr>
          <w:rFonts w:ascii="Arial" w:cs="Arial" w:eastAsia="Arial" w:hAnsi="Arial"/>
          <w:sz w:val="13"/>
          <w:szCs w:val="13"/>
          <w:color w:val="auto"/>
        </w:rPr>
        <w:t xml:space="preserve"> Except as provided in Section 7.1 with respect to a Pre-Registration Offering Period or as otherwise provided below, on the Offering Date of each Offering Period, each Participant in such Offering Period shall be granted automatically a Purchase Right consisting of an option to purchase the lesser of (a) that number of whole shares of Stock determined by dividing the Dollar Limit (determined as provided below) by the Fair Market Value of a share of Stock on such Offering Date or (b) the Share Limit (determined as provided below).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Dollar Limit</w:t>
      </w:r>
      <w:r>
        <w:rPr>
          <w:rFonts w:ascii="Arial" w:cs="Arial" w:eastAsia="Arial" w:hAnsi="Arial"/>
          <w:sz w:val="13"/>
          <w:szCs w:val="13"/>
          <w:i w:val="1"/>
          <w:iCs w:val="1"/>
          <w:color w:val="auto"/>
        </w:rPr>
        <w:t>”</w:t>
      </w:r>
      <w:r>
        <w:rPr>
          <w:rFonts w:ascii="Arial" w:cs="Arial" w:eastAsia="Arial" w:hAnsi="Arial"/>
          <w:sz w:val="13"/>
          <w:szCs w:val="13"/>
          <w:color w:val="auto"/>
        </w:rPr>
        <w:t xml:space="preserve"> shall be determined by multiplying $1,979.17 by the number of months (rounded to the nearest whole month) in the Offering Period and rounding to the nearest whole dollar, and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Share Limit</w:t>
      </w:r>
      <w:r>
        <w:rPr>
          <w:rFonts w:ascii="Arial" w:cs="Arial" w:eastAsia="Arial" w:hAnsi="Arial"/>
          <w:sz w:val="13"/>
          <w:szCs w:val="13"/>
          <w:i w:val="1"/>
          <w:iCs w:val="1"/>
          <w:color w:val="auto"/>
        </w:rPr>
        <w:t>”</w:t>
      </w:r>
      <w:r>
        <w:rPr>
          <w:rFonts w:ascii="Arial" w:cs="Arial" w:eastAsia="Arial" w:hAnsi="Arial"/>
          <w:sz w:val="13"/>
          <w:szCs w:val="13"/>
          <w:color w:val="auto"/>
        </w:rPr>
        <w:t xml:space="preserve"> shall be determined by multiplying one hundred (100) shares by the number of months (rounded to the nearest whole month) in the Offering Period and rounding to the nearest whole share.</w:t>
      </w:r>
    </w:p>
    <w:p>
      <w:pPr>
        <w:spacing w:after="0" w:line="61" w:lineRule="exact"/>
        <w:rPr>
          <w:sz w:val="20"/>
          <w:szCs w:val="20"/>
          <w:color w:val="auto"/>
        </w:rPr>
      </w:pPr>
    </w:p>
    <w:p>
      <w:pPr>
        <w:ind w:left="1" w:firstLine="328"/>
        <w:spacing w:after="0" w:line="262"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color w:val="auto"/>
        </w:rPr>
        <w:t>Calendar Year Purchase Limitation.</w:t>
      </w:r>
      <w:r>
        <w:rPr>
          <w:rFonts w:ascii="Arial" w:cs="Arial" w:eastAsia="Arial" w:hAnsi="Arial"/>
          <w:sz w:val="13"/>
          <w:szCs w:val="13"/>
          <w:color w:val="auto"/>
        </w:rPr>
        <w:t xml:space="preserve"> Notwithstanding any provision of the Plan to the contrary, no Participant shall be granted a Purchase Right which permits his or her right to purchase shares of Stock under the Plan to accrue at a rate which, when aggregated with such Participant’s rights to purchase shares under all other employee stock purchase plans of a Participating Company intended to meet the requirements of Section 423 of the Code, exceeds Twenty-Three Thousand Seven Hundred and Fifty Dollars ($23,750) in Fair Market Value (or such other limit, if any, as may be imposed by the Code) for each calendar year in which such Purchase Right is outstanding at any time. For purposes of the preceding sentence, the Fair Market Value of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21" w:name="page322"/>
    <w:bookmarkEnd w:id="321"/>
    <w:p>
      <w:pPr>
        <w:ind w:right="20"/>
        <w:spacing w:after="0" w:line="276" w:lineRule="auto"/>
        <w:rPr>
          <w:sz w:val="20"/>
          <w:szCs w:val="20"/>
          <w:color w:val="auto"/>
        </w:rPr>
      </w:pPr>
      <w:r>
        <w:rPr>
          <w:rFonts w:ascii="Arial" w:cs="Arial" w:eastAsia="Arial" w:hAnsi="Arial"/>
          <w:sz w:val="13"/>
          <w:szCs w:val="13"/>
          <w:color w:val="auto"/>
        </w:rPr>
        <w:t>purchased during a given Offering Period shall be determined as of the Offering Date for such Offering Period. The limitation described in this Section shall be applied in conformance with applicable regulations under Section 423(b)(8) of the Code.</w:t>
      </w:r>
    </w:p>
    <w:p>
      <w:pPr>
        <w:spacing w:after="0" w:line="45" w:lineRule="exact"/>
        <w:rPr>
          <w:sz w:val="20"/>
          <w:szCs w:val="20"/>
          <w:color w:val="auto"/>
        </w:rPr>
      </w:pPr>
    </w:p>
    <w:p>
      <w:pPr>
        <w:ind w:left="300" w:hanging="138"/>
        <w:spacing w:after="0"/>
        <w:tabs>
          <w:tab w:leader="none" w:pos="300" w:val="left"/>
        </w:tabs>
        <w:numPr>
          <w:ilvl w:val="0"/>
          <w:numId w:val="254"/>
        </w:numPr>
        <w:rPr>
          <w:rFonts w:ascii="Arial" w:cs="Arial" w:eastAsia="Arial" w:hAnsi="Arial"/>
          <w:sz w:val="13"/>
          <w:szCs w:val="13"/>
          <w:color w:val="auto"/>
        </w:rPr>
      </w:pP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RICE</w:t>
      </w:r>
      <w:r>
        <w:rPr>
          <w:rFonts w:ascii="Arial" w:cs="Arial" w:eastAsia="Arial" w:hAnsi="Arial"/>
          <w:sz w:val="13"/>
          <w:szCs w:val="13"/>
          <w:b w:val="1"/>
          <w:bCs w:val="1"/>
          <w:color w:val="auto"/>
        </w:rPr>
        <w:t>.</w:t>
      </w:r>
    </w:p>
    <w:p>
      <w:pPr>
        <w:spacing w:after="0" w:line="90" w:lineRule="exact"/>
        <w:rPr>
          <w:sz w:val="20"/>
          <w:szCs w:val="20"/>
          <w:color w:val="auto"/>
        </w:rPr>
      </w:pPr>
    </w:p>
    <w:p>
      <w:pPr>
        <w:jc w:val="both"/>
        <w:ind w:right="60" w:firstLine="325"/>
        <w:spacing w:after="0" w:line="260" w:lineRule="auto"/>
        <w:rPr>
          <w:sz w:val="20"/>
          <w:szCs w:val="20"/>
          <w:color w:val="auto"/>
        </w:rPr>
      </w:pPr>
      <w:r>
        <w:rPr>
          <w:rFonts w:ascii="Arial" w:cs="Arial" w:eastAsia="Arial" w:hAnsi="Arial"/>
          <w:sz w:val="13"/>
          <w:szCs w:val="13"/>
          <w:color w:val="auto"/>
        </w:rPr>
        <w:t>The Purchase Price at which each share of Stock may be acquired in an Offering Period upon the exercise of all or any portion of a Purchase Right shall be established by the Committee; provided, however, that the Purchase Price on each Purchase Date shall not be less than eighty-five percent (85%) of the lesser of (a) the Fair Market Value of a share of Stock on the Offering Date of the Offering Period or (b) the Fair Market Value of a share of Stock on the Purchase Date. Subject to adjustment as provided by the Plan and unless otherwise provided by the Committee, the Purchase Price for each Offering Period shall be ninety-five percent (95%) of the Fair Market Value of a share of Stock on the Purchase Date.</w:t>
      </w:r>
    </w:p>
    <w:p>
      <w:pPr>
        <w:spacing w:after="0" w:line="56" w:lineRule="exact"/>
        <w:rPr>
          <w:sz w:val="20"/>
          <w:szCs w:val="20"/>
          <w:color w:val="auto"/>
        </w:rPr>
      </w:pPr>
    </w:p>
    <w:p>
      <w:pPr>
        <w:ind w:left="360" w:hanging="198"/>
        <w:spacing w:after="0"/>
        <w:tabs>
          <w:tab w:leader="none" w:pos="360" w:val="left"/>
        </w:tabs>
        <w:numPr>
          <w:ilvl w:val="0"/>
          <w:numId w:val="255"/>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CCUMULATION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RICE THROUGH</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AYROLL</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EDUCTION</w:t>
      </w:r>
      <w:r>
        <w:rPr>
          <w:rFonts w:ascii="Arial" w:cs="Arial" w:eastAsia="Arial" w:hAnsi="Arial"/>
          <w:sz w:val="13"/>
          <w:szCs w:val="13"/>
          <w:b w:val="1"/>
          <w:bCs w:val="1"/>
          <w:color w:val="auto"/>
        </w:rPr>
        <w:t>.</w:t>
      </w:r>
    </w:p>
    <w:p>
      <w:pPr>
        <w:spacing w:after="0" w:line="90"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Except as provided in Section 11.1(b) with respect to a Pre-Registration Offering Period and in Section 11.1(c) with respect to non-United States Participants for whom payroll deductions are prohibited by applicable law, shares of Stock acquired pursuant to the exercise of all or any portion of a Purchase Right may be paid for only by means of payroll deductions from the Participant’s Compensation accumulated during the Offering Period for which such Purchase Right was granted, subject to the following:</w:t>
      </w:r>
    </w:p>
    <w:p>
      <w:pPr>
        <w:spacing w:after="0" w:line="53" w:lineRule="exact"/>
        <w:rPr>
          <w:sz w:val="20"/>
          <w:szCs w:val="20"/>
          <w:color w:val="auto"/>
        </w:rPr>
      </w:pPr>
    </w:p>
    <w:p>
      <w:pPr>
        <w:ind w:firstLine="328"/>
        <w:spacing w:after="0" w:line="262"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color w:val="auto"/>
        </w:rPr>
        <w:t>Amount of Payroll Deductions.</w:t>
      </w:r>
      <w:r>
        <w:rPr>
          <w:rFonts w:ascii="Arial" w:cs="Arial" w:eastAsia="Arial" w:hAnsi="Arial"/>
          <w:sz w:val="13"/>
          <w:szCs w:val="13"/>
          <w:color w:val="auto"/>
        </w:rPr>
        <w:t xml:space="preserve"> Except as otherwise provided herein, the amount to be deducted under the Plan from a Participant’s Compensation on each pay day during an Offering Period shall be determined by the Participant’s Subscription Agreement. The Subscription Agreement shall set forth the percentage of the Participant’s Compensation to be deducted on each pay day during an Offering Period in whole percentages of not less than one percent (1%) (except as a result of an election pursuant to Section 10.3 to stop payroll deductions effective following the first pay day during an Offering) or more than twenty percent (20%). The Committee may change the foregoing limits on payroll deductions effective as of any Offering Date.</w:t>
      </w:r>
    </w:p>
    <w:p>
      <w:pPr>
        <w:spacing w:after="0" w:line="55"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b w:val="1"/>
          <w:bCs w:val="1"/>
          <w:color w:val="auto"/>
        </w:rPr>
        <w:t>Commencement of Payroll Deductions.</w:t>
      </w:r>
      <w:r>
        <w:rPr>
          <w:rFonts w:ascii="Arial" w:cs="Arial" w:eastAsia="Arial" w:hAnsi="Arial"/>
          <w:sz w:val="13"/>
          <w:szCs w:val="13"/>
          <w:color w:val="auto"/>
        </w:rPr>
        <w:t xml:space="preserve"> Payroll deductions shall commence on the first pay day following the Offering Date and shall continue to the end of the Offering Period unless sooner altered or terminated as provided herein; provided, however, that with respect to a Pre-Registration Offering Period, payroll deductions shall commence as soon as practicable following the Company’s receipt of the Participant’s Subscription Agreement (delivered no earlier than the applicable Registration Date), if any.</w:t>
      </w:r>
    </w:p>
    <w:p>
      <w:pPr>
        <w:spacing w:after="0" w:line="52" w:lineRule="exact"/>
        <w:rPr>
          <w:sz w:val="20"/>
          <w:szCs w:val="20"/>
          <w:color w:val="auto"/>
        </w:rPr>
      </w:pPr>
    </w:p>
    <w:p>
      <w:pPr>
        <w:ind w:right="20" w:firstLine="328"/>
        <w:spacing w:after="0" w:line="267"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b w:val="1"/>
          <w:bCs w:val="1"/>
          <w:color w:val="auto"/>
        </w:rPr>
        <w:t>Election to Decrease or Stop Payroll Deductions.</w:t>
      </w:r>
      <w:r>
        <w:rPr>
          <w:rFonts w:ascii="Arial" w:cs="Arial" w:eastAsia="Arial" w:hAnsi="Arial"/>
          <w:sz w:val="13"/>
          <w:szCs w:val="13"/>
          <w:color w:val="auto"/>
        </w:rPr>
        <w:t xml:space="preserve"> During an Offering Period, a Participant may elect to decrease the rate of or to stop deductions from his or her Compensation by delivering to the Company office or representative designated by the Company (including a third-party administrator designated by the Company) an amended Subscription Agreement authorizing such change on or before the “Change Notice Date.”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Change Notice Date</w:t>
      </w:r>
      <w:r>
        <w:rPr>
          <w:rFonts w:ascii="Arial" w:cs="Arial" w:eastAsia="Arial" w:hAnsi="Arial"/>
          <w:sz w:val="13"/>
          <w:szCs w:val="13"/>
          <w:i w:val="1"/>
          <w:iCs w:val="1"/>
          <w:color w:val="auto"/>
        </w:rPr>
        <w:t>”</w:t>
      </w:r>
      <w:r>
        <w:rPr>
          <w:rFonts w:ascii="Arial" w:cs="Arial" w:eastAsia="Arial" w:hAnsi="Arial"/>
          <w:sz w:val="13"/>
          <w:szCs w:val="13"/>
          <w:color w:val="auto"/>
        </w:rPr>
        <w:t xml:space="preserve"> shall be a date prior to the beginning of the first pay period for which such election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22" w:name="page323"/>
    <w:bookmarkEnd w:id="322"/>
    <w:p>
      <w:pPr>
        <w:ind w:left="1"/>
        <w:spacing w:after="0" w:line="276" w:lineRule="auto"/>
        <w:rPr>
          <w:sz w:val="20"/>
          <w:szCs w:val="20"/>
          <w:color w:val="auto"/>
        </w:rPr>
      </w:pPr>
      <w:r>
        <w:rPr>
          <w:rFonts w:ascii="Arial" w:cs="Arial" w:eastAsia="Arial" w:hAnsi="Arial"/>
          <w:sz w:val="13"/>
          <w:szCs w:val="13"/>
          <w:color w:val="auto"/>
        </w:rPr>
        <w:t>is to be effective as established by the Company from time to time and announced to the Participants.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12.1.</w:t>
      </w:r>
    </w:p>
    <w:p>
      <w:pPr>
        <w:spacing w:after="0" w:line="45" w:lineRule="exact"/>
        <w:rPr>
          <w:sz w:val="20"/>
          <w:szCs w:val="20"/>
          <w:color w:val="auto"/>
        </w:rPr>
      </w:pPr>
    </w:p>
    <w:p>
      <w:pPr>
        <w:ind w:left="1" w:right="100" w:firstLine="328"/>
        <w:spacing w:after="0" w:line="286"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b w:val="1"/>
          <w:bCs w:val="1"/>
          <w:color w:val="auto"/>
        </w:rPr>
        <w:t>Administrative Suspension of Payroll Deductions.</w:t>
      </w:r>
      <w:r>
        <w:rPr>
          <w:rFonts w:ascii="Arial" w:cs="Arial" w:eastAsia="Arial" w:hAnsi="Arial"/>
          <w:sz w:val="12"/>
          <w:szCs w:val="12"/>
          <w:color w:val="auto"/>
        </w:rPr>
        <w:t xml:space="preserve"> The Company may, in its discretion, suspend a Participant’s payroll deductions under the Plan as the Company deems advisable to avoid accumulating payroll deductions in excess of the amount that could reasonably be anticipated to purchase the maximum number of shares of Stock permitted (a) under the Participant’s Purchase Right, or (b) during a calendar year under the limit set forth in Section 8.2. Unless the Participant has either withdrawn from the Plan as provided in Section 12.1 or has ceased to be an Eligible Employee, payroll deductions shall be resumed at the rate specified in the Participant’s then effective Subscription Agreement either (i) at the beginning of the next Offering Period if the reason for suspension was clause (a) in the preceding sentence, or (ii) at the beginning of the next Offering Period having a first Purchase Date that falls within the subsequent calendar year if the reason for suspension was clause (b) in the preceding sentence.</w:t>
      </w:r>
    </w:p>
    <w:p>
      <w:pPr>
        <w:spacing w:after="0" w:line="43" w:lineRule="exact"/>
        <w:rPr>
          <w:sz w:val="20"/>
          <w:szCs w:val="20"/>
          <w:color w:val="auto"/>
        </w:rPr>
      </w:pPr>
    </w:p>
    <w:p>
      <w:pPr>
        <w:ind w:left="1" w:firstLine="328"/>
        <w:spacing w:after="0" w:line="267"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b w:val="1"/>
          <w:bCs w:val="1"/>
          <w:color w:val="auto"/>
        </w:rPr>
        <w:t>Participant Accounts.</w:t>
      </w:r>
      <w:r>
        <w:rPr>
          <w:rFonts w:ascii="Arial" w:cs="Arial" w:eastAsia="Arial" w:hAnsi="Arial"/>
          <w:sz w:val="13"/>
          <w:szCs w:val="13"/>
          <w:color w:val="auto"/>
        </w:rPr>
        <w:t xml:space="preserve"> Individual bookkeeping accounts shall be maintained for each Participant. All payroll deductions from a Participant’s Compensation (and other amounts received from the Participant in a Pre-Registration Offering Period pursuant to Section 11.1(b) or a non-United States Participant pursuant to Section 11.1(c)) shall be credited to such Participant’s Plan account and shall be deposited with the general funds of the Company. All such amounts received or held by the Company may be used by the Company for any corporate purpose.</w:t>
      </w:r>
    </w:p>
    <w:p>
      <w:pPr>
        <w:spacing w:after="0" w:line="52"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b w:val="1"/>
          <w:bCs w:val="1"/>
          <w:color w:val="auto"/>
        </w:rPr>
        <w:t>No Interest Paid.</w:t>
      </w:r>
      <w:r>
        <w:rPr>
          <w:rFonts w:ascii="Arial" w:cs="Arial" w:eastAsia="Arial" w:hAnsi="Arial"/>
          <w:sz w:val="13"/>
          <w:szCs w:val="13"/>
          <w:color w:val="auto"/>
        </w:rPr>
        <w:t xml:space="preserve"> Interest shall not be paid on sums deducted from a Participant’s Compensation pursuant to the Plan or otherwise credited to the Participant’s Plan account.</w:t>
      </w:r>
    </w:p>
    <w:p>
      <w:pPr>
        <w:spacing w:after="0" w:line="86" w:lineRule="exact"/>
        <w:rPr>
          <w:sz w:val="20"/>
          <w:szCs w:val="20"/>
          <w:color w:val="auto"/>
        </w:rPr>
      </w:pPr>
    </w:p>
    <w:p>
      <w:pPr>
        <w:ind w:left="361" w:hanging="198"/>
        <w:spacing w:after="0"/>
        <w:tabs>
          <w:tab w:leader="none" w:pos="361" w:val="left"/>
        </w:tabs>
        <w:numPr>
          <w:ilvl w:val="0"/>
          <w:numId w:val="256"/>
        </w:numPr>
        <w:rPr>
          <w:rFonts w:ascii="Arial" w:cs="Arial" w:eastAsia="Arial" w:hAnsi="Arial"/>
          <w:sz w:val="13"/>
          <w:szCs w:val="13"/>
          <w:color w:val="auto"/>
        </w:rPr>
      </w:pP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HARES</w:t>
      </w:r>
      <w:r>
        <w:rPr>
          <w:rFonts w:ascii="Arial" w:cs="Arial" w:eastAsia="Arial" w:hAnsi="Arial"/>
          <w:sz w:val="13"/>
          <w:szCs w:val="13"/>
          <w:b w:val="1"/>
          <w:bCs w:val="1"/>
          <w:color w:val="auto"/>
        </w:rPr>
        <w:t>.</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color w:val="auto"/>
        </w:rPr>
        <w:t>Exercise of Purchase Right.</w:t>
      </w:r>
    </w:p>
    <w:p>
      <w:pPr>
        <w:spacing w:after="0" w:line="86" w:lineRule="exact"/>
        <w:rPr>
          <w:sz w:val="20"/>
          <w:szCs w:val="20"/>
          <w:color w:val="auto"/>
        </w:rPr>
      </w:pPr>
    </w:p>
    <w:p>
      <w:pPr>
        <w:jc w:val="both"/>
        <w:ind w:left="1" w:right="220" w:firstLine="490"/>
        <w:spacing w:after="0" w:line="309" w:lineRule="auto"/>
        <w:tabs>
          <w:tab w:leader="none" w:pos="671" w:val="left"/>
        </w:tabs>
        <w:numPr>
          <w:ilvl w:val="1"/>
          <w:numId w:val="257"/>
        </w:numPr>
        <w:rPr>
          <w:rFonts w:ascii="Arial" w:cs="Arial" w:eastAsia="Arial" w:hAnsi="Arial"/>
          <w:sz w:val="11"/>
          <w:szCs w:val="11"/>
          <w:color w:val="auto"/>
        </w:rPr>
      </w:pPr>
      <w:r>
        <w:rPr>
          <w:rFonts w:ascii="Arial" w:cs="Arial" w:eastAsia="Arial" w:hAnsi="Arial"/>
          <w:sz w:val="11"/>
          <w:szCs w:val="11"/>
          <w:b w:val="1"/>
          <w:bCs w:val="1"/>
          <w:color w:val="auto"/>
        </w:rPr>
        <w:t xml:space="preserve">Generally. </w:t>
      </w:r>
      <w:r>
        <w:rPr>
          <w:rFonts w:ascii="Arial" w:cs="Arial" w:eastAsia="Arial" w:hAnsi="Arial"/>
          <w:sz w:val="11"/>
          <w:szCs w:val="11"/>
          <w:color w:val="auto"/>
        </w:rPr>
        <w:t>Except as provided in Section 11.1(b) and Section 11.1(c), on each Purchase Date of an Offering Period, each Participant who has not withdrawn from the Plan and whose participation in the</w:t>
      </w:r>
      <w:r>
        <w:rPr>
          <w:rFonts w:ascii="Arial" w:cs="Arial" w:eastAsia="Arial" w:hAnsi="Arial"/>
          <w:sz w:val="11"/>
          <w:szCs w:val="11"/>
          <w:b w:val="1"/>
          <w:bCs w:val="1"/>
          <w:color w:val="auto"/>
        </w:rPr>
        <w:t xml:space="preserve"> </w:t>
      </w:r>
      <w:r>
        <w:rPr>
          <w:rFonts w:ascii="Arial" w:cs="Arial" w:eastAsia="Arial" w:hAnsi="Arial"/>
          <w:sz w:val="11"/>
          <w:szCs w:val="11"/>
          <w:color w:val="auto"/>
        </w:rPr>
        <w:t>Offering has not otherwise terminated before such Purchase Date shall automatically acquire pursuant to the exercise of the Participant’s Purchase Right the number of whole shares of Stock determined by dividing</w:t>
      </w:r>
    </w:p>
    <w:p>
      <w:pPr>
        <w:ind w:left="181" w:hanging="181"/>
        <w:spacing w:after="0"/>
        <w:tabs>
          <w:tab w:leader="none" w:pos="181" w:val="left"/>
        </w:tabs>
        <w:numPr>
          <w:ilvl w:val="0"/>
          <w:numId w:val="258"/>
        </w:numPr>
        <w:rPr>
          <w:rFonts w:ascii="Arial" w:cs="Arial" w:eastAsia="Arial" w:hAnsi="Arial"/>
          <w:sz w:val="12"/>
          <w:szCs w:val="12"/>
          <w:color w:val="auto"/>
        </w:rPr>
      </w:pPr>
      <w:r>
        <w:rPr>
          <w:rFonts w:ascii="Arial" w:cs="Arial" w:eastAsia="Arial" w:hAnsi="Arial"/>
          <w:sz w:val="12"/>
          <w:szCs w:val="12"/>
          <w:color w:val="auto"/>
        </w:rPr>
        <w:t>the total amount of the Participant’s payroll deductions accumulated in the Participant’s Plan account during the Offering Period and not previously applied toward the purchase of Stock by (b) the Purchase Price.</w:t>
      </w:r>
    </w:p>
    <w:p>
      <w:pPr>
        <w:spacing w:after="0" w:line="19" w:lineRule="exact"/>
        <w:rPr>
          <w:rFonts w:ascii="Arial" w:cs="Arial" w:eastAsia="Arial" w:hAnsi="Arial"/>
          <w:sz w:val="12"/>
          <w:szCs w:val="12"/>
          <w:color w:val="auto"/>
        </w:rPr>
      </w:pPr>
    </w:p>
    <w:p>
      <w:pPr>
        <w:ind w:left="1" w:right="20"/>
        <w:spacing w:after="0" w:line="264" w:lineRule="auto"/>
        <w:rPr>
          <w:rFonts w:ascii="Arial" w:cs="Arial" w:eastAsia="Arial" w:hAnsi="Arial"/>
          <w:sz w:val="12"/>
          <w:szCs w:val="12"/>
          <w:color w:val="auto"/>
        </w:rPr>
      </w:pPr>
      <w:r>
        <w:rPr>
          <w:rFonts w:ascii="Arial" w:cs="Arial" w:eastAsia="Arial" w:hAnsi="Arial"/>
          <w:sz w:val="13"/>
          <w:szCs w:val="13"/>
          <w:color w:val="auto"/>
        </w:rPr>
        <w:t>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before such Purchase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23" w:name="page324"/>
    <w:bookmarkEnd w:id="323"/>
    <w:p>
      <w:pPr>
        <w:ind w:firstLine="490"/>
        <w:spacing w:after="0" w:line="279" w:lineRule="auto"/>
        <w:tabs>
          <w:tab w:leader="none" w:pos="677" w:val="left"/>
        </w:tabs>
        <w:numPr>
          <w:ilvl w:val="0"/>
          <w:numId w:val="259"/>
        </w:numPr>
        <w:rPr>
          <w:rFonts w:ascii="Arial" w:cs="Arial" w:eastAsia="Arial" w:hAnsi="Arial"/>
          <w:sz w:val="12"/>
          <w:szCs w:val="12"/>
          <w:color w:val="auto"/>
        </w:rPr>
      </w:pPr>
      <w:r>
        <w:rPr>
          <w:rFonts w:ascii="Arial" w:cs="Arial" w:eastAsia="Arial" w:hAnsi="Arial"/>
          <w:sz w:val="12"/>
          <w:szCs w:val="12"/>
          <w:b w:val="1"/>
          <w:bCs w:val="1"/>
          <w:color w:val="auto"/>
        </w:rPr>
        <w:t xml:space="preserve">Purchase in Pre-Registration Period. </w:t>
      </w:r>
      <w:r>
        <w:rPr>
          <w:rFonts w:ascii="Arial" w:cs="Arial" w:eastAsia="Arial" w:hAnsi="Arial"/>
          <w:sz w:val="12"/>
          <w:szCs w:val="12"/>
          <w:color w:val="auto"/>
        </w:rPr>
        <w:t>Notwithstanding Section 11.1(a), on the Purchase Date of a Pre-Registration Offering Period, each Participant who has not withdrawn from the Plan and whose</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participation in such Offering Period has not otherwise terminated before such Purchase Date shall automatically acquire pursuant to the exercise of the Participant’s Purchase Right (i) a number of whole shares of Stock determined in accordance with Section 11.1(a) to the extent of the total amount of the Participant’s payroll deductions accumulated in the Participant’s Plan account during the Pre-Registration Offering Period, if any, and not previously applied toward the purchase of Stock, and (ii) such additional shares of Stock (not exceeding in the aggregate the Participant’s Purchase Right) as determined in accordance with a Cash Exercise Notice delivered to the Company office or representative designated by the Company (including a third-party administrator designated by the Company) no earlier than the applicable Registration Date and not later than the close of business on the business day immediately preceding the Purchase Date or such earlier date as the Company shall establish, accompanied by payment of the Purchase Price for such additional shares in cash or by check. However, in no event shall the number of shares purchased by a Participant during the Pre-Registration Offering Period exceed the number of shares subject to the Participant’s Purchase Right. In addition, if a Participant delivers a Subscription Agreement to the Company after the applicable Registration Date, the Participant may not elect to exercise a Purchase Right pursuant to a Cash Exercise Notice in an amount which, when aggregated with payroll deductions pursuant to such Subscription Agreement, exceeds twenty percent (20%) of the Participant’s Compensation during the Pre-Registration Offering Period. The Company shall refund to the Participant in accordance with Section 11.4 any excess Purchase Price payment received from the Participant.</w:t>
      </w:r>
    </w:p>
    <w:p>
      <w:pPr>
        <w:spacing w:after="0" w:line="47" w:lineRule="exact"/>
        <w:rPr>
          <w:rFonts w:ascii="Arial" w:cs="Arial" w:eastAsia="Arial" w:hAnsi="Arial"/>
          <w:sz w:val="12"/>
          <w:szCs w:val="12"/>
          <w:color w:val="auto"/>
        </w:rPr>
      </w:pPr>
    </w:p>
    <w:p>
      <w:pPr>
        <w:ind w:firstLine="490"/>
        <w:spacing w:after="0" w:line="256" w:lineRule="auto"/>
        <w:tabs>
          <w:tab w:leader="none" w:pos="669" w:val="left"/>
        </w:tabs>
        <w:numPr>
          <w:ilvl w:val="0"/>
          <w:numId w:val="259"/>
        </w:numPr>
        <w:rPr>
          <w:rFonts w:ascii="Arial" w:cs="Arial" w:eastAsia="Arial" w:hAnsi="Arial"/>
          <w:sz w:val="13"/>
          <w:szCs w:val="13"/>
          <w:color w:val="auto"/>
        </w:rPr>
      </w:pPr>
      <w:r>
        <w:rPr>
          <w:rFonts w:ascii="Arial" w:cs="Arial" w:eastAsia="Arial" w:hAnsi="Arial"/>
          <w:sz w:val="13"/>
          <w:szCs w:val="13"/>
          <w:b w:val="1"/>
          <w:bCs w:val="1"/>
          <w:color w:val="auto"/>
        </w:rPr>
        <w:t xml:space="preserve">Purchase by Non-United States Participants for Whom Payroll Deductions Are Prohibited by Applicable Law. </w:t>
      </w:r>
      <w:r>
        <w:rPr>
          <w:rFonts w:ascii="Arial" w:cs="Arial" w:eastAsia="Arial" w:hAnsi="Arial"/>
          <w:sz w:val="13"/>
          <w:szCs w:val="13"/>
          <w:color w:val="auto"/>
        </w:rPr>
        <w:t>Notwithstanding Section 11.1(a), where payroll deductions on behalf of Participants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who are residents for income tax purposes of countries other than the United States are prohibited by applicable law (each, a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non-United States Participant</w:t>
      </w:r>
      <w:r>
        <w:rPr>
          <w:rFonts w:ascii="Arial" w:cs="Arial" w:eastAsia="Arial" w:hAnsi="Arial"/>
          <w:sz w:val="13"/>
          <w:szCs w:val="13"/>
          <w:i w:val="1"/>
          <w:iCs w:val="1"/>
          <w:color w:val="auto"/>
        </w:rPr>
        <w:t>”</w:t>
      </w:r>
      <w:r>
        <w:rPr>
          <w:rFonts w:ascii="Arial" w:cs="Arial" w:eastAsia="Arial" w:hAnsi="Arial"/>
          <w:sz w:val="13"/>
          <w:szCs w:val="13"/>
          <w:color w:val="auto"/>
        </w:rPr>
        <w:t>), the Committee shall provide another method for payment of the Purchase Price of the shares with such terms and conditions as shall be administratively convenient and comply with applicable law. On each Purchase Date of an Offering Period, each such non-United States Participant who has not withdrawn from the Plan and whose participation in such Offering Period has not otherwise terminated before such Purchase Date shall automatically acquire pursuant to the exercise of the Participant’s Purchase Right a number of whole shares of Stock determined in accordance with Section 11.1(a) to the extent of the total amount of the Participant’s Plan account balance accumulated during the Offering Period in accordance with the method established by the Committee and not previously applied toward the purchase of Stock. However, in no event shall the number of shares purchased by a non-United States Participant during the Offering Period exceed the number of shares subject to the Participant’s Purchase Right. The Company shall refund to the non-United States Participant in accordance with Section 11.4 any excess Purchase Price payment received from such Participant.</w:t>
      </w:r>
    </w:p>
    <w:p>
      <w:pPr>
        <w:spacing w:after="0" w:line="61" w:lineRule="exact"/>
        <w:rPr>
          <w:sz w:val="20"/>
          <w:szCs w:val="20"/>
          <w:color w:val="auto"/>
        </w:rPr>
      </w:pPr>
    </w:p>
    <w:p>
      <w:pPr>
        <w:jc w:val="both"/>
        <w:ind w:right="80" w:firstLine="328"/>
        <w:spacing w:after="0" w:line="267"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color w:val="auto"/>
        </w:rPr>
        <w:t>Pro Rata Allocation of Shares.</w:t>
      </w:r>
      <w:r>
        <w:rPr>
          <w:rFonts w:ascii="Arial" w:cs="Arial" w:eastAsia="Arial" w:hAnsi="Arial"/>
          <w:sz w:val="13"/>
          <w:szCs w:val="13"/>
          <w:color w:val="auto"/>
        </w:rPr>
        <w:t xml:space="preserve"> If the number of shares of Stock which might be purchased by all Participants on a Purchase Date exceeds the number of shares of Stock available in the Plan as provided in Section 4.1 or the maximum aggregate number of shares of Stock that may be purchased on such Purchase Date pursuant to a limit established by the Committee pursuant to Section 8.1, the Company shall make a pro rata allocation of the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324" w:name="page325"/>
    <w:bookmarkEnd w:id="324"/>
    <w:p>
      <w:pPr>
        <w:spacing w:after="0"/>
        <w:rPr>
          <w:sz w:val="20"/>
          <w:szCs w:val="20"/>
          <w:color w:val="auto"/>
        </w:rPr>
      </w:pPr>
      <w:r>
        <w:rPr>
          <w:rFonts w:ascii="Arial" w:cs="Arial" w:eastAsia="Arial" w:hAnsi="Arial"/>
          <w:sz w:val="13"/>
          <w:szCs w:val="13"/>
          <w:color w:val="auto"/>
        </w:rPr>
        <w:t>available in as uniform a manner as practicable and as the Company determines to be equitable. Any fractional share resulting from such pro rata allocation to any Participant shall be disregarded.</w:t>
      </w:r>
    </w:p>
    <w:p>
      <w:pPr>
        <w:spacing w:after="0" w:line="82" w:lineRule="exact"/>
        <w:rPr>
          <w:sz w:val="20"/>
          <w:szCs w:val="20"/>
          <w:color w:val="auto"/>
        </w:rPr>
      </w:pPr>
    </w:p>
    <w:p>
      <w:pPr>
        <w:ind w:right="60" w:firstLine="328"/>
        <w:spacing w:after="0" w:line="338" w:lineRule="auto"/>
        <w:rPr>
          <w:sz w:val="20"/>
          <w:szCs w:val="20"/>
          <w:color w:val="auto"/>
        </w:rPr>
      </w:pPr>
      <w:r>
        <w:rPr>
          <w:rFonts w:ascii="Arial" w:cs="Arial" w:eastAsia="Arial" w:hAnsi="Arial"/>
          <w:sz w:val="11"/>
          <w:szCs w:val="11"/>
          <w:color w:val="auto"/>
        </w:rPr>
        <w:t xml:space="preserve">11.3 </w:t>
      </w:r>
      <w:r>
        <w:rPr>
          <w:rFonts w:ascii="Arial" w:cs="Arial" w:eastAsia="Arial" w:hAnsi="Arial"/>
          <w:sz w:val="11"/>
          <w:szCs w:val="11"/>
          <w:b w:val="1"/>
          <w:bCs w:val="1"/>
          <w:color w:val="auto"/>
        </w:rPr>
        <w:t>Delivery of Certificates.</w:t>
      </w:r>
      <w:r>
        <w:rPr>
          <w:rFonts w:ascii="Arial" w:cs="Arial" w:eastAsia="Arial" w:hAnsi="Arial"/>
          <w:sz w:val="11"/>
          <w:szCs w:val="11"/>
          <w:color w:val="auto"/>
        </w:rPr>
        <w:t xml:space="preserve"> As soon as practicable after each Purchase Date, the Company shall arrange the delivery to each Participant of a certificate representing the shares acquired by the Participant on such Purchase Date; provided that the Company may deliver such shares to a broker designated by the Company that will hold such shares for the benefit of the Participant. Shares to be delivered to a Participant under the Plan shall be registered in the name of the Participant, or, if requested by the Participant, in the name of the Participant and his or her spouse, or, if applicable, in the names of the heirs of the Participant.</w:t>
      </w:r>
    </w:p>
    <w:p>
      <w:pPr>
        <w:spacing w:after="0" w:line="16" w:lineRule="exact"/>
        <w:rPr>
          <w:sz w:val="20"/>
          <w:szCs w:val="20"/>
          <w:color w:val="auto"/>
        </w:rPr>
      </w:pPr>
    </w:p>
    <w:p>
      <w:pPr>
        <w:ind w:right="220" w:firstLine="328"/>
        <w:spacing w:after="0" w:line="338" w:lineRule="auto"/>
        <w:rPr>
          <w:sz w:val="20"/>
          <w:szCs w:val="20"/>
          <w:color w:val="auto"/>
        </w:rPr>
      </w:pPr>
      <w:r>
        <w:rPr>
          <w:rFonts w:ascii="Arial" w:cs="Arial" w:eastAsia="Arial" w:hAnsi="Arial"/>
          <w:sz w:val="11"/>
          <w:szCs w:val="11"/>
          <w:color w:val="auto"/>
        </w:rPr>
        <w:t xml:space="preserve">11.4 </w:t>
      </w:r>
      <w:r>
        <w:rPr>
          <w:rFonts w:ascii="Arial" w:cs="Arial" w:eastAsia="Arial" w:hAnsi="Arial"/>
          <w:sz w:val="11"/>
          <w:szCs w:val="11"/>
          <w:b w:val="1"/>
          <w:bCs w:val="1"/>
          <w:color w:val="auto"/>
        </w:rPr>
        <w:t>Return of Plan Account Balance.</w:t>
      </w:r>
      <w:r>
        <w:rPr>
          <w:rFonts w:ascii="Arial" w:cs="Arial" w:eastAsia="Arial" w:hAnsi="Arial"/>
          <w:sz w:val="11"/>
          <w:szCs w:val="11"/>
          <w:color w:val="auto"/>
        </w:rPr>
        <w:t xml:space="preserve"> Any cash balance remaining in a Participant’s Plan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spacing w:after="0" w:line="16" w:lineRule="exact"/>
        <w:rPr>
          <w:sz w:val="20"/>
          <w:szCs w:val="20"/>
          <w:color w:val="auto"/>
        </w:rPr>
      </w:pPr>
    </w:p>
    <w:p>
      <w:pPr>
        <w:jc w:val="both"/>
        <w:ind w:right="100" w:firstLine="328"/>
        <w:spacing w:after="0" w:line="338" w:lineRule="auto"/>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b w:val="1"/>
          <w:bCs w:val="1"/>
          <w:color w:val="auto"/>
        </w:rPr>
        <w:t>Tax Withholding.</w:t>
      </w:r>
      <w:r>
        <w:rPr>
          <w:rFonts w:ascii="Arial" w:cs="Arial" w:eastAsia="Arial" w:hAnsi="Arial"/>
          <w:sz w:val="11"/>
          <w:szCs w:val="11"/>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federal, state, local and foreign tax withholding obligations, if any, of the Participating Company Group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6" w:lineRule="exact"/>
        <w:rPr>
          <w:sz w:val="20"/>
          <w:szCs w:val="20"/>
          <w:color w:val="auto"/>
        </w:rPr>
      </w:pPr>
    </w:p>
    <w:p>
      <w:pPr>
        <w:ind w:right="140" w:firstLine="328"/>
        <w:spacing w:after="0" w:line="283" w:lineRule="auto"/>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b w:val="1"/>
          <w:bCs w:val="1"/>
          <w:color w:val="auto"/>
        </w:rPr>
        <w:t>Expiration of Purchase Right.</w:t>
      </w:r>
      <w:r>
        <w:rPr>
          <w:rFonts w:ascii="Arial" w:cs="Arial" w:eastAsia="Arial" w:hAnsi="Arial"/>
          <w:sz w:val="13"/>
          <w:szCs w:val="13"/>
          <w:color w:val="auto"/>
        </w:rPr>
        <w:t xml:space="preserve"> Any portion of a Participant’s Purchase Right remaining unexercised after the end of the Offering Period to which the Purchase Right relates shall expire immediately upon the end of the Offering Period.</w:t>
      </w:r>
    </w:p>
    <w:p>
      <w:pPr>
        <w:spacing w:after="0" w:line="41"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b w:val="1"/>
          <w:bCs w:val="1"/>
          <w:color w:val="auto"/>
        </w:rPr>
        <w:t>Provision of Reports and Stockholder Information to Participants.</w:t>
      </w:r>
      <w:r>
        <w:rPr>
          <w:rFonts w:ascii="Arial" w:cs="Arial" w:eastAsia="Arial" w:hAnsi="Arial"/>
          <w:sz w:val="13"/>
          <w:szCs w:val="13"/>
          <w:color w:val="auto"/>
        </w:rPr>
        <w:t xml:space="preserve"> Each Participant who has exercised all or part of his or her Purchase Right shall receive, as soon as practicable after the Purchase Date, a report of such Participant’s Plan account setting forth the total amount credited to his or her Plan account prior to such exercise, the number of shares of Stock purchased, the Purchase Price for such shares, the date of purchase and the cash balance, if any, remaining immediately after such purchase that is to be refunded or retained in the Participant’s Plan account pursuant to Section 11.4.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325" w:name="page326"/>
    <w:bookmarkEnd w:id="325"/>
    <w:p>
      <w:pPr>
        <w:ind w:left="360" w:hanging="198"/>
        <w:spacing w:after="0"/>
        <w:tabs>
          <w:tab w:leader="none" w:pos="360" w:val="left"/>
        </w:tabs>
        <w:numPr>
          <w:ilvl w:val="0"/>
          <w:numId w:val="260"/>
        </w:numPr>
        <w:rPr>
          <w:rFonts w:ascii="Arial" w:cs="Arial" w:eastAsia="Arial" w:hAnsi="Arial"/>
          <w:sz w:val="13"/>
          <w:szCs w:val="13"/>
          <w:color w:val="auto"/>
        </w:rPr>
      </w:pPr>
      <w:r>
        <w:rPr>
          <w:rFonts w:ascii="Arial" w:cs="Arial" w:eastAsia="Arial" w:hAnsi="Arial"/>
          <w:sz w:val="13"/>
          <w:szCs w:val="13"/>
          <w:b w:val="1"/>
          <w:bCs w:val="1"/>
          <w:u w:val="single" w:color="auto"/>
          <w:color w:val="auto"/>
        </w:rPr>
        <w:t>W</w:t>
      </w:r>
      <w:r>
        <w:rPr>
          <w:rFonts w:ascii="Arial" w:cs="Arial" w:eastAsia="Arial" w:hAnsi="Arial"/>
          <w:sz w:val="8"/>
          <w:szCs w:val="8"/>
          <w:b w:val="1"/>
          <w:bCs w:val="1"/>
          <w:u w:val="single" w:color="auto"/>
          <w:color w:val="auto"/>
        </w:rPr>
        <w:t>ITHDRAWAL FROM</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 xml:space="preserve"> .</w:t>
      </w:r>
    </w:p>
    <w:p>
      <w:pPr>
        <w:spacing w:after="0" w:line="86" w:lineRule="exact"/>
        <w:rPr>
          <w:sz w:val="20"/>
          <w:szCs w:val="20"/>
          <w:color w:val="auto"/>
        </w:rPr>
      </w:pPr>
    </w:p>
    <w:p>
      <w:pPr>
        <w:ind w:right="140" w:firstLine="328"/>
        <w:spacing w:after="0" w:line="258"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b w:val="1"/>
          <w:bCs w:val="1"/>
          <w:color w:val="auto"/>
        </w:rPr>
        <w:t>Voluntary Withdrawal from the Plan.</w:t>
      </w:r>
      <w:r>
        <w:rPr>
          <w:rFonts w:ascii="Arial" w:cs="Arial" w:eastAsia="Arial" w:hAnsi="Arial"/>
          <w:sz w:val="13"/>
          <w:szCs w:val="13"/>
          <w:color w:val="auto"/>
        </w:rPr>
        <w:t xml:space="preserve"> A Participant may withdraw from the Plan by signing and delivering to the Company office or representative designated by the Company (including a third-party administrator designated by the Company) a written or electronic notice of withdrawal on a form provided by the Company for this purpose. Such withdrawal may be elected at any time prior to the end of an Offering Period; provided, however, that if a Participant withdraws from the Plan after a Purchase Date, the withdrawal shall not affect shares of Stock acquired by the Participant on such Purchase Date. A Participant who voluntarily withdraws from the Plan is prohibited from resuming participation in the Plan in the same Offering from which he or she withdrew, but may participate in any subsequent Offering by again satisfying the requirements of Sections 5 and 7.1. The Company may impose, from time to time, a requirement that the notice of withdrawal from the Plan be on file with the Company office or representative designated by the Company for a reasonable period prior to the effectiveness of the Participant’s withdrawal.</w:t>
      </w:r>
    </w:p>
    <w:p>
      <w:pPr>
        <w:spacing w:after="0" w:line="58" w:lineRule="exact"/>
        <w:rPr>
          <w:sz w:val="20"/>
          <w:szCs w:val="20"/>
          <w:color w:val="auto"/>
        </w:rPr>
      </w:pPr>
    </w:p>
    <w:p>
      <w:pPr>
        <w:ind w:right="120" w:firstLine="328"/>
        <w:spacing w:after="0" w:line="267"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b w:val="1"/>
          <w:bCs w:val="1"/>
          <w:color w:val="auto"/>
        </w:rPr>
        <w:t>Return of Plan Account Balance.</w:t>
      </w:r>
      <w:r>
        <w:rPr>
          <w:rFonts w:ascii="Arial" w:cs="Arial" w:eastAsia="Arial" w:hAnsi="Arial"/>
          <w:sz w:val="13"/>
          <w:szCs w:val="13"/>
          <w:color w:val="auto"/>
        </w:rPr>
        <w:t xml:space="preserve"> Upon a Participant’s voluntary withdrawal from the Plan pursuant to Section 12.1, the Participant’s accumulated Plan account balance which has not been applied toward the purchase of shares of Stock shall be refunded to the Participant as soon as practicable after the withdrawal, without the payment of any interest, and the Participant’s interest in the Plan and the Offering shall terminate. Such amounts to be refunded in accordance with this Section may not be applied to any other Offering under the Plan.</w:t>
      </w:r>
    </w:p>
    <w:p>
      <w:pPr>
        <w:spacing w:after="0" w:line="52" w:lineRule="exact"/>
        <w:rPr>
          <w:sz w:val="20"/>
          <w:szCs w:val="20"/>
          <w:color w:val="auto"/>
        </w:rPr>
      </w:pPr>
    </w:p>
    <w:p>
      <w:pPr>
        <w:ind w:left="360" w:hanging="198"/>
        <w:spacing w:after="0"/>
        <w:tabs>
          <w:tab w:leader="none" w:pos="360" w:val="left"/>
        </w:tabs>
        <w:numPr>
          <w:ilvl w:val="0"/>
          <w:numId w:val="261"/>
        </w:numPr>
        <w:rPr>
          <w:rFonts w:ascii="Arial" w:cs="Arial" w:eastAsia="Arial" w:hAnsi="Arial"/>
          <w:sz w:val="13"/>
          <w:szCs w:val="13"/>
          <w:color w:val="auto"/>
        </w:rPr>
      </w:pP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ERMINATION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MPLOYMENT 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LIGIBILITY</w:t>
      </w:r>
      <w:r>
        <w:rPr>
          <w:rFonts w:ascii="Arial" w:cs="Arial" w:eastAsia="Arial" w:hAnsi="Arial"/>
          <w:sz w:val="13"/>
          <w:szCs w:val="13"/>
          <w:b w:val="1"/>
          <w:bCs w:val="1"/>
          <w:color w:val="auto"/>
        </w:rPr>
        <w:t>.</w:t>
      </w:r>
    </w:p>
    <w:p>
      <w:pPr>
        <w:spacing w:after="0" w:line="90"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Upon a Participant’s ceasing, prior to a Purchase Date, to be an Employee of the Participating Company Group for any reason, including retirement, disability or death, or upon the failure of a Participant to remain an Eligible Employee, the Participant’s participation in the Plan shall terminate immediately. In such event, the Participant’s Plan account balance which has not been applied toward the purchase of shares of Stock shall, as soon as practicable, be returned to the Participant or, in the case of the Participant’s death, to the Participant’s beneficiary designated in accordance with Section 20, if any, or legal representative, and all of the Participant’s rights under the Plan shall terminate. Interest shall not be paid on sums returned pursuant to this Section 13. A Participant whose participation has been so terminated may again become eligible to participate in the Plan by satisfying the requirements of Sections 5 and 7.1.</w:t>
      </w:r>
    </w:p>
    <w:p>
      <w:pPr>
        <w:spacing w:after="0" w:line="57" w:lineRule="exact"/>
        <w:rPr>
          <w:sz w:val="20"/>
          <w:szCs w:val="20"/>
          <w:color w:val="auto"/>
        </w:rPr>
      </w:pPr>
    </w:p>
    <w:p>
      <w:pPr>
        <w:ind w:left="360" w:hanging="198"/>
        <w:spacing w:after="0"/>
        <w:tabs>
          <w:tab w:leader="none" w:pos="360" w:val="left"/>
        </w:tabs>
        <w:numPr>
          <w:ilvl w:val="0"/>
          <w:numId w:val="262"/>
        </w:numPr>
        <w:rPr>
          <w:rFonts w:ascii="Arial" w:cs="Arial" w:eastAsia="Arial" w:hAnsi="Arial"/>
          <w:sz w:val="13"/>
          <w:szCs w:val="13"/>
          <w:color w:val="auto"/>
        </w:rPr>
      </w:pP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FFECT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HANGE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ONTROL ON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IGHTS</w:t>
      </w:r>
      <w:r>
        <w:rPr>
          <w:rFonts w:ascii="Arial" w:cs="Arial" w:eastAsia="Arial" w:hAnsi="Arial"/>
          <w:sz w:val="13"/>
          <w:szCs w:val="13"/>
          <w:b w:val="1"/>
          <w:bCs w:val="1"/>
          <w:color w:val="auto"/>
        </w:rPr>
        <w:t>.</w:t>
      </w:r>
    </w:p>
    <w:p>
      <w:pPr>
        <w:spacing w:after="0" w:line="90" w:lineRule="exact"/>
        <w:rPr>
          <w:sz w:val="20"/>
          <w:szCs w:val="20"/>
          <w:color w:val="auto"/>
        </w:rPr>
      </w:pPr>
    </w:p>
    <w:p>
      <w:pPr>
        <w:ind w:right="300" w:firstLine="328"/>
        <w:spacing w:after="0" w:line="260" w:lineRule="auto"/>
        <w:rPr>
          <w:sz w:val="20"/>
          <w:szCs w:val="20"/>
          <w:color w:val="auto"/>
        </w:rPr>
      </w:pPr>
      <w:r>
        <w:rPr>
          <w:rFonts w:ascii="Arial" w:cs="Arial" w:eastAsia="Arial" w:hAnsi="Arial"/>
          <w:sz w:val="13"/>
          <w:szCs w:val="13"/>
          <w:color w:val="auto"/>
        </w:rPr>
        <w:t xml:space="preserve">In the event of a Change in Control, the surviving, continuing, successor, or purchasing corporation or parent thereof, as the case may be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Acquiring Corporation</w:t>
      </w:r>
      <w:r>
        <w:rPr>
          <w:rFonts w:ascii="Arial" w:cs="Arial" w:eastAsia="Arial" w:hAnsi="Arial"/>
          <w:sz w:val="13"/>
          <w:szCs w:val="13"/>
          <w:i w:val="1"/>
          <w:iCs w:val="1"/>
          <w:color w:val="auto"/>
        </w:rPr>
        <w:t>”</w:t>
      </w:r>
      <w:r>
        <w:rPr>
          <w:rFonts w:ascii="Arial" w:cs="Arial" w:eastAsia="Arial" w:hAnsi="Arial"/>
          <w:sz w:val="13"/>
          <w:szCs w:val="13"/>
          <w:color w:val="auto"/>
        </w:rPr>
        <w:t>), may, without the consent of any Participant, either assume or continue the Company’s rights and obligations under outstanding Purchase Rights or substitute substantially equivalent purchase rights for the Acquiring Corporation’s stock. If the Acquiring Corporation elects not to assume or continue the Company’s rights and obligations under outstanding Purchase Rights, the Purchase Date of the then current Offering Period shall be accelerated to a date before the date of the Change in Control specified by the Committee, but the number of shares of Stock subject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26" w:name="page327"/>
    <w:bookmarkEnd w:id="326"/>
    <w:p>
      <w:pPr>
        <w:spacing w:after="0" w:line="276" w:lineRule="auto"/>
        <w:rPr>
          <w:sz w:val="20"/>
          <w:szCs w:val="20"/>
          <w:color w:val="auto"/>
        </w:rPr>
      </w:pPr>
      <w:r>
        <w:rPr>
          <w:rFonts w:ascii="Arial" w:cs="Arial" w:eastAsia="Arial" w:hAnsi="Arial"/>
          <w:sz w:val="13"/>
          <w:szCs w:val="13"/>
          <w:color w:val="auto"/>
        </w:rPr>
        <w:t>outstanding Purchase Rights shall not be adjusted. All Purchase Rights which are neither assumed or continued by the Acquiring Corporation in connection with the Change in Control nor exercised as of the date of the Change in Control shall terminate and cease to be outstanding effective as of the date of the Change in Control.</w:t>
      </w:r>
    </w:p>
    <w:p>
      <w:pPr>
        <w:spacing w:after="0" w:line="45" w:lineRule="exact"/>
        <w:rPr>
          <w:sz w:val="20"/>
          <w:szCs w:val="20"/>
          <w:color w:val="auto"/>
        </w:rPr>
      </w:pPr>
    </w:p>
    <w:p>
      <w:pPr>
        <w:ind w:left="360" w:hanging="198"/>
        <w:spacing w:after="0"/>
        <w:tabs>
          <w:tab w:leader="none" w:pos="360" w:val="left"/>
        </w:tabs>
        <w:numPr>
          <w:ilvl w:val="0"/>
          <w:numId w:val="263"/>
        </w:numPr>
        <w:rPr>
          <w:rFonts w:ascii="Arial" w:cs="Arial" w:eastAsia="Arial" w:hAnsi="Arial"/>
          <w:sz w:val="13"/>
          <w:szCs w:val="13"/>
          <w:color w:val="auto"/>
        </w:rPr>
      </w:pPr>
      <w:r>
        <w:rPr>
          <w:rFonts w:ascii="Arial" w:cs="Arial" w:eastAsia="Arial" w:hAnsi="Arial"/>
          <w:sz w:val="13"/>
          <w:szCs w:val="13"/>
          <w:b w:val="1"/>
          <w:bCs w:val="1"/>
          <w:u w:val="single" w:color="auto"/>
          <w:color w:val="auto"/>
        </w:rPr>
        <w:t>N</w:t>
      </w:r>
      <w:r>
        <w:rPr>
          <w:rFonts w:ascii="Arial" w:cs="Arial" w:eastAsia="Arial" w:hAnsi="Arial"/>
          <w:sz w:val="8"/>
          <w:szCs w:val="8"/>
          <w:b w:val="1"/>
          <w:bCs w:val="1"/>
          <w:u w:val="single" w:color="auto"/>
          <w:color w:val="auto"/>
        </w:rPr>
        <w:t>ONTRANSFERABILITY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URCHASE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IGHTS</w:t>
      </w:r>
      <w:r>
        <w:rPr>
          <w:rFonts w:ascii="Arial" w:cs="Arial" w:eastAsia="Arial" w:hAnsi="Arial"/>
          <w:sz w:val="13"/>
          <w:szCs w:val="13"/>
          <w:b w:val="1"/>
          <w:bCs w:val="1"/>
          <w:color w:val="auto"/>
        </w:rPr>
        <w:t>.</w:t>
      </w:r>
    </w:p>
    <w:p>
      <w:pPr>
        <w:spacing w:after="0" w:line="90"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Neither payroll deductions or other amounts credited to a Participant’s Plan account nor a Participant’s Purchase Right may be assigned, transferred, pledged or otherwise disposed of in any manner other than as provided by the Plan or by will or the laws of descent and distribution. (A beneficiary designation pursuant to Section 20 shall not be treated as a disposition for this purpose.) Any such attempted assignment, transfer, pledge or other disposition shall be without effect, except that the Company may treat such act as an election to withdraw from the Plan as provided in Section 12.1. A Purchase Right shall be exercisable during the lifetime of the Participant only by the Participant.</w:t>
      </w:r>
    </w:p>
    <w:p>
      <w:pPr>
        <w:spacing w:after="0" w:line="56" w:lineRule="exact"/>
        <w:rPr>
          <w:sz w:val="20"/>
          <w:szCs w:val="20"/>
          <w:color w:val="auto"/>
        </w:rPr>
      </w:pPr>
    </w:p>
    <w:p>
      <w:pPr>
        <w:ind w:left="360" w:hanging="198"/>
        <w:spacing w:after="0"/>
        <w:tabs>
          <w:tab w:leader="none" w:pos="360" w:val="left"/>
        </w:tabs>
        <w:numPr>
          <w:ilvl w:val="0"/>
          <w:numId w:val="264"/>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8"/>
          <w:szCs w:val="8"/>
          <w:b w:val="1"/>
          <w:bCs w:val="1"/>
          <w:u w:val="single" w:color="auto"/>
          <w:color w:val="auto"/>
        </w:rPr>
        <w:t>OMPLIANCE WITH</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ECURITIES</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L</w:t>
      </w:r>
      <w:r>
        <w:rPr>
          <w:rFonts w:ascii="Arial" w:cs="Arial" w:eastAsia="Arial" w:hAnsi="Arial"/>
          <w:sz w:val="8"/>
          <w:szCs w:val="8"/>
          <w:b w:val="1"/>
          <w:bCs w:val="1"/>
          <w:u w:val="single" w:color="auto"/>
          <w:color w:val="auto"/>
        </w:rPr>
        <w:t>AW</w:t>
      </w:r>
      <w:r>
        <w:rPr>
          <w:rFonts w:ascii="Arial" w:cs="Arial" w:eastAsia="Arial" w:hAnsi="Arial"/>
          <w:sz w:val="13"/>
          <w:szCs w:val="13"/>
          <w:b w:val="1"/>
          <w:bCs w:val="1"/>
          <w:color w:val="auto"/>
        </w:rPr>
        <w:t>.</w:t>
      </w:r>
    </w:p>
    <w:p>
      <w:pPr>
        <w:spacing w:after="0" w:line="90" w:lineRule="exact"/>
        <w:rPr>
          <w:sz w:val="20"/>
          <w:szCs w:val="20"/>
          <w:color w:val="auto"/>
        </w:rPr>
      </w:pPr>
    </w:p>
    <w:p>
      <w:pPr>
        <w:ind w:firstLine="325"/>
        <w:spacing w:after="0" w:line="280" w:lineRule="auto"/>
        <w:rPr>
          <w:sz w:val="20"/>
          <w:szCs w:val="20"/>
          <w:color w:val="auto"/>
        </w:rPr>
      </w:pPr>
      <w:r>
        <w:rPr>
          <w:rFonts w:ascii="Arial" w:cs="Arial" w:eastAsia="Arial" w:hAnsi="Arial"/>
          <w:sz w:val="12"/>
          <w:szCs w:val="12"/>
          <w:color w:val="auto"/>
        </w:rPr>
        <w:t>The issuance of shares under the Plan shall be subject to compliance with all applicable 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45" w:lineRule="exact"/>
        <w:rPr>
          <w:sz w:val="20"/>
          <w:szCs w:val="20"/>
          <w:color w:val="auto"/>
        </w:rPr>
      </w:pPr>
    </w:p>
    <w:p>
      <w:pPr>
        <w:ind w:left="360" w:hanging="198"/>
        <w:spacing w:after="0"/>
        <w:tabs>
          <w:tab w:leader="none" w:pos="360" w:val="left"/>
        </w:tabs>
        <w:numPr>
          <w:ilvl w:val="0"/>
          <w:numId w:val="265"/>
        </w:numPr>
        <w:rPr>
          <w:rFonts w:ascii="Arial" w:cs="Arial" w:eastAsia="Arial" w:hAnsi="Arial"/>
          <w:sz w:val="13"/>
          <w:szCs w:val="13"/>
          <w:color w:val="auto"/>
        </w:rPr>
      </w:pPr>
      <w:r>
        <w:rPr>
          <w:rFonts w:ascii="Arial" w:cs="Arial" w:eastAsia="Arial" w:hAnsi="Arial"/>
          <w:sz w:val="13"/>
          <w:szCs w:val="13"/>
          <w:b w:val="1"/>
          <w:bCs w:val="1"/>
          <w:u w:val="single" w:color="auto"/>
          <w:color w:val="auto"/>
        </w:rPr>
        <w:t>R</w:t>
      </w:r>
      <w:r>
        <w:rPr>
          <w:rFonts w:ascii="Arial" w:cs="Arial" w:eastAsia="Arial" w:hAnsi="Arial"/>
          <w:sz w:val="8"/>
          <w:szCs w:val="8"/>
          <w:b w:val="1"/>
          <w:bCs w:val="1"/>
          <w:u w:val="single" w:color="auto"/>
          <w:color w:val="auto"/>
        </w:rPr>
        <w:t>IGHTS AS A</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TOCKHOLDER AND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w:t>
      </w:r>
      <w:r>
        <w:rPr>
          <w:rFonts w:ascii="Arial" w:cs="Arial" w:eastAsia="Arial" w:hAnsi="Arial"/>
          <w:sz w:val="8"/>
          <w:szCs w:val="8"/>
          <w:b w:val="1"/>
          <w:bCs w:val="1"/>
          <w:u w:val="single" w:color="auto"/>
          <w:color w:val="auto"/>
        </w:rPr>
        <w:t>MPLOYEE</w:t>
      </w:r>
      <w:r>
        <w:rPr>
          <w:rFonts w:ascii="Arial" w:cs="Arial" w:eastAsia="Arial" w:hAnsi="Arial"/>
          <w:sz w:val="13"/>
          <w:szCs w:val="13"/>
          <w:b w:val="1"/>
          <w:bCs w:val="1"/>
          <w:color w:val="auto"/>
        </w:rPr>
        <w:t>.</w:t>
      </w:r>
    </w:p>
    <w:p>
      <w:pPr>
        <w:spacing w:after="0" w:line="90" w:lineRule="exact"/>
        <w:rPr>
          <w:sz w:val="20"/>
          <w:szCs w:val="20"/>
          <w:color w:val="auto"/>
        </w:rPr>
      </w:pPr>
    </w:p>
    <w:p>
      <w:pPr>
        <w:ind w:firstLine="320"/>
        <w:spacing w:after="0" w:line="260" w:lineRule="auto"/>
        <w:rPr>
          <w:sz w:val="20"/>
          <w:szCs w:val="20"/>
          <w:color w:val="auto"/>
        </w:rPr>
      </w:pPr>
      <w:r>
        <w:rPr>
          <w:rFonts w:ascii="Arial" w:cs="Arial" w:eastAsia="Arial" w:hAnsi="Arial"/>
          <w:sz w:val="13"/>
          <w:szCs w:val="13"/>
          <w:color w:val="auto"/>
        </w:rPr>
        <w:t>A Participant shall have no rights as a stockholder by virtue of the Participant’s participation in the Plan until the date of the issuance of the shares of Stock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4.3. Nothing herein shall confer upon a Participant any right to continue in the employ of the Participating Company Group or interfere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27" w:name="page328"/>
    <w:bookmarkEnd w:id="327"/>
    <w:p>
      <w:pPr>
        <w:spacing w:after="0"/>
        <w:rPr>
          <w:sz w:val="20"/>
          <w:szCs w:val="20"/>
          <w:color w:val="auto"/>
        </w:rPr>
      </w:pPr>
      <w:r>
        <w:rPr>
          <w:rFonts w:ascii="Arial" w:cs="Arial" w:eastAsia="Arial" w:hAnsi="Arial"/>
          <w:sz w:val="13"/>
          <w:szCs w:val="13"/>
          <w:color w:val="auto"/>
        </w:rPr>
        <w:t>in any way with any right of the Participating Company Group to terminate the Participant’s employment at any time.</w:t>
      </w:r>
    </w:p>
    <w:p>
      <w:pPr>
        <w:spacing w:after="0" w:line="82" w:lineRule="exact"/>
        <w:rPr>
          <w:sz w:val="20"/>
          <w:szCs w:val="20"/>
          <w:color w:val="auto"/>
        </w:rPr>
      </w:pPr>
    </w:p>
    <w:p>
      <w:pPr>
        <w:ind w:left="360" w:hanging="198"/>
        <w:spacing w:after="0"/>
        <w:tabs>
          <w:tab w:leader="none" w:pos="360" w:val="left"/>
        </w:tabs>
        <w:numPr>
          <w:ilvl w:val="0"/>
          <w:numId w:val="266"/>
        </w:numPr>
        <w:rPr>
          <w:rFonts w:ascii="Arial" w:cs="Arial" w:eastAsia="Arial" w:hAnsi="Arial"/>
          <w:sz w:val="13"/>
          <w:szCs w:val="13"/>
          <w:color w:val="auto"/>
        </w:rPr>
      </w:pPr>
      <w:r>
        <w:rPr>
          <w:rFonts w:ascii="Arial" w:cs="Arial" w:eastAsia="Arial" w:hAnsi="Arial"/>
          <w:sz w:val="13"/>
          <w:szCs w:val="13"/>
          <w:b w:val="1"/>
          <w:bCs w:val="1"/>
          <w:u w:val="single" w:color="auto"/>
          <w:color w:val="auto"/>
        </w:rPr>
        <w:t>N</w:t>
      </w:r>
      <w:r>
        <w:rPr>
          <w:rFonts w:ascii="Arial" w:cs="Arial" w:eastAsia="Arial" w:hAnsi="Arial"/>
          <w:sz w:val="8"/>
          <w:szCs w:val="8"/>
          <w:b w:val="1"/>
          <w:bCs w:val="1"/>
          <w:u w:val="single" w:color="auto"/>
          <w:color w:val="auto"/>
        </w:rPr>
        <w:t>OTIFICATION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ISPOSITION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HARES</w:t>
      </w:r>
      <w:r>
        <w:rPr>
          <w:rFonts w:ascii="Arial" w:cs="Arial" w:eastAsia="Arial" w:hAnsi="Arial"/>
          <w:sz w:val="13"/>
          <w:szCs w:val="13"/>
          <w:b w:val="1"/>
          <w:bCs w:val="1"/>
          <w:color w:val="auto"/>
        </w:rPr>
        <w:t>.</w:t>
      </w:r>
    </w:p>
    <w:p>
      <w:pPr>
        <w:spacing w:after="0" w:line="90" w:lineRule="exact"/>
        <w:rPr>
          <w:sz w:val="20"/>
          <w:szCs w:val="20"/>
          <w:color w:val="auto"/>
        </w:rPr>
      </w:pPr>
    </w:p>
    <w:p>
      <w:pPr>
        <w:ind w:firstLine="325"/>
        <w:spacing w:after="0" w:line="289" w:lineRule="auto"/>
        <w:rPr>
          <w:sz w:val="20"/>
          <w:szCs w:val="20"/>
          <w:color w:val="auto"/>
        </w:rPr>
      </w:pPr>
      <w:r>
        <w:rPr>
          <w:rFonts w:ascii="Arial" w:cs="Arial" w:eastAsia="Arial" w:hAnsi="Arial"/>
          <w:sz w:val="12"/>
          <w:szCs w:val="12"/>
          <w:color w:val="auto"/>
        </w:rPr>
        <w:t>The Company may require the Participant to give the Company prompt notice of any disposition of shares of Stock acquired by exercise of a Purchase Right. The Company may require that until such time as a Participant disposes of shares of Stock acquired upon exercise of a Purchase Right, the Participant shall hold all such shares in the Participant’s name (or, if elected by the Participant, in the name of the Participant and his or her spouse but not in the name of any nominee) until the later of two years after the date of grant of such Purchase Right or one year after the date of exercise of such Purchase Right. The Company may direct that the certificates evidencing shares of Stock acquired by exercise of a Purchase Right refer to such requirement to give prompt notice of disposition.</w:t>
      </w:r>
    </w:p>
    <w:p>
      <w:pPr>
        <w:spacing w:after="0" w:line="39" w:lineRule="exact"/>
        <w:rPr>
          <w:sz w:val="20"/>
          <w:szCs w:val="20"/>
          <w:color w:val="auto"/>
        </w:rPr>
      </w:pPr>
    </w:p>
    <w:p>
      <w:pPr>
        <w:ind w:left="360" w:hanging="198"/>
        <w:spacing w:after="0"/>
        <w:tabs>
          <w:tab w:leader="none" w:pos="360" w:val="left"/>
        </w:tabs>
        <w:numPr>
          <w:ilvl w:val="0"/>
          <w:numId w:val="267"/>
        </w:numPr>
        <w:rPr>
          <w:rFonts w:ascii="Arial" w:cs="Arial" w:eastAsia="Arial" w:hAnsi="Arial"/>
          <w:sz w:val="13"/>
          <w:szCs w:val="13"/>
          <w:color w:val="auto"/>
        </w:rPr>
      </w:pPr>
      <w:r>
        <w:rPr>
          <w:rFonts w:ascii="Arial" w:cs="Arial" w:eastAsia="Arial" w:hAnsi="Arial"/>
          <w:sz w:val="13"/>
          <w:szCs w:val="13"/>
          <w:b w:val="1"/>
          <w:bCs w:val="1"/>
          <w:u w:val="single" w:color="auto"/>
          <w:color w:val="auto"/>
        </w:rPr>
        <w:t>L</w:t>
      </w:r>
      <w:r>
        <w:rPr>
          <w:rFonts w:ascii="Arial" w:cs="Arial" w:eastAsia="Arial" w:hAnsi="Arial"/>
          <w:sz w:val="8"/>
          <w:szCs w:val="8"/>
          <w:b w:val="1"/>
          <w:bCs w:val="1"/>
          <w:u w:val="single" w:color="auto"/>
          <w:color w:val="auto"/>
        </w:rPr>
        <w:t>EGENDS</w:t>
      </w:r>
      <w:r>
        <w:rPr>
          <w:rFonts w:ascii="Arial" w:cs="Arial" w:eastAsia="Arial" w:hAnsi="Arial"/>
          <w:sz w:val="13"/>
          <w:szCs w:val="13"/>
          <w:b w:val="1"/>
          <w:bCs w:val="1"/>
          <w:color w:val="auto"/>
        </w:rPr>
        <w:t>.</w:t>
      </w:r>
    </w:p>
    <w:p>
      <w:pPr>
        <w:spacing w:after="0" w:line="90" w:lineRule="exact"/>
        <w:rPr>
          <w:sz w:val="20"/>
          <w:szCs w:val="20"/>
          <w:color w:val="auto"/>
        </w:rPr>
      </w:pPr>
    </w:p>
    <w:p>
      <w:pPr>
        <w:ind w:firstLine="325"/>
        <w:spacing w:after="0" w:line="260" w:lineRule="auto"/>
        <w:rPr>
          <w:sz w:val="20"/>
          <w:szCs w:val="20"/>
          <w:color w:val="auto"/>
        </w:rPr>
      </w:pPr>
      <w:r>
        <w:rPr>
          <w:rFonts w:ascii="Arial" w:cs="Arial" w:eastAsia="Arial" w:hAnsi="Arial"/>
          <w:sz w:val="13"/>
          <w:szCs w:val="13"/>
          <w:color w:val="auto"/>
        </w:rPr>
        <w:t>The Company may at any time place legends or other identifying symbols referencing any applicable federal, state or foreign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60"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56" w:lineRule="exact"/>
        <w:rPr>
          <w:sz w:val="20"/>
          <w:szCs w:val="20"/>
          <w:color w:val="auto"/>
        </w:rPr>
      </w:pPr>
    </w:p>
    <w:p>
      <w:pPr>
        <w:ind w:left="360" w:hanging="198"/>
        <w:spacing w:after="0"/>
        <w:tabs>
          <w:tab w:leader="none" w:pos="360" w:val="left"/>
        </w:tabs>
        <w:numPr>
          <w:ilvl w:val="0"/>
          <w:numId w:val="268"/>
        </w:numPr>
        <w:rPr>
          <w:rFonts w:ascii="Arial" w:cs="Arial" w:eastAsia="Arial" w:hAnsi="Arial"/>
          <w:sz w:val="13"/>
          <w:szCs w:val="13"/>
          <w:color w:val="auto"/>
        </w:rPr>
      </w:pPr>
      <w:r>
        <w:rPr>
          <w:rFonts w:ascii="Arial" w:cs="Arial" w:eastAsia="Arial" w:hAnsi="Arial"/>
          <w:sz w:val="13"/>
          <w:szCs w:val="13"/>
          <w:b w:val="1"/>
          <w:bCs w:val="1"/>
          <w:u w:val="single" w:color="auto"/>
          <w:color w:val="auto"/>
        </w:rPr>
        <w:t>D</w:t>
      </w:r>
      <w:r>
        <w:rPr>
          <w:rFonts w:ascii="Arial" w:cs="Arial" w:eastAsia="Arial" w:hAnsi="Arial"/>
          <w:sz w:val="8"/>
          <w:szCs w:val="8"/>
          <w:b w:val="1"/>
          <w:bCs w:val="1"/>
          <w:u w:val="single" w:color="auto"/>
          <w:color w:val="auto"/>
        </w:rPr>
        <w:t>ESIGNATION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B</w:t>
      </w:r>
      <w:r>
        <w:rPr>
          <w:rFonts w:ascii="Arial" w:cs="Arial" w:eastAsia="Arial" w:hAnsi="Arial"/>
          <w:sz w:val="8"/>
          <w:szCs w:val="8"/>
          <w:b w:val="1"/>
          <w:bCs w:val="1"/>
          <w:u w:val="single" w:color="auto"/>
          <w:color w:val="auto"/>
        </w:rPr>
        <w:t>ENEFICIARY</w:t>
      </w:r>
      <w:r>
        <w:rPr>
          <w:rFonts w:ascii="Arial" w:cs="Arial" w:eastAsia="Arial" w:hAnsi="Arial"/>
          <w:sz w:val="13"/>
          <w:szCs w:val="13"/>
          <w:b w:val="1"/>
          <w:bCs w:val="1"/>
          <w:color w:val="auto"/>
        </w:rPr>
        <w:t>.</w:t>
      </w:r>
    </w:p>
    <w:p>
      <w:pPr>
        <w:spacing w:after="0" w:line="86" w:lineRule="exact"/>
        <w:rPr>
          <w:sz w:val="20"/>
          <w:szCs w:val="20"/>
          <w:color w:val="auto"/>
        </w:rPr>
      </w:pPr>
    </w:p>
    <w:p>
      <w:pPr>
        <w:ind w:right="100" w:firstLine="328"/>
        <w:spacing w:after="0" w:line="262" w:lineRule="auto"/>
        <w:rPr>
          <w:sz w:val="20"/>
          <w:szCs w:val="20"/>
          <w:color w:val="auto"/>
        </w:rPr>
      </w:pPr>
      <w:r>
        <w:rPr>
          <w:rFonts w:ascii="Arial" w:cs="Arial" w:eastAsia="Arial" w:hAnsi="Arial"/>
          <w:sz w:val="13"/>
          <w:szCs w:val="13"/>
          <w:color w:val="auto"/>
        </w:rPr>
        <w:t xml:space="preserve">20.1 </w:t>
      </w:r>
      <w:r>
        <w:rPr>
          <w:rFonts w:ascii="Arial" w:cs="Arial" w:eastAsia="Arial" w:hAnsi="Arial"/>
          <w:sz w:val="13"/>
          <w:szCs w:val="13"/>
          <w:b w:val="1"/>
          <w:bCs w:val="1"/>
          <w:color w:val="auto"/>
        </w:rPr>
        <w:t>Designation Procedure.</w:t>
      </w:r>
      <w:r>
        <w:rPr>
          <w:rFonts w:ascii="Arial" w:cs="Arial" w:eastAsia="Arial" w:hAnsi="Arial"/>
          <w:sz w:val="13"/>
          <w:szCs w:val="13"/>
          <w:color w:val="auto"/>
        </w:rPr>
        <w:t xml:space="preserve"> Subject to local laws and procedures, a Participant may file a written designation of a beneficiary who is to receive (a) shares and cash, if any, from the Participant’s Plan account if the Participant dies subsequent to a Purchase Date but prior to delivery to the Participant of such shares and cash, or (b) cash, if any, from the Participant’s Plan account if the Participant dies prior to the exercise of the Participant’s Purchase Right. If a married Participant designates a beneficiary other than the Participant’s spouse, the effectiveness of such designation may be subject to the consent of the Participant’s spouse. A Participant may change his or her beneficiary designation at any time by written notice to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8" w:name="page329"/>
    <w:bookmarkEnd w:id="328"/>
    <w:p>
      <w:pPr>
        <w:ind w:right="180" w:firstLine="328"/>
        <w:spacing w:after="0" w:line="283" w:lineRule="auto"/>
        <w:rPr>
          <w:sz w:val="20"/>
          <w:szCs w:val="20"/>
          <w:color w:val="auto"/>
        </w:rPr>
      </w:pPr>
      <w:r>
        <w:rPr>
          <w:rFonts w:ascii="Arial" w:cs="Arial" w:eastAsia="Arial" w:hAnsi="Arial"/>
          <w:sz w:val="13"/>
          <w:szCs w:val="13"/>
          <w:color w:val="auto"/>
        </w:rPr>
        <w:t xml:space="preserve">20.2 </w:t>
      </w:r>
      <w:r>
        <w:rPr>
          <w:rFonts w:ascii="Arial" w:cs="Arial" w:eastAsia="Arial" w:hAnsi="Arial"/>
          <w:sz w:val="13"/>
          <w:szCs w:val="13"/>
          <w:b w:val="1"/>
          <w:bCs w:val="1"/>
          <w:color w:val="auto"/>
        </w:rPr>
        <w:t>Absence of Beneficiary Designation.</w:t>
      </w:r>
      <w:r>
        <w:rPr>
          <w:rFonts w:ascii="Arial" w:cs="Arial" w:eastAsia="Arial" w:hAnsi="Arial"/>
          <w:sz w:val="13"/>
          <w:szCs w:val="13"/>
          <w:color w:val="auto"/>
        </w:rPr>
        <w:t xml:space="preserve"> If a Participant dies without an effective designation pursuant to Section 20.1 of a beneficiary who is living at the time of the Participant’s death, the Company shall deliver any shares or cash credited to the Participant’s Plan account to the Participant’s legal representative or as otherwise required by applicable law.</w:t>
      </w:r>
    </w:p>
    <w:p>
      <w:pPr>
        <w:spacing w:after="0" w:line="41" w:lineRule="exact"/>
        <w:rPr>
          <w:sz w:val="20"/>
          <w:szCs w:val="20"/>
          <w:color w:val="auto"/>
        </w:rPr>
      </w:pPr>
    </w:p>
    <w:p>
      <w:pPr>
        <w:ind w:left="360" w:hanging="198"/>
        <w:spacing w:after="0"/>
        <w:tabs>
          <w:tab w:leader="none" w:pos="360" w:val="left"/>
        </w:tabs>
        <w:numPr>
          <w:ilvl w:val="0"/>
          <w:numId w:val="269"/>
        </w:numPr>
        <w:rPr>
          <w:rFonts w:ascii="Arial" w:cs="Arial" w:eastAsia="Arial" w:hAnsi="Arial"/>
          <w:sz w:val="13"/>
          <w:szCs w:val="13"/>
          <w:color w:val="auto"/>
        </w:rPr>
      </w:pPr>
      <w:r>
        <w:rPr>
          <w:rFonts w:ascii="Arial" w:cs="Arial" w:eastAsia="Arial" w:hAnsi="Arial"/>
          <w:sz w:val="13"/>
          <w:szCs w:val="13"/>
          <w:b w:val="1"/>
          <w:bCs w:val="1"/>
          <w:u w:val="single" w:color="auto"/>
          <w:color w:val="auto"/>
        </w:rPr>
        <w:t>N</w:t>
      </w:r>
      <w:r>
        <w:rPr>
          <w:rFonts w:ascii="Arial" w:cs="Arial" w:eastAsia="Arial" w:hAnsi="Arial"/>
          <w:sz w:val="8"/>
          <w:szCs w:val="8"/>
          <w:b w:val="1"/>
          <w:bCs w:val="1"/>
          <w:u w:val="single" w:color="auto"/>
          <w:color w:val="auto"/>
        </w:rPr>
        <w:t>OTICES</w:t>
      </w:r>
      <w:r>
        <w:rPr>
          <w:rFonts w:ascii="Arial" w:cs="Arial" w:eastAsia="Arial" w:hAnsi="Arial"/>
          <w:sz w:val="13"/>
          <w:szCs w:val="13"/>
          <w:b w:val="1"/>
          <w:bCs w:val="1"/>
          <w:color w:val="auto"/>
        </w:rPr>
        <w:t>.</w:t>
      </w:r>
    </w:p>
    <w:p>
      <w:pPr>
        <w:spacing w:after="0" w:line="90" w:lineRule="exact"/>
        <w:rPr>
          <w:sz w:val="20"/>
          <w:szCs w:val="20"/>
          <w:color w:val="auto"/>
        </w:rPr>
      </w:pPr>
    </w:p>
    <w:p>
      <w:pPr>
        <w:ind w:right="220" w:firstLine="320"/>
        <w:spacing w:after="0" w:line="276" w:lineRule="auto"/>
        <w:rPr>
          <w:sz w:val="20"/>
          <w:szCs w:val="20"/>
          <w:color w:val="auto"/>
        </w:rPr>
      </w:pPr>
      <w:r>
        <w:rPr>
          <w:rFonts w:ascii="Arial" w:cs="Arial" w:eastAsia="Arial" w:hAnsi="Arial"/>
          <w:sz w:val="13"/>
          <w:szCs w:val="13"/>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45" w:lineRule="exact"/>
        <w:rPr>
          <w:sz w:val="20"/>
          <w:szCs w:val="20"/>
          <w:color w:val="auto"/>
        </w:rPr>
      </w:pPr>
    </w:p>
    <w:p>
      <w:pPr>
        <w:ind w:left="360" w:hanging="198"/>
        <w:spacing w:after="0"/>
        <w:tabs>
          <w:tab w:leader="none" w:pos="360" w:val="left"/>
        </w:tabs>
        <w:numPr>
          <w:ilvl w:val="0"/>
          <w:numId w:val="270"/>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8"/>
          <w:szCs w:val="8"/>
          <w:b w:val="1"/>
          <w:bCs w:val="1"/>
          <w:u w:val="single" w:color="auto"/>
          <w:color w:val="auto"/>
        </w:rPr>
        <w:t>MENDMENT 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T</w:t>
      </w:r>
      <w:r>
        <w:rPr>
          <w:rFonts w:ascii="Arial" w:cs="Arial" w:eastAsia="Arial" w:hAnsi="Arial"/>
          <w:sz w:val="8"/>
          <w:szCs w:val="8"/>
          <w:b w:val="1"/>
          <w:bCs w:val="1"/>
          <w:u w:val="single" w:color="auto"/>
          <w:color w:val="auto"/>
        </w:rPr>
        <w:t>ERMINATION OF THE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8"/>
          <w:szCs w:val="8"/>
          <w:b w:val="1"/>
          <w:bCs w:val="1"/>
          <w:u w:val="single" w:color="auto"/>
          <w:color w:val="auto"/>
        </w:rPr>
        <w:t>LAN</w:t>
      </w:r>
      <w:r>
        <w:rPr>
          <w:rFonts w:ascii="Arial" w:cs="Arial" w:eastAsia="Arial" w:hAnsi="Arial"/>
          <w:sz w:val="13"/>
          <w:szCs w:val="13"/>
          <w:b w:val="1"/>
          <w:bCs w:val="1"/>
          <w:color w:val="auto"/>
        </w:rPr>
        <w:t>.</w:t>
      </w:r>
    </w:p>
    <w:p>
      <w:pPr>
        <w:spacing w:after="0" w:line="90" w:lineRule="exact"/>
        <w:rPr>
          <w:sz w:val="20"/>
          <w:szCs w:val="20"/>
          <w:color w:val="auto"/>
        </w:rPr>
      </w:pPr>
    </w:p>
    <w:p>
      <w:pPr>
        <w:ind w:firstLine="325"/>
        <w:spacing w:after="0" w:line="279" w:lineRule="auto"/>
        <w:rPr>
          <w:sz w:val="20"/>
          <w:szCs w:val="20"/>
          <w:color w:val="auto"/>
        </w:rPr>
      </w:pPr>
      <w:r>
        <w:rPr>
          <w:rFonts w:ascii="Arial" w:cs="Arial" w:eastAsia="Arial" w:hAnsi="Arial"/>
          <w:sz w:val="12"/>
          <w:szCs w:val="12"/>
          <w:color w:val="auto"/>
        </w:rPr>
        <w:t>The Committee may at any time amend, suspend or terminate the Plan, except that (a) no such amendment, suspension or termination shall affect Purchase Rights previously granted under the Plan unless expressly provided by the Committee, and (b) no such amendment, suspension or termination may adversely affect a Purchase Right previously granted under the Plan without the consent of the Participant, except to the extent permitted by the Plan or as may be necessary to qualify the Plan as an employee stock purchase plan pursuant to Section 423 of the Code or to comply with any applicable law, regulation or rule. In addition, an amendment to the Plan must be approved by the stockholders of the Company within twelve (12) months of the adoption of such amendment if such amendment would authorize the sale of more shares than are then authorized for issuance under the Plan or would change the definition of the corporations that may be designated by the Committee as Participating Companies. Notwithstanding the foregoing, in the event that the Committee determines that continuation of the Plan or an Offering would result in unfavorable financial accounting consequences to the Company, the Committee may, in its discretion and without the consent of any Participant, including with respect to an Offering Period then in progress: (i) terminate the Plan or any Offering Period, (ii) accelerate the Purchase Date of any Offering Period, (iii) reduce the discount or the method of determining the Purchase Price in any Offering Period (e.g., by determining the Purchase Price solely on the basis of the Fair Market Value on the Purchase Date), (iv) reduce the maximum number of shares of Stock that may be purchased in any Offering Period, or (v) take any combination of the foregoing actions.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00"/>
          </w:cols>
          <w:pgMar w:left="220" w:top="716" w:right="279" w:bottom="1440" w:gutter="0" w:footer="0" w:header="0"/>
        </w:sectPr>
      </w:pPr>
    </w:p>
    <w:bookmarkStart w:id="329" w:name="page330"/>
    <w:bookmarkEnd w:id="329"/>
    <w:p>
      <w:pPr>
        <w:jc w:val="right"/>
        <w:spacing w:after="0"/>
        <w:rPr>
          <w:sz w:val="20"/>
          <w:szCs w:val="20"/>
          <w:color w:val="auto"/>
        </w:rPr>
      </w:pPr>
      <w:r>
        <w:rPr>
          <w:rFonts w:ascii="Arial" w:cs="Arial" w:eastAsia="Arial" w:hAnsi="Arial"/>
          <w:sz w:val="13"/>
          <w:szCs w:val="13"/>
          <w:b w:val="1"/>
          <w:bCs w:val="1"/>
          <w:color w:val="auto"/>
        </w:rPr>
        <w:t>Exhibit 10.21</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120" w:type="dxa"/>
            <w:vAlign w:val="bottom"/>
            <w:gridSpan w:val="3"/>
          </w:tcPr>
          <w:p>
            <w:pPr>
              <w:ind w:left="740"/>
              <w:spacing w:after="0"/>
              <w:rPr>
                <w:sz w:val="20"/>
                <w:szCs w:val="20"/>
                <w:color w:val="auto"/>
              </w:rPr>
            </w:pPr>
            <w:r>
              <w:rPr>
                <w:rFonts w:ascii="Arial" w:cs="Arial" w:eastAsia="Arial" w:hAnsi="Arial"/>
                <w:sz w:val="13"/>
                <w:szCs w:val="13"/>
                <w:b w:val="1"/>
                <w:bCs w:val="1"/>
                <w:color w:val="auto"/>
              </w:rPr>
              <w:t>INDEMNITY AGREEMENT</w:t>
            </w:r>
          </w:p>
        </w:tc>
      </w:tr>
      <w:tr>
        <w:trPr>
          <w:trHeight w:val="208"/>
        </w:trPr>
        <w:tc>
          <w:tcPr>
            <w:tcW w:w="2080" w:type="dxa"/>
            <w:vAlign w:val="bottom"/>
          </w:tcPr>
          <w:p>
            <w:pPr>
              <w:spacing w:after="0"/>
              <w:rPr>
                <w:sz w:val="20"/>
                <w:szCs w:val="20"/>
                <w:color w:val="auto"/>
              </w:rPr>
            </w:pPr>
            <w:r>
              <w:rPr>
                <w:rFonts w:ascii="Arial" w:cs="Arial" w:eastAsia="Arial" w:hAnsi="Arial"/>
                <w:sz w:val="13"/>
                <w:szCs w:val="13"/>
                <w:color w:val="auto"/>
                <w:w w:val="92"/>
              </w:rPr>
              <w:t>This Indemnity Agreement, dated as of</w:t>
            </w:r>
          </w:p>
        </w:tc>
        <w:tc>
          <w:tcPr>
            <w:tcW w:w="660" w:type="dxa"/>
            <w:vAlign w:val="bottom"/>
          </w:tcPr>
          <w:p>
            <w:pPr>
              <w:spacing w:after="0"/>
              <w:rPr>
                <w:sz w:val="18"/>
                <w:szCs w:val="18"/>
                <w:color w:val="auto"/>
              </w:rPr>
            </w:pPr>
          </w:p>
        </w:tc>
        <w:tc>
          <w:tcPr>
            <w:tcW w:w="7380" w:type="dxa"/>
            <w:vAlign w:val="bottom"/>
            <w:gridSpan w:val="5"/>
          </w:tcPr>
          <w:p>
            <w:pPr>
              <w:spacing w:after="0"/>
              <w:rPr>
                <w:sz w:val="20"/>
                <w:szCs w:val="20"/>
                <w:color w:val="auto"/>
              </w:rPr>
            </w:pPr>
            <w:r>
              <w:rPr>
                <w:rFonts w:ascii="Arial" w:cs="Arial" w:eastAsia="Arial" w:hAnsi="Arial"/>
                <w:sz w:val="13"/>
                <w:szCs w:val="13"/>
                <w:color w:val="auto"/>
                <w:w w:val="93"/>
              </w:rPr>
              <w:t>, 2008 (this “Agreement”), is made by and between GRAND CANYON EDUCATION, INC., a Delaware corporation (the “Company”), and</w:t>
            </w:r>
          </w:p>
        </w:tc>
      </w:tr>
      <w:tr>
        <w:trPr>
          <w:trHeight w:val="20"/>
        </w:trPr>
        <w:tc>
          <w:tcPr>
            <w:tcW w:w="2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the Indemnitee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24777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RECITALS</w:t>
      </w:r>
    </w:p>
    <w:p>
      <w:pPr>
        <w:spacing w:after="0" w:line="90" w:lineRule="exact"/>
        <w:rPr>
          <w:sz w:val="20"/>
          <w:szCs w:val="20"/>
          <w:color w:val="auto"/>
        </w:rPr>
      </w:pPr>
    </w:p>
    <w:p>
      <w:pPr>
        <w:ind w:right="140" w:firstLine="157"/>
        <w:spacing w:after="0" w:line="264" w:lineRule="auto"/>
        <w:rPr>
          <w:sz w:val="20"/>
          <w:szCs w:val="20"/>
          <w:color w:val="auto"/>
        </w:rPr>
      </w:pPr>
      <w:r>
        <w:rPr>
          <w:rFonts w:ascii="Arial" w:cs="Arial" w:eastAsia="Arial" w:hAnsi="Arial"/>
          <w:sz w:val="13"/>
          <w:szCs w:val="13"/>
          <w:color w:val="auto"/>
        </w:rPr>
        <w:t>A. The Company is aware that competent and experienced persons are increasingly reluctant to serve as directors, officers or agents of corporations unless they are protected by comprehensive liability insurance or indemnification, due to increased exposure to litigation costs and risks resulting from their service to such corporations, and due to the fact that the exposure frequently bears no reasonable relationship to the compensation of such directors, officers and other agents.</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B. The statutes and judicial decisions regarding the duties of directors and officers are often difficult to apply, ambiguous, or conflicting, and therefore fail to provide such directors, officers and agents with adequate, reliable knowledge of legal risks to which they are exposed or information regarding the proper course of action to take.</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C. Plaintiffs often seek damages in such large amounts and the costs of litigation may be so enormous (whether or not the case is meritorious), that the defense and/or settlement of such litigation are often beyond the personal resources of directors, officers and other agents.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D. The Company believes that it is unfair for its directors, officers and agents and the directors, officers and agents of its subsidiaries to assume the risk of huge judgments and other expenses that may occur in cases in which the director, officer or agent received no personal profit and in cases where the director, officer or agent was not culpable.</w:t>
      </w:r>
    </w:p>
    <w:p>
      <w:pPr>
        <w:spacing w:after="0" w:line="49"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E. The Company recognizes that the issues in controversy in litigation against a director, officer or agent of a corporation such as the Company or its subsidiaries are often related to the knowledge, motives and intent of such director, officer or agent, that the Indemnitee is usually the only witness with knowledge of the essential facts and exculpating circumstances regarding such matters, and that the long period of time that usually elapses before the trial or other disposition of such litigation often extends beyond the time that the director, officer or agent can reasonably recall such matters and may extend beyond the normal time for retirement for such director, officer or agent with the result that the Indemnitee, after retirement or in the event of the Indemnitee’s death, the Indemnitee’s spouse, heirs, executors or administrators, may be faced with limited ability and undue hardship in maintaining an adequate defense, that may discourage such a director, officer or agent from serving in that position.</w:t>
      </w:r>
    </w:p>
    <w:p>
      <w:pPr>
        <w:spacing w:after="0" w:line="46"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F. Based upon their experience as business managers, the Board of Directors of the Company (the “</w:t>
      </w:r>
      <w:r>
        <w:rPr>
          <w:rFonts w:ascii="Arial" w:cs="Arial" w:eastAsia="Arial" w:hAnsi="Arial"/>
          <w:sz w:val="13"/>
          <w:szCs w:val="13"/>
          <w:u w:val="single" w:color="auto"/>
          <w:color w:val="auto"/>
        </w:rPr>
        <w:t>Board</w:t>
      </w:r>
      <w:r>
        <w:rPr>
          <w:rFonts w:ascii="Arial" w:cs="Arial" w:eastAsia="Arial" w:hAnsi="Arial"/>
          <w:sz w:val="13"/>
          <w:szCs w:val="13"/>
          <w:color w:val="auto"/>
        </w:rPr>
        <w:t>”) has concluded that, to retain and attract talented and experienced individuals to serve as directors, officers and agents of the Company and its subsidiaries and to encourage such individuals to take the business risks necessary for the success of the Company and its subsidiaries, it is necessary for the Company to contractually indemnify its directors, officers and agents and the directors, officers and agents of its subsidiaries, and to assume 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330" w:name="page331"/>
    <w:bookmarkEnd w:id="330"/>
    <w:p>
      <w:pPr>
        <w:ind w:right="140"/>
        <w:spacing w:after="0" w:line="276" w:lineRule="auto"/>
        <w:rPr>
          <w:sz w:val="20"/>
          <w:szCs w:val="20"/>
          <w:color w:val="auto"/>
        </w:rPr>
      </w:pPr>
      <w:r>
        <w:rPr>
          <w:rFonts w:ascii="Arial" w:cs="Arial" w:eastAsia="Arial" w:hAnsi="Arial"/>
          <w:sz w:val="13"/>
          <w:szCs w:val="13"/>
          <w:color w:val="auto"/>
        </w:rPr>
        <w:t>itself maximum liability for expenses and damages in connection with claims against such directors, officers and agents in connection with their service to the Company and its subsidiaries, and has further concluded that the failure to provide such contractual indemnification could result in great harm to the Company and its subsidiaries and the Company’s stockholders.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G. Section 145 of the General Corporation Law of Delaware, under which the Company is organized (“</w:t>
      </w:r>
      <w:r>
        <w:rPr>
          <w:rFonts w:ascii="Arial" w:cs="Arial" w:eastAsia="Arial" w:hAnsi="Arial"/>
          <w:sz w:val="13"/>
          <w:szCs w:val="13"/>
          <w:u w:val="single" w:color="auto"/>
          <w:color w:val="auto"/>
        </w:rPr>
        <w:t>Section 145</w:t>
      </w:r>
      <w:r>
        <w:rPr>
          <w:rFonts w:ascii="Arial" w:cs="Arial" w:eastAsia="Arial" w:hAnsi="Arial"/>
          <w:sz w:val="13"/>
          <w:szCs w:val="13"/>
          <w:color w:val="auto"/>
        </w:rPr>
        <w:t>”), empowers the Company to indemnify its directors, officers, employees and agents by agreement and to indemnify persons who serve, at the request of the Company, as the directors, officers, employees or agents of other corporations or enterprises, and expressly provides that the indemnification provided by Section 145 is not exclusive.</w:t>
      </w:r>
    </w:p>
    <w:p>
      <w:pPr>
        <w:spacing w:after="0" w:line="57"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H. The Company desires and has requested the Indemnitee to serve or continue to serve as a director, officer or agent of the Company and/or one or more subsidiaries of the Company free from undue concern for claims for damages arising out of or related to such services to the Company and/or one or more subsidiaries of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 The Indemnitee is willing to serve, or to continue to serve, the Company and/or one or more subsidiaries of the Company, provided that the Indemnitee is furnished the indemnity provided for herein.</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hereto, intending to be legally bound, hereby agree as follows:</w:t>
      </w:r>
    </w:p>
    <w:p>
      <w:pPr>
        <w:spacing w:after="0" w:line="86" w:lineRule="exact"/>
        <w:rPr>
          <w:sz w:val="20"/>
          <w:szCs w:val="20"/>
          <w:color w:val="auto"/>
        </w:rPr>
      </w:pPr>
    </w:p>
    <w:p>
      <w:pPr>
        <w:ind w:left="300" w:hanging="138"/>
        <w:spacing w:after="0"/>
        <w:tabs>
          <w:tab w:leader="none" w:pos="300"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80" w:firstLine="326"/>
        <w:spacing w:after="0" w:line="289" w:lineRule="auto"/>
        <w:tabs>
          <w:tab w:leader="none" w:pos="506" w:val="left"/>
        </w:tabs>
        <w:numPr>
          <w:ilvl w:val="1"/>
          <w:numId w:val="271"/>
        </w:numPr>
        <w:rPr>
          <w:rFonts w:ascii="Arial" w:cs="Arial" w:eastAsia="Arial" w:hAnsi="Arial"/>
          <w:sz w:val="12"/>
          <w:szCs w:val="12"/>
          <w:color w:val="auto"/>
        </w:rPr>
      </w:pPr>
      <w:r>
        <w:rPr>
          <w:rFonts w:ascii="Arial" w:cs="Arial" w:eastAsia="Arial" w:hAnsi="Arial"/>
          <w:sz w:val="12"/>
          <w:szCs w:val="12"/>
          <w:u w:val="single" w:color="auto"/>
          <w:color w:val="auto"/>
        </w:rPr>
        <w:t>Agent</w:t>
      </w:r>
      <w:r>
        <w:rPr>
          <w:rFonts w:ascii="Arial" w:cs="Arial" w:eastAsia="Arial" w:hAnsi="Arial"/>
          <w:sz w:val="12"/>
          <w:szCs w:val="12"/>
          <w:color w:val="auto"/>
        </w:rPr>
        <w:t>. For the purposes of this Agreement, “agent” of the Company means any person who is or was a director, officer, employee or other agent of the Company or a subsidiary of the Company; or is or was serving at the request of, for the convenience of, or to represent the interests of the Company or a subsidiary of the Company as a director, officer, employee or agent of another foreign or domestic corporation, partnership, joint venture, trust or other enterprise; or was a director, officer, employee or agent of a foreign or domestic corporation that was a predecessor corporation of the Company or a subsidiary of the Company, or was a director, officer, employee or agent of another enterprise at the request of, for the convenience of, or to represent the interests of such predecessor corporation.</w:t>
      </w:r>
    </w:p>
    <w:p>
      <w:pPr>
        <w:spacing w:after="0" w:line="43" w:lineRule="exact"/>
        <w:rPr>
          <w:rFonts w:ascii="Arial" w:cs="Arial" w:eastAsia="Arial" w:hAnsi="Arial"/>
          <w:sz w:val="12"/>
          <w:szCs w:val="12"/>
          <w:color w:val="auto"/>
        </w:rPr>
      </w:pPr>
    </w:p>
    <w:p>
      <w:pPr>
        <w:jc w:val="both"/>
        <w:ind w:right="160" w:firstLine="326"/>
        <w:spacing w:after="0" w:line="296" w:lineRule="auto"/>
        <w:tabs>
          <w:tab w:leader="none" w:pos="513" w:val="left"/>
        </w:tabs>
        <w:numPr>
          <w:ilvl w:val="1"/>
          <w:numId w:val="271"/>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For purposes of this Agreement, “expenses” include all out-of-pocket costs of any type or nature whatsoever (including, without limitation, all attorneys’ fees and related disbursements), actually and reasonably incurred by the Indemnitee in connection with either the investigation, defense or appeal of a proceeding or establishing or enforcing a right to indemnification under this Agreement or Section 145 or otherwise; provided, however, that “expenses” shall not include any judgments, fines, ERISA excise taxes or penalties, or amounts paid in settlement of a proceeding.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31" w:name="page332"/>
    <w:bookmarkEnd w:id="331"/>
    <w:p>
      <w:pPr>
        <w:ind w:left="460" w:hanging="174"/>
        <w:spacing w:after="0"/>
        <w:tabs>
          <w:tab w:leader="none" w:pos="460" w:val="left"/>
        </w:tabs>
        <w:numPr>
          <w:ilvl w:val="1"/>
          <w:numId w:val="272"/>
        </w:numPr>
        <w:rPr>
          <w:rFonts w:ascii="Arial" w:cs="Arial" w:eastAsia="Arial" w:hAnsi="Arial"/>
          <w:sz w:val="12"/>
          <w:szCs w:val="12"/>
          <w:color w:val="auto"/>
        </w:rPr>
      </w:pPr>
      <w:r>
        <w:rPr>
          <w:rFonts w:ascii="Arial" w:cs="Arial" w:eastAsia="Arial" w:hAnsi="Arial"/>
          <w:sz w:val="12"/>
          <w:szCs w:val="12"/>
          <w:u w:val="single" w:color="auto"/>
          <w:color w:val="auto"/>
        </w:rPr>
        <w:t>Proceeding</w:t>
      </w:r>
      <w:r>
        <w:rPr>
          <w:rFonts w:ascii="Arial" w:cs="Arial" w:eastAsia="Arial" w:hAnsi="Arial"/>
          <w:sz w:val="12"/>
          <w:szCs w:val="12"/>
          <w:color w:val="auto"/>
        </w:rPr>
        <w:t>. For the purposes of this Agreement, “proceeding” means any threatened, pending, or completed action, suit or other proceeding, whether civil, criminal, administrative, or investigative.</w:t>
      </w:r>
    </w:p>
    <w:p>
      <w:pPr>
        <w:spacing w:after="0" w:line="97" w:lineRule="exact"/>
        <w:rPr>
          <w:rFonts w:ascii="Arial" w:cs="Arial" w:eastAsia="Arial" w:hAnsi="Arial"/>
          <w:sz w:val="12"/>
          <w:szCs w:val="12"/>
          <w:color w:val="auto"/>
        </w:rPr>
      </w:pPr>
    </w:p>
    <w:p>
      <w:pPr>
        <w:ind w:left="-40" w:right="60" w:firstLine="326"/>
        <w:spacing w:after="0" w:line="276" w:lineRule="auto"/>
        <w:tabs>
          <w:tab w:leader="none" w:pos="473" w:val="left"/>
        </w:tabs>
        <w:numPr>
          <w:ilvl w:val="1"/>
          <w:numId w:val="272"/>
        </w:numPr>
        <w:rPr>
          <w:rFonts w:ascii="Arial" w:cs="Arial" w:eastAsia="Arial" w:hAnsi="Arial"/>
          <w:sz w:val="13"/>
          <w:szCs w:val="13"/>
          <w:color w:val="auto"/>
        </w:rPr>
      </w:pPr>
      <w:r>
        <w:rPr>
          <w:rFonts w:ascii="Arial" w:cs="Arial" w:eastAsia="Arial" w:hAnsi="Arial"/>
          <w:sz w:val="13"/>
          <w:szCs w:val="13"/>
          <w:u w:val="single" w:color="auto"/>
          <w:color w:val="auto"/>
        </w:rPr>
        <w:t>Subsidiary</w:t>
      </w:r>
      <w:r>
        <w:rPr>
          <w:rFonts w:ascii="Arial" w:cs="Arial" w:eastAsia="Arial" w:hAnsi="Arial"/>
          <w:sz w:val="13"/>
          <w:szCs w:val="13"/>
          <w:color w:val="auto"/>
        </w:rPr>
        <w:t>. For purposes of this Agreement, “subsidiary” means any corporation of which more than 50% of the outstanding voting securities is owned directly or indirectly by the Company, by the Company and one or more other subsidiaries, or by one or more other subsidiaries.</w:t>
      </w:r>
    </w:p>
    <w:p>
      <w:pPr>
        <w:spacing w:after="0" w:line="49" w:lineRule="exact"/>
        <w:rPr>
          <w:rFonts w:ascii="Arial" w:cs="Arial" w:eastAsia="Arial" w:hAnsi="Arial"/>
          <w:sz w:val="13"/>
          <w:szCs w:val="13"/>
          <w:color w:val="auto"/>
        </w:rPr>
      </w:pPr>
    </w:p>
    <w:p>
      <w:pPr>
        <w:ind w:left="-40" w:firstLine="162"/>
        <w:spacing w:after="0" w:line="334" w:lineRule="auto"/>
        <w:tabs>
          <w:tab w:leader="none" w:pos="255" w:val="left"/>
        </w:tabs>
        <w:numPr>
          <w:ilvl w:val="0"/>
          <w:numId w:val="273"/>
        </w:numPr>
        <w:rPr>
          <w:rFonts w:ascii="Arial" w:cs="Arial" w:eastAsia="Arial" w:hAnsi="Arial"/>
          <w:sz w:val="11"/>
          <w:szCs w:val="11"/>
          <w:color w:val="auto"/>
        </w:rPr>
      </w:pPr>
      <w:r>
        <w:rPr>
          <w:rFonts w:ascii="Arial" w:cs="Arial" w:eastAsia="Arial" w:hAnsi="Arial"/>
          <w:sz w:val="11"/>
          <w:szCs w:val="11"/>
          <w:u w:val="single" w:color="auto"/>
          <w:color w:val="auto"/>
        </w:rPr>
        <w:t>Agreement to Serve</w:t>
      </w:r>
      <w:r>
        <w:rPr>
          <w:rFonts w:ascii="Arial" w:cs="Arial" w:eastAsia="Arial" w:hAnsi="Arial"/>
          <w:sz w:val="11"/>
          <w:szCs w:val="11"/>
          <w:color w:val="auto"/>
        </w:rPr>
        <w:t>. the Indemnitee agrees to serve and/or continue to serve as agent of the Company, at its will (or under separate agreement, if such agreement exists), in the capacity the Indemnitee currently serves as an agent of the Company, so long as the Indemnitee is duly appointed or elected and qualified in accordance with the applicable provisions of the Bylaws of the Company or any subsidiary of the Company or until such time as the Indemnitee tenders the Indemnitee’s resignation in writing; provided, however, that nothing contained in this Agreement is intended to create any right to continued employment by the Indemnitee.</w:t>
      </w:r>
    </w:p>
    <w:p>
      <w:pPr>
        <w:spacing w:after="0" w:line="22" w:lineRule="exact"/>
        <w:rPr>
          <w:rFonts w:ascii="Arial" w:cs="Arial" w:eastAsia="Arial" w:hAnsi="Arial"/>
          <w:sz w:val="11"/>
          <w:szCs w:val="11"/>
          <w:color w:val="auto"/>
        </w:rPr>
      </w:pPr>
    </w:p>
    <w:p>
      <w:pPr>
        <w:ind w:left="260" w:hanging="138"/>
        <w:spacing w:after="0"/>
        <w:tabs>
          <w:tab w:leader="none" w:pos="260"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322" w:lineRule="auto"/>
        <w:tabs>
          <w:tab w:leader="none" w:pos="466" w:val="left"/>
        </w:tabs>
        <w:numPr>
          <w:ilvl w:val="1"/>
          <w:numId w:val="273"/>
        </w:numPr>
        <w:rPr>
          <w:rFonts w:ascii="Arial" w:cs="Arial" w:eastAsia="Arial" w:hAnsi="Arial"/>
          <w:sz w:val="11"/>
          <w:szCs w:val="11"/>
          <w:color w:val="auto"/>
        </w:rPr>
      </w:pPr>
      <w:r>
        <w:rPr>
          <w:rFonts w:ascii="Arial" w:cs="Arial" w:eastAsia="Arial" w:hAnsi="Arial"/>
          <w:sz w:val="11"/>
          <w:szCs w:val="11"/>
          <w:u w:val="single" w:color="auto"/>
          <w:color w:val="auto"/>
        </w:rPr>
        <w:t>Maintenance of D&amp;O Insurance</w:t>
      </w:r>
      <w:r>
        <w:rPr>
          <w:rFonts w:ascii="Arial" w:cs="Arial" w:eastAsia="Arial" w:hAnsi="Arial"/>
          <w:sz w:val="11"/>
          <w:szCs w:val="11"/>
          <w:color w:val="auto"/>
        </w:rPr>
        <w:t>. The Company hereby covenants and agrees that, so long as the Indemnitee shall continue to serve as an agent of the Company and thereafter so long as the Indemnitee shall be subject to any possible Proceeding by reason of the fact that the Indemnitee was an agent of the Company, the Company, subject to Section 3(c), shall promptly obtain and maintain in full force and effect directors’ and officers’ liability insurance (“</w:t>
      </w:r>
      <w:r>
        <w:rPr>
          <w:rFonts w:ascii="Arial" w:cs="Arial" w:eastAsia="Arial" w:hAnsi="Arial"/>
          <w:sz w:val="11"/>
          <w:szCs w:val="11"/>
          <w:u w:val="single" w:color="auto"/>
          <w:color w:val="auto"/>
        </w:rPr>
        <w:t>D&amp;O Insurance</w:t>
      </w:r>
      <w:r>
        <w:rPr>
          <w:rFonts w:ascii="Arial" w:cs="Arial" w:eastAsia="Arial" w:hAnsi="Arial"/>
          <w:sz w:val="11"/>
          <w:szCs w:val="11"/>
          <w:color w:val="auto"/>
        </w:rPr>
        <w:t>”) in reasonable amounts from established and reputable insurers. In the event the Company is acquired, this provision shall be fulfilled by the purchase of a six year tail policy of D&amp;O Insurance. At Indemnitee’s request, Company shall arrange for an annual review of the D&amp;O Insurance by a party other than the procuring brokers, and share the results of that review with Indemnitee.</w:t>
      </w:r>
    </w:p>
    <w:p>
      <w:pPr>
        <w:spacing w:after="0" w:line="28" w:lineRule="exact"/>
        <w:rPr>
          <w:rFonts w:ascii="Arial" w:cs="Arial" w:eastAsia="Arial" w:hAnsi="Arial"/>
          <w:sz w:val="11"/>
          <w:szCs w:val="11"/>
          <w:color w:val="auto"/>
        </w:rPr>
      </w:pPr>
    </w:p>
    <w:p>
      <w:pPr>
        <w:ind w:left="-40" w:right="20" w:firstLine="326"/>
        <w:spacing w:after="0" w:line="264" w:lineRule="auto"/>
        <w:tabs>
          <w:tab w:leader="none" w:pos="473" w:val="left"/>
        </w:tabs>
        <w:numPr>
          <w:ilvl w:val="1"/>
          <w:numId w:val="273"/>
        </w:numPr>
        <w:rPr>
          <w:rFonts w:ascii="Arial" w:cs="Arial" w:eastAsia="Arial" w:hAnsi="Arial"/>
          <w:sz w:val="13"/>
          <w:szCs w:val="13"/>
          <w:color w:val="auto"/>
        </w:rPr>
      </w:pPr>
      <w:r>
        <w:rPr>
          <w:rFonts w:ascii="Arial" w:cs="Arial" w:eastAsia="Arial" w:hAnsi="Arial"/>
          <w:sz w:val="13"/>
          <w:szCs w:val="13"/>
          <w:u w:val="single" w:color="auto"/>
          <w:color w:val="auto"/>
        </w:rPr>
        <w:t>Rights and Benefits</w:t>
      </w:r>
      <w:r>
        <w:rPr>
          <w:rFonts w:ascii="Arial" w:cs="Arial" w:eastAsia="Arial" w:hAnsi="Arial"/>
          <w:sz w:val="13"/>
          <w:szCs w:val="13"/>
          <w:color w:val="auto"/>
        </w:rPr>
        <w:t>. In all policies of D&amp;O Insurance, the Indemnitee shall be named as an insured in such a manner as to provide the Indemnitee the same rights and benefits as are accorded to the most favorably insured of the Company’s directors, if the Indemnitee is a director; or of the Company’s officers, if the Indemnitee is not a director of the Company, but is an officer; or of the Company’s key employees, if the Indemnitee is not a director or officer, but is a key employee.</w:t>
      </w:r>
    </w:p>
    <w:p>
      <w:pPr>
        <w:spacing w:after="0" w:line="57" w:lineRule="exact"/>
        <w:rPr>
          <w:rFonts w:ascii="Arial" w:cs="Arial" w:eastAsia="Arial" w:hAnsi="Arial"/>
          <w:sz w:val="13"/>
          <w:szCs w:val="13"/>
          <w:color w:val="auto"/>
        </w:rPr>
      </w:pPr>
    </w:p>
    <w:p>
      <w:pPr>
        <w:ind w:left="-40" w:right="260" w:firstLine="326"/>
        <w:spacing w:after="0" w:line="296" w:lineRule="auto"/>
        <w:tabs>
          <w:tab w:leader="none" w:pos="466" w:val="left"/>
        </w:tabs>
        <w:numPr>
          <w:ilvl w:val="1"/>
          <w:numId w:val="273"/>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xml:space="preserve"> The Company shall give prompt notice as required under the D&amp;O Insurance of such claims as may be covered under such policies and which may be trigger the indemnification or advancement obligations in this Agreement. On request, the Company shall provide to Indemnitee a copy of such notice delivered to the applicable insurers, and on request from Indemnitee shall provide copies of all subsequent correspondence between the Company and such insurers regarding the claim, in each case substantially concurrently with the delivery or receipt thereof by the Company.</w:t>
      </w:r>
    </w:p>
    <w:p>
      <w:pPr>
        <w:spacing w:after="0" w:line="39" w:lineRule="exact"/>
        <w:rPr>
          <w:rFonts w:ascii="Arial" w:cs="Arial" w:eastAsia="Arial" w:hAnsi="Arial"/>
          <w:sz w:val="12"/>
          <w:szCs w:val="12"/>
          <w:color w:val="auto"/>
        </w:rPr>
      </w:pPr>
    </w:p>
    <w:p>
      <w:pPr>
        <w:ind w:left="480" w:hanging="194"/>
        <w:spacing w:after="0"/>
        <w:tabs>
          <w:tab w:leader="none" w:pos="480" w:val="left"/>
        </w:tabs>
        <w:numPr>
          <w:ilvl w:val="1"/>
          <w:numId w:val="273"/>
        </w:numPr>
        <w:rPr>
          <w:rFonts w:ascii="Arial" w:cs="Arial" w:eastAsia="Arial" w:hAnsi="Arial"/>
          <w:sz w:val="13"/>
          <w:szCs w:val="13"/>
          <w:color w:val="auto"/>
        </w:rPr>
      </w:pPr>
      <w:r>
        <w:rPr>
          <w:rFonts w:ascii="Arial" w:cs="Arial" w:eastAsia="Arial" w:hAnsi="Arial"/>
          <w:sz w:val="13"/>
          <w:szCs w:val="13"/>
          <w:u w:val="single" w:color="auto"/>
          <w:color w:val="auto"/>
        </w:rPr>
        <w:t>Limitation on Required Maintenance of D&amp;O Insurance</w:t>
      </w:r>
      <w:r>
        <w:rPr>
          <w:rFonts w:ascii="Arial" w:cs="Arial" w:eastAsia="Arial" w:hAnsi="Arial"/>
          <w:sz w:val="13"/>
          <w:szCs w:val="13"/>
          <w:color w:val="auto"/>
        </w:rPr>
        <w:t>. Notwithstanding the foregoing, the Company shall have no obligation to obtain or maintain D&amp;O Insurance if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332" w:name="page333"/>
    <w:bookmarkEnd w:id="332"/>
    <w:p>
      <w:pPr>
        <w:ind w:right="520"/>
        <w:spacing w:after="0" w:line="320" w:lineRule="auto"/>
        <w:rPr>
          <w:sz w:val="20"/>
          <w:szCs w:val="20"/>
          <w:color w:val="auto"/>
        </w:rPr>
      </w:pPr>
      <w:r>
        <w:rPr>
          <w:rFonts w:ascii="Arial" w:cs="Arial" w:eastAsia="Arial" w:hAnsi="Arial"/>
          <w:sz w:val="12"/>
          <w:szCs w:val="12"/>
          <w:color w:val="auto"/>
        </w:rPr>
        <w:t>Company determines in good faith that such insurance is not reasonably available, the premium costs for such insurance are disproportionate to the amount of coverage provided, the coverage provided by such insurance is limited by exclusions so as to provide an insufficient benefit, or the Indemnitee is covered by similar insurance maintained by a subsidiary of the Company.</w:t>
      </w:r>
    </w:p>
    <w:p>
      <w:pPr>
        <w:spacing w:after="0" w:line="25" w:lineRule="exact"/>
        <w:rPr>
          <w:sz w:val="20"/>
          <w:szCs w:val="20"/>
          <w:color w:val="auto"/>
        </w:rPr>
      </w:pPr>
    </w:p>
    <w:p>
      <w:pPr>
        <w:ind w:left="300" w:hanging="138"/>
        <w:spacing w:after="0"/>
        <w:tabs>
          <w:tab w:leader="none" w:pos="300" w:val="left"/>
        </w:tabs>
        <w:numPr>
          <w:ilvl w:val="0"/>
          <w:numId w:val="274"/>
        </w:numPr>
        <w:rPr>
          <w:rFonts w:ascii="Arial" w:cs="Arial" w:eastAsia="Arial" w:hAnsi="Arial"/>
          <w:sz w:val="13"/>
          <w:szCs w:val="13"/>
          <w:color w:val="auto"/>
        </w:rPr>
      </w:pPr>
      <w:r>
        <w:rPr>
          <w:rFonts w:ascii="Arial" w:cs="Arial" w:eastAsia="Arial" w:hAnsi="Arial"/>
          <w:sz w:val="13"/>
          <w:szCs w:val="13"/>
          <w:u w:val="single" w:color="auto"/>
          <w:color w:val="auto"/>
        </w:rPr>
        <w:t>Mandatory Indemnification</w:t>
      </w:r>
      <w:r>
        <w:rPr>
          <w:rFonts w:ascii="Arial" w:cs="Arial" w:eastAsia="Arial" w:hAnsi="Arial"/>
          <w:sz w:val="13"/>
          <w:szCs w:val="13"/>
          <w:color w:val="auto"/>
        </w:rPr>
        <w:t>. Subject to Section 9 below, the Company shall indemnify the Indemnitee as follows:</w:t>
      </w:r>
    </w:p>
    <w:p>
      <w:pPr>
        <w:spacing w:after="0" w:line="86" w:lineRule="exact"/>
        <w:rPr>
          <w:rFonts w:ascii="Arial" w:cs="Arial" w:eastAsia="Arial" w:hAnsi="Arial"/>
          <w:sz w:val="13"/>
          <w:szCs w:val="13"/>
          <w:color w:val="auto"/>
        </w:rPr>
      </w:pPr>
    </w:p>
    <w:p>
      <w:pPr>
        <w:ind w:right="120" w:firstLine="326"/>
        <w:spacing w:after="0" w:line="285" w:lineRule="auto"/>
        <w:tabs>
          <w:tab w:leader="none" w:pos="506" w:val="left"/>
        </w:tabs>
        <w:numPr>
          <w:ilvl w:val="1"/>
          <w:numId w:val="274"/>
        </w:numPr>
        <w:rPr>
          <w:rFonts w:ascii="Arial" w:cs="Arial" w:eastAsia="Arial" w:hAnsi="Arial"/>
          <w:sz w:val="12"/>
          <w:szCs w:val="12"/>
          <w:color w:val="auto"/>
        </w:rPr>
      </w:pPr>
      <w:r>
        <w:rPr>
          <w:rFonts w:ascii="Arial" w:cs="Arial" w:eastAsia="Arial" w:hAnsi="Arial"/>
          <w:sz w:val="12"/>
          <w:szCs w:val="12"/>
          <w:u w:val="single" w:color="auto"/>
          <w:color w:val="auto"/>
        </w:rPr>
        <w:t>Third Party Actions</w:t>
      </w:r>
      <w:r>
        <w:rPr>
          <w:rFonts w:ascii="Arial" w:cs="Arial" w:eastAsia="Arial" w:hAnsi="Arial"/>
          <w:sz w:val="12"/>
          <w:szCs w:val="12"/>
          <w:color w:val="auto"/>
        </w:rPr>
        <w:t>. If the Indemnitee is a person who was or is a party or is threatened to be made a party to any proceeding (other than an action by or in the right of the Company) by reason of the fact that the Indemnitee is or was an agent of the Company, or by reason of anything done or not done by the Indemnitee in any such capacity, the Company shall indemnify the Indemnitee against any and all expenses and liabilities of any type whatsoever (including, but not limited to, judgments, fines, ERISA excise taxes and penalties, and amounts paid in settlement) actually and reasonably incurred by the Indemnitee in connection with the investigation, defense, settlement or appeal of such proceeding, provided the Indemnitee acted in good faith and in a manner the Indemnitee reasonably believed to be in or not opposed to the best interests of the Company and its stockholders, and, with respect to any criminal action or proceeding, had no reasonable cause to believe the Indemnitee’s conduct was unlawful.</w:t>
      </w:r>
    </w:p>
    <w:p>
      <w:pPr>
        <w:spacing w:after="0" w:line="45" w:lineRule="exact"/>
        <w:rPr>
          <w:rFonts w:ascii="Arial" w:cs="Arial" w:eastAsia="Arial" w:hAnsi="Arial"/>
          <w:sz w:val="12"/>
          <w:szCs w:val="12"/>
          <w:color w:val="auto"/>
        </w:rPr>
      </w:pPr>
    </w:p>
    <w:p>
      <w:pPr>
        <w:ind w:firstLine="326"/>
        <w:spacing w:after="0" w:line="282" w:lineRule="auto"/>
        <w:tabs>
          <w:tab w:leader="none" w:pos="513" w:val="left"/>
        </w:tabs>
        <w:numPr>
          <w:ilvl w:val="1"/>
          <w:numId w:val="274"/>
        </w:numPr>
        <w:rPr>
          <w:rFonts w:ascii="Arial" w:cs="Arial" w:eastAsia="Arial" w:hAnsi="Arial"/>
          <w:sz w:val="12"/>
          <w:szCs w:val="12"/>
          <w:color w:val="auto"/>
        </w:rPr>
      </w:pPr>
      <w:r>
        <w:rPr>
          <w:rFonts w:ascii="Arial" w:cs="Arial" w:eastAsia="Arial" w:hAnsi="Arial"/>
          <w:sz w:val="12"/>
          <w:szCs w:val="12"/>
          <w:u w:val="single" w:color="auto"/>
          <w:color w:val="auto"/>
        </w:rPr>
        <w:t>Derivative Actions</w:t>
      </w:r>
      <w:r>
        <w:rPr>
          <w:rFonts w:ascii="Arial" w:cs="Arial" w:eastAsia="Arial" w:hAnsi="Arial"/>
          <w:sz w:val="12"/>
          <w:szCs w:val="12"/>
          <w:color w:val="auto"/>
        </w:rPr>
        <w:t>. If the Indemnitee is a person who was or is a party or is threatened to be made a party to any proceeding by or in the right of the Company by reason of the fact that the Indemnitee is or was an agent of the Company, or by reason of anything done or not done by the Indemnitee in any such capacity, the Company shall indemnify the Indemnitee against all expenses actually and reasonably incurred by the Indemnitee in connection with the investigation, defense, settlement, or appeal of such proceeding, provided the Indemnitee acted in good faith and in a manner the Indemnitee reasonably believed to be in or not opposed to the best interests of the Company and its stockholders; except that no indemnification under this subsection 4(b) shall be made in respect to any claim, issue or matter as to which such person shall have been finally adjudged to be liable to the Company by a court of competent jurisdiction unless and only to the extent that the court in which such proceeding was brought shall determine upon application that, despite the adjudication of liability but in view of all the circumstances of the case, such person is fairly and reasonably entitled to indemnity for such amounts that the court shall deem proper.</w:t>
      </w:r>
    </w:p>
    <w:p>
      <w:pPr>
        <w:spacing w:after="0" w:line="49" w:lineRule="exact"/>
        <w:rPr>
          <w:rFonts w:ascii="Arial" w:cs="Arial" w:eastAsia="Arial" w:hAnsi="Arial"/>
          <w:sz w:val="12"/>
          <w:szCs w:val="12"/>
          <w:color w:val="auto"/>
        </w:rPr>
      </w:pPr>
    </w:p>
    <w:p>
      <w:pPr>
        <w:ind w:right="20" w:firstLine="326"/>
        <w:spacing w:after="0" w:line="258" w:lineRule="auto"/>
        <w:tabs>
          <w:tab w:leader="none" w:pos="506" w:val="left"/>
        </w:tabs>
        <w:numPr>
          <w:ilvl w:val="1"/>
          <w:numId w:val="274"/>
        </w:numPr>
        <w:rPr>
          <w:rFonts w:ascii="Arial" w:cs="Arial" w:eastAsia="Arial" w:hAnsi="Arial"/>
          <w:sz w:val="13"/>
          <w:szCs w:val="13"/>
          <w:color w:val="auto"/>
        </w:rPr>
      </w:pPr>
      <w:r>
        <w:rPr>
          <w:rFonts w:ascii="Arial" w:cs="Arial" w:eastAsia="Arial" w:hAnsi="Arial"/>
          <w:sz w:val="13"/>
          <w:szCs w:val="13"/>
          <w:u w:val="single" w:color="auto"/>
          <w:color w:val="auto"/>
        </w:rPr>
        <w:t>Actions where the Indemnitee is Deceased</w:t>
      </w:r>
      <w:r>
        <w:rPr>
          <w:rFonts w:ascii="Arial" w:cs="Arial" w:eastAsia="Arial" w:hAnsi="Arial"/>
          <w:sz w:val="13"/>
          <w:szCs w:val="13"/>
          <w:color w:val="auto"/>
        </w:rPr>
        <w:t>. If the Indemnitee is a person who was or is a party or is threatened to be made a party to any proceeding by reason of the fact that the Indemnitee is or was an agent of the Company, or by reason of anything done or not done by the Indemnitee in any such capacity, and if prior to, during the pendency of after completion of such proceeding the Indemnitee becomes deceased, the Company shall indemnify the Indemnitee’s heirs, executors and administrators against any and all expenses and liabilities of any type whatsoever (including, but not limited to, judgments, fines, ERISA excise taxes and penalties, and amounts paid in settlement) actually and reasonably incurred to the extent the Indemnitee would have been entitled to indemnification pursuant to Sections 4(a) or 4(b) above were the Indemnitee still alive.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3" w:name="page334"/>
    <w:bookmarkEnd w:id="333"/>
    <w:p>
      <w:pPr>
        <w:ind w:left="-80" w:right="60" w:firstLine="326"/>
        <w:spacing w:after="0" w:line="264" w:lineRule="auto"/>
        <w:tabs>
          <w:tab w:leader="none" w:pos="433" w:val="left"/>
        </w:tabs>
        <w:numPr>
          <w:ilvl w:val="1"/>
          <w:numId w:val="275"/>
        </w:numPr>
        <w:rPr>
          <w:rFonts w:ascii="Arial" w:cs="Arial" w:eastAsia="Arial" w:hAnsi="Arial"/>
          <w:sz w:val="13"/>
          <w:szCs w:val="13"/>
          <w:color w:val="auto"/>
        </w:rPr>
      </w:pPr>
      <w:r>
        <w:rPr>
          <w:rFonts w:ascii="Arial" w:cs="Arial" w:eastAsia="Arial" w:hAnsi="Arial"/>
          <w:sz w:val="13"/>
          <w:szCs w:val="13"/>
          <w:u w:val="single" w:color="auto"/>
          <w:color w:val="auto"/>
        </w:rPr>
        <w:t>Limitations</w:t>
      </w:r>
      <w:r>
        <w:rPr>
          <w:rFonts w:ascii="Arial" w:cs="Arial" w:eastAsia="Arial" w:hAnsi="Arial"/>
          <w:sz w:val="13"/>
          <w:szCs w:val="13"/>
          <w:color w:val="auto"/>
        </w:rPr>
        <w:t>. Notwithstanding the foregoing, the Company shall not be obligated to indemnify the Indemnitee for expenses or liabilities of any type whatsoever (including, but not limited to, judgments, fines, ERISA excise taxes and penalties, and amounts paid in settlement) for which payment is actually made to or on behalf of the Indemnitee under a valid and collectible insurance policy of D&amp;O Insurance, or under a valid and enforceable indemnity clause, bylaw or agreement.</w:t>
      </w:r>
    </w:p>
    <w:p>
      <w:pPr>
        <w:spacing w:after="0" w:line="57" w:lineRule="exact"/>
        <w:rPr>
          <w:rFonts w:ascii="Arial" w:cs="Arial" w:eastAsia="Arial" w:hAnsi="Arial"/>
          <w:sz w:val="13"/>
          <w:szCs w:val="13"/>
          <w:color w:val="auto"/>
        </w:rPr>
      </w:pPr>
    </w:p>
    <w:p>
      <w:pPr>
        <w:ind w:left="-80" w:firstLine="326"/>
        <w:spacing w:after="0" w:line="276" w:lineRule="auto"/>
        <w:tabs>
          <w:tab w:leader="none" w:pos="426" w:val="left"/>
        </w:tabs>
        <w:numPr>
          <w:ilvl w:val="1"/>
          <w:numId w:val="275"/>
        </w:numPr>
        <w:rPr>
          <w:rFonts w:ascii="Arial" w:cs="Arial" w:eastAsia="Arial" w:hAnsi="Arial"/>
          <w:sz w:val="13"/>
          <w:szCs w:val="13"/>
          <w:color w:val="auto"/>
        </w:rPr>
      </w:pPr>
      <w:r>
        <w:rPr>
          <w:rFonts w:ascii="Arial" w:cs="Arial" w:eastAsia="Arial" w:hAnsi="Arial"/>
          <w:sz w:val="13"/>
          <w:szCs w:val="13"/>
          <w:u w:val="single" w:color="auto"/>
          <w:color w:val="auto"/>
        </w:rPr>
        <w:t>Witness.</w:t>
      </w:r>
      <w:r>
        <w:rPr>
          <w:rFonts w:ascii="Arial" w:cs="Arial" w:eastAsia="Arial" w:hAnsi="Arial"/>
          <w:sz w:val="13"/>
          <w:szCs w:val="13"/>
          <w:color w:val="auto"/>
        </w:rPr>
        <w:t xml:space="preserve"> If Indemnitee is subpoenaed to appear as a witness or produce documents, he shall be considered a “party” to that proceeding under the advancement and indemnification provisions herein, subject to all other restrictions and requirements.</w:t>
      </w:r>
    </w:p>
    <w:p>
      <w:pPr>
        <w:spacing w:after="0" w:line="49" w:lineRule="exact"/>
        <w:rPr>
          <w:rFonts w:ascii="Arial" w:cs="Arial" w:eastAsia="Arial" w:hAnsi="Arial"/>
          <w:sz w:val="13"/>
          <w:szCs w:val="13"/>
          <w:color w:val="auto"/>
        </w:rPr>
      </w:pPr>
    </w:p>
    <w:p>
      <w:pPr>
        <w:ind w:left="-80" w:right="80" w:firstLine="326"/>
        <w:spacing w:after="0" w:line="276" w:lineRule="auto"/>
        <w:tabs>
          <w:tab w:leader="none" w:pos="411" w:val="left"/>
        </w:tabs>
        <w:numPr>
          <w:ilvl w:val="1"/>
          <w:numId w:val="275"/>
        </w:numPr>
        <w:rPr>
          <w:rFonts w:ascii="Arial" w:cs="Arial" w:eastAsia="Arial" w:hAnsi="Arial"/>
          <w:sz w:val="13"/>
          <w:szCs w:val="13"/>
          <w:color w:val="auto"/>
        </w:rPr>
      </w:pPr>
      <w:r>
        <w:rPr>
          <w:rFonts w:ascii="Arial" w:cs="Arial" w:eastAsia="Arial" w:hAnsi="Arial"/>
          <w:sz w:val="13"/>
          <w:szCs w:val="13"/>
          <w:u w:val="single" w:color="auto"/>
          <w:color w:val="auto"/>
        </w:rPr>
        <w:t>Taxes.</w:t>
      </w:r>
      <w:r>
        <w:rPr>
          <w:rFonts w:ascii="Arial" w:cs="Arial" w:eastAsia="Arial" w:hAnsi="Arial"/>
          <w:sz w:val="13"/>
          <w:szCs w:val="13"/>
          <w:color w:val="auto"/>
        </w:rPr>
        <w:t xml:space="preserve"> To the extent allowed by law, if any advancement or indemnification is subject to taxes to be paid by Indemnitee, then Company agrees to advance or indemnify such tax payments to Indemnitee as an “expense.” Indemnitee will take all reasonable measures to minimize or eliminate such tax liability.</w:t>
      </w:r>
    </w:p>
    <w:p>
      <w:pPr>
        <w:spacing w:after="0" w:line="49" w:lineRule="exact"/>
        <w:rPr>
          <w:rFonts w:ascii="Arial" w:cs="Arial" w:eastAsia="Arial" w:hAnsi="Arial"/>
          <w:sz w:val="13"/>
          <w:szCs w:val="13"/>
          <w:color w:val="auto"/>
        </w:rPr>
      </w:pPr>
    </w:p>
    <w:p>
      <w:pPr>
        <w:ind w:left="-80" w:right="580" w:firstLine="326"/>
        <w:spacing w:after="0" w:line="276" w:lineRule="auto"/>
        <w:tabs>
          <w:tab w:leader="none" w:pos="433" w:val="left"/>
        </w:tabs>
        <w:numPr>
          <w:ilvl w:val="1"/>
          <w:numId w:val="275"/>
        </w:numPr>
        <w:rPr>
          <w:rFonts w:ascii="Arial" w:cs="Arial" w:eastAsia="Arial" w:hAnsi="Arial"/>
          <w:sz w:val="13"/>
          <w:szCs w:val="13"/>
          <w:color w:val="auto"/>
        </w:rPr>
      </w:pPr>
      <w:r>
        <w:rPr>
          <w:rFonts w:ascii="Arial" w:cs="Arial" w:eastAsia="Arial" w:hAnsi="Arial"/>
          <w:sz w:val="13"/>
          <w:szCs w:val="13"/>
          <w:u w:val="single" w:color="auto"/>
          <w:color w:val="auto"/>
        </w:rPr>
        <w:t>Investigations.</w:t>
      </w:r>
      <w:r>
        <w:rPr>
          <w:rFonts w:ascii="Arial" w:cs="Arial" w:eastAsia="Arial" w:hAnsi="Arial"/>
          <w:sz w:val="13"/>
          <w:szCs w:val="13"/>
          <w:color w:val="auto"/>
        </w:rPr>
        <w:t xml:space="preserve"> Both formal and so-called informal investigations shall be considered “Proceedings” under the advancement and indemnification language herein, subject to all other restrictions and requirements.</w:t>
      </w:r>
    </w:p>
    <w:p>
      <w:pPr>
        <w:spacing w:after="0" w:line="49" w:lineRule="exact"/>
        <w:rPr>
          <w:rFonts w:ascii="Arial" w:cs="Arial" w:eastAsia="Arial" w:hAnsi="Arial"/>
          <w:sz w:val="13"/>
          <w:szCs w:val="13"/>
          <w:color w:val="auto"/>
        </w:rPr>
      </w:pPr>
    </w:p>
    <w:p>
      <w:pPr>
        <w:ind w:left="-80" w:right="40" w:firstLine="162"/>
        <w:spacing w:after="0" w:line="260" w:lineRule="auto"/>
        <w:tabs>
          <w:tab w:leader="none" w:pos="215" w:val="left"/>
        </w:tabs>
        <w:numPr>
          <w:ilvl w:val="0"/>
          <w:numId w:val="276"/>
        </w:numPr>
        <w:rPr>
          <w:rFonts w:ascii="Arial" w:cs="Arial" w:eastAsia="Arial" w:hAnsi="Arial"/>
          <w:sz w:val="13"/>
          <w:szCs w:val="13"/>
          <w:color w:val="auto"/>
        </w:rPr>
      </w:pPr>
      <w:r>
        <w:rPr>
          <w:rFonts w:ascii="Arial" w:cs="Arial" w:eastAsia="Arial" w:hAnsi="Arial"/>
          <w:sz w:val="13"/>
          <w:szCs w:val="13"/>
          <w:u w:val="single" w:color="auto"/>
          <w:color w:val="auto"/>
        </w:rPr>
        <w:t>Partial Indemnification</w:t>
      </w:r>
      <w:r>
        <w:rPr>
          <w:rFonts w:ascii="Arial" w:cs="Arial" w:eastAsia="Arial" w:hAnsi="Arial"/>
          <w:sz w:val="13"/>
          <w:szCs w:val="13"/>
          <w:color w:val="auto"/>
        </w:rPr>
        <w:t>. If the Indemnitee is entitled under any provision of this Agreement to indemnification by the Company for some or a portion of any expenses or liabilities of any type whatsoever (including, but not limited to, judgments, fines, ERISA excise taxes and penalties, and amounts paid in settlement) incurred by the Indemnitee in the investigation, defense, settlement or appeal of a proceeding, but not entitled, however, to indemnification for all of the total amount hereof, the Company shall nevertheless indemnify the Indemnitee for such total amount except as to the portion hereof to which the Indemnitee is not entitled.</w:t>
      </w:r>
    </w:p>
    <w:p>
      <w:pPr>
        <w:spacing w:after="0" w:line="59" w:lineRule="exact"/>
        <w:rPr>
          <w:rFonts w:ascii="Arial" w:cs="Arial" w:eastAsia="Arial" w:hAnsi="Arial"/>
          <w:sz w:val="13"/>
          <w:szCs w:val="13"/>
          <w:color w:val="auto"/>
        </w:rPr>
      </w:pPr>
    </w:p>
    <w:p>
      <w:pPr>
        <w:ind w:left="-80" w:firstLine="162"/>
        <w:spacing w:after="0" w:line="280" w:lineRule="auto"/>
        <w:tabs>
          <w:tab w:leader="none" w:pos="215"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Mandatory Advancement of Expenses</w:t>
      </w:r>
      <w:r>
        <w:rPr>
          <w:rFonts w:ascii="Arial" w:cs="Arial" w:eastAsia="Arial" w:hAnsi="Arial"/>
          <w:sz w:val="12"/>
          <w:szCs w:val="12"/>
          <w:color w:val="auto"/>
        </w:rPr>
        <w:t>. Subject to Section 9(a) below, the Company shall advance all expenses incurred by the Indemnitee in connection with the investigation, defense, settlement or appeal of any proceeding to which the Indemnitee is a party or is threatened to be made a party by reason of the fact that the Indemnitee is or was an agent of the Company. The Indemnitee hereby undertakes to repay such amounts advanced only if, and to the extent that, it shall be determined ultimately by final disposition that the Indemnitee is not entitled to be indemnified by the Company as authorized hereby. Such undertaking shall not be secured and, to the extent allowed by law, shall not be subject to interest. The advances to be made hereunder shall be paid by the Company to the Indemnitee within twenty (20) days following delivery of a written request therefor by the Indemnitee to the Company, accompanied by invoices received by Indemnitee in connection with such Expenses (but, in the case of invoices in connection with legal services, any references to specific legal work performed or to expenditures made that would cause Indemnitee to waive any privilege accorded by applicable law shall not be included with the invoice). In the event that the Company fails to pay expenses as incurred by the Indemnitee as required by this paragraph, the Indemnitee may seek mandatory injunctive relief from any court having jurisdiction to require the Company to pay expenses as set forth in this paragraph. If the Indemnitee seeks mandatory injunctive relief or specific performance pursuant to this paragraph, it shall not be a defense to enforcement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107315</wp:posOffset>
            </wp:positionV>
            <wp:extent cx="7290435"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00" w:top="720" w:right="279" w:bottom="1440" w:gutter="0" w:footer="0" w:header="0"/>
        </w:sectPr>
      </w:pPr>
    </w:p>
    <w:bookmarkStart w:id="334" w:name="page335"/>
    <w:bookmarkEnd w:id="334"/>
    <w:p>
      <w:pPr>
        <w:ind w:left="1" w:right="140"/>
        <w:spacing w:after="0" w:line="276" w:lineRule="auto"/>
        <w:rPr>
          <w:sz w:val="20"/>
          <w:szCs w:val="20"/>
          <w:color w:val="auto"/>
        </w:rPr>
      </w:pPr>
      <w:r>
        <w:rPr>
          <w:rFonts w:ascii="Arial" w:cs="Arial" w:eastAsia="Arial" w:hAnsi="Arial"/>
          <w:sz w:val="13"/>
          <w:szCs w:val="13"/>
          <w:color w:val="auto"/>
        </w:rPr>
        <w:t>Company’s obligations set forth in this paragraph that the Indemnitee has an adequate remedy at law for damages or will not suffer irreparable harm, nor shall Indemnitee be required to post a bond in connection with seeking or obtaining such relief.</w:t>
      </w:r>
    </w:p>
    <w:p>
      <w:pPr>
        <w:spacing w:after="0" w:line="49" w:lineRule="exact"/>
        <w:rPr>
          <w:sz w:val="20"/>
          <w:szCs w:val="20"/>
          <w:color w:val="auto"/>
        </w:rPr>
      </w:pPr>
    </w:p>
    <w:p>
      <w:pPr>
        <w:ind w:left="301" w:hanging="138"/>
        <w:spacing w:after="0"/>
        <w:tabs>
          <w:tab w:leader="none" w:pos="301" w:val="left"/>
        </w:tabs>
        <w:numPr>
          <w:ilvl w:val="1"/>
          <w:numId w:val="277"/>
        </w:numPr>
        <w:rPr>
          <w:rFonts w:ascii="Arial" w:cs="Arial" w:eastAsia="Arial" w:hAnsi="Arial"/>
          <w:sz w:val="13"/>
          <w:szCs w:val="13"/>
          <w:color w:val="auto"/>
        </w:rPr>
      </w:pPr>
      <w:r>
        <w:rPr>
          <w:rFonts w:ascii="Arial" w:cs="Arial" w:eastAsia="Arial" w:hAnsi="Arial"/>
          <w:sz w:val="13"/>
          <w:szCs w:val="13"/>
          <w:u w:val="single" w:color="auto"/>
          <w:color w:val="auto"/>
        </w:rPr>
        <w:t>Notice and Other Indemnification Procedures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180" w:firstLine="326"/>
        <w:spacing w:after="0" w:line="320" w:lineRule="auto"/>
        <w:tabs>
          <w:tab w:leader="none" w:pos="507" w:val="left"/>
        </w:tabs>
        <w:numPr>
          <w:ilvl w:val="2"/>
          <w:numId w:val="277"/>
        </w:numPr>
        <w:rPr>
          <w:rFonts w:ascii="Arial" w:cs="Arial" w:eastAsia="Arial" w:hAnsi="Arial"/>
          <w:sz w:val="12"/>
          <w:szCs w:val="12"/>
          <w:color w:val="auto"/>
        </w:rPr>
      </w:pPr>
      <w:r>
        <w:rPr>
          <w:rFonts w:ascii="Arial" w:cs="Arial" w:eastAsia="Arial" w:hAnsi="Arial"/>
          <w:sz w:val="12"/>
          <w:szCs w:val="12"/>
          <w:u w:val="single" w:color="auto"/>
          <w:color w:val="auto"/>
        </w:rPr>
        <w:t>Notice by the Indemnitee</w:t>
      </w:r>
      <w:r>
        <w:rPr>
          <w:rFonts w:ascii="Arial" w:cs="Arial" w:eastAsia="Arial" w:hAnsi="Arial"/>
          <w:sz w:val="12"/>
          <w:szCs w:val="12"/>
          <w:color w:val="auto"/>
        </w:rPr>
        <w:t>. Promptly after receipt by the Indemnitee of notice of the commencement of or the threat of commencement of any proceeding, the Indemnitee shall, if the Indemnitee believes that indemnification with respect thereto may be sought from the Company under this Agreement, notify the Company of the commencement or threat of commencement thereof.</w:t>
      </w:r>
    </w:p>
    <w:p>
      <w:pPr>
        <w:spacing w:after="0" w:line="25" w:lineRule="exact"/>
        <w:rPr>
          <w:rFonts w:ascii="Arial" w:cs="Arial" w:eastAsia="Arial" w:hAnsi="Arial"/>
          <w:sz w:val="12"/>
          <w:szCs w:val="12"/>
          <w:color w:val="auto"/>
        </w:rPr>
      </w:pPr>
    </w:p>
    <w:p>
      <w:pPr>
        <w:ind w:left="1" w:right="100" w:firstLine="326"/>
        <w:spacing w:after="0" w:line="264" w:lineRule="auto"/>
        <w:tabs>
          <w:tab w:leader="none" w:pos="514" w:val="left"/>
        </w:tabs>
        <w:numPr>
          <w:ilvl w:val="2"/>
          <w:numId w:val="277"/>
        </w:numPr>
        <w:rPr>
          <w:rFonts w:ascii="Arial" w:cs="Arial" w:eastAsia="Arial" w:hAnsi="Arial"/>
          <w:sz w:val="13"/>
          <w:szCs w:val="13"/>
          <w:color w:val="auto"/>
        </w:rPr>
      </w:pPr>
      <w:r>
        <w:rPr>
          <w:rFonts w:ascii="Arial" w:cs="Arial" w:eastAsia="Arial" w:hAnsi="Arial"/>
          <w:sz w:val="13"/>
          <w:szCs w:val="13"/>
          <w:u w:val="single" w:color="auto"/>
          <w:color w:val="auto"/>
        </w:rPr>
        <w:t>Notice by Company</w:t>
      </w:r>
      <w:r>
        <w:rPr>
          <w:rFonts w:ascii="Arial" w:cs="Arial" w:eastAsia="Arial" w:hAnsi="Arial"/>
          <w:sz w:val="13"/>
          <w:szCs w:val="13"/>
          <w:color w:val="auto"/>
        </w:rPr>
        <w:t>. If, at the time of the receipt of a notice of the commencement of a proceeding pursuant to Section 7(a)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57" w:lineRule="exact"/>
        <w:rPr>
          <w:rFonts w:ascii="Arial" w:cs="Arial" w:eastAsia="Arial" w:hAnsi="Arial"/>
          <w:sz w:val="13"/>
          <w:szCs w:val="13"/>
          <w:color w:val="auto"/>
        </w:rPr>
      </w:pPr>
    </w:p>
    <w:p>
      <w:pPr>
        <w:ind w:left="1" w:right="20" w:firstLine="326"/>
        <w:spacing w:after="0" w:line="303" w:lineRule="auto"/>
        <w:tabs>
          <w:tab w:leader="none" w:pos="507" w:val="left"/>
        </w:tabs>
        <w:numPr>
          <w:ilvl w:val="2"/>
          <w:numId w:val="277"/>
        </w:numPr>
        <w:rPr>
          <w:rFonts w:ascii="Arial" w:cs="Arial" w:eastAsia="Arial" w:hAnsi="Arial"/>
          <w:sz w:val="11"/>
          <w:szCs w:val="11"/>
          <w:color w:val="auto"/>
        </w:rPr>
      </w:pPr>
      <w:r>
        <w:rPr>
          <w:rFonts w:ascii="Arial" w:cs="Arial" w:eastAsia="Arial" w:hAnsi="Arial"/>
          <w:sz w:val="11"/>
          <w:szCs w:val="11"/>
          <w:u w:val="single" w:color="auto"/>
          <w:color w:val="auto"/>
        </w:rPr>
        <w:t>Defense</w:t>
      </w:r>
      <w:r>
        <w:rPr>
          <w:rFonts w:ascii="Arial" w:cs="Arial" w:eastAsia="Arial" w:hAnsi="Arial"/>
          <w:sz w:val="11"/>
          <w:szCs w:val="11"/>
          <w:color w:val="auto"/>
        </w:rPr>
        <w:t>. In the event the Company shall be obligated to pay the expenses of any proceeding against the Indemnitee, the Company, if appropriate, shall be entitled to assume the defense of such proceeding, with counsel approved by the Indemnitee, upon the delivery to the Indemnitee of written notice of its election so to do.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proceeding, provided that</w:t>
      </w:r>
    </w:p>
    <w:p>
      <w:pPr>
        <w:ind w:left="1" w:hanging="1"/>
        <w:spacing w:after="0" w:line="256" w:lineRule="auto"/>
        <w:tabs>
          <w:tab w:leader="none" w:pos="158"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the Indemnitee shall have the right to employ the Indemnitee’s counsel in any such proceeding at the Indemnitee’s expense; and (ii) if (A) the employment of counsel by the Indemnitee has been previously authorized by the Company, (B) the Indemnitee shall have reasonably concluded that there may be a conflict of interest between the Company and the Indemnitee in the conduct of any such defense, or (C) the Company shall not, in fact, have employed counsel to assume the defense of such proceeding, then the fees and expenses of the Indemnitee’s counsel shall be at the expense of the Company. The Company agrees, to the extent allowed by law, to allocate all defense expenses, incurred jointly with Indemnitee, solely to the defense of the Company.</w:t>
      </w:r>
    </w:p>
    <w:p>
      <w:pPr>
        <w:spacing w:after="0" w:line="62" w:lineRule="exact"/>
        <w:rPr>
          <w:rFonts w:ascii="Arial" w:cs="Arial" w:eastAsia="Arial" w:hAnsi="Arial"/>
          <w:sz w:val="13"/>
          <w:szCs w:val="13"/>
          <w:color w:val="auto"/>
        </w:rPr>
      </w:pPr>
    </w:p>
    <w:p>
      <w:pPr>
        <w:ind w:left="301" w:hanging="138"/>
        <w:spacing w:after="0"/>
        <w:tabs>
          <w:tab w:leader="none" w:pos="301" w:val="left"/>
        </w:tabs>
        <w:numPr>
          <w:ilvl w:val="1"/>
          <w:numId w:val="278"/>
        </w:numPr>
        <w:rPr>
          <w:rFonts w:ascii="Arial" w:cs="Arial" w:eastAsia="Arial" w:hAnsi="Arial"/>
          <w:sz w:val="13"/>
          <w:szCs w:val="13"/>
          <w:color w:val="auto"/>
        </w:rPr>
      </w:pPr>
      <w:r>
        <w:rPr>
          <w:rFonts w:ascii="Arial" w:cs="Arial" w:eastAsia="Arial" w:hAnsi="Arial"/>
          <w:sz w:val="13"/>
          <w:szCs w:val="13"/>
          <w:u w:val="single" w:color="auto"/>
          <w:color w:val="auto"/>
        </w:rPr>
        <w:t>Determination of Right to Indemnification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280" w:firstLine="326"/>
        <w:spacing w:after="0" w:line="264" w:lineRule="auto"/>
        <w:tabs>
          <w:tab w:leader="none" w:pos="507" w:val="left"/>
        </w:tabs>
        <w:numPr>
          <w:ilvl w:val="2"/>
          <w:numId w:val="278"/>
        </w:numPr>
        <w:rPr>
          <w:rFonts w:ascii="Arial" w:cs="Arial" w:eastAsia="Arial" w:hAnsi="Arial"/>
          <w:sz w:val="13"/>
          <w:szCs w:val="13"/>
          <w:color w:val="auto"/>
        </w:rPr>
      </w:pPr>
      <w:r>
        <w:rPr>
          <w:rFonts w:ascii="Arial" w:cs="Arial" w:eastAsia="Arial" w:hAnsi="Arial"/>
          <w:sz w:val="13"/>
          <w:szCs w:val="13"/>
          <w:u w:val="single" w:color="auto"/>
          <w:color w:val="auto"/>
        </w:rPr>
        <w:t>Successful Defense</w:t>
      </w:r>
      <w:r>
        <w:rPr>
          <w:rFonts w:ascii="Arial" w:cs="Arial" w:eastAsia="Arial" w:hAnsi="Arial"/>
          <w:sz w:val="13"/>
          <w:szCs w:val="13"/>
          <w:color w:val="auto"/>
        </w:rPr>
        <w:t>. To the extent the Indemnitee has been successful on the merits or otherwise in defense of any proceeding (including, without limitation, an action by or in the right of the Company) to which the Indemnitee was a party by reason of the fact that the Indemnitee is or was an agent of the Company at any time, the Company shall indemnify the Indemnitee against all expenses of any type whatsoever actually and reasonably incurred by the Indemnitee in connection with the investigation, defense or appeal of such proceeding.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35" w:name="page336"/>
    <w:bookmarkEnd w:id="335"/>
    <w:p>
      <w:pPr>
        <w:ind w:left="-20" w:right="460" w:firstLine="326"/>
        <w:spacing w:after="0" w:line="320" w:lineRule="auto"/>
        <w:tabs>
          <w:tab w:leader="none" w:pos="493" w:val="left"/>
        </w:tabs>
        <w:numPr>
          <w:ilvl w:val="0"/>
          <w:numId w:val="279"/>
        </w:numPr>
        <w:rPr>
          <w:rFonts w:ascii="Arial" w:cs="Arial" w:eastAsia="Arial" w:hAnsi="Arial"/>
          <w:sz w:val="12"/>
          <w:szCs w:val="12"/>
          <w:color w:val="auto"/>
        </w:rPr>
      </w:pPr>
      <w:r>
        <w:rPr>
          <w:rFonts w:ascii="Arial" w:cs="Arial" w:eastAsia="Arial" w:hAnsi="Arial"/>
          <w:sz w:val="12"/>
          <w:szCs w:val="12"/>
          <w:u w:val="single" w:color="auto"/>
          <w:color w:val="auto"/>
        </w:rPr>
        <w:t>Other Situations</w:t>
      </w:r>
      <w:r>
        <w:rPr>
          <w:rFonts w:ascii="Arial" w:cs="Arial" w:eastAsia="Arial" w:hAnsi="Arial"/>
          <w:sz w:val="12"/>
          <w:szCs w:val="12"/>
          <w:color w:val="auto"/>
        </w:rPr>
        <w:t>. In the event that Section 8(a) is inapplicable, the Company shall also indemnify the Indemnitee unless, and except to the extent that, the Company shall prove by clear and convincing evidence in a forum listed in Section 8(c) below that the Indemnitee has not met the applicable standard of conduct required to entitle the Indemnitee to such indemnification.</w:t>
      </w:r>
    </w:p>
    <w:p>
      <w:pPr>
        <w:spacing w:after="0" w:line="25" w:lineRule="exact"/>
        <w:rPr>
          <w:rFonts w:ascii="Arial" w:cs="Arial" w:eastAsia="Arial" w:hAnsi="Arial"/>
          <w:sz w:val="12"/>
          <w:szCs w:val="12"/>
          <w:color w:val="auto"/>
        </w:rPr>
      </w:pPr>
    </w:p>
    <w:p>
      <w:pPr>
        <w:ind w:left="-20" w:right="200" w:firstLine="326"/>
        <w:spacing w:after="0" w:line="276" w:lineRule="auto"/>
        <w:tabs>
          <w:tab w:leader="none" w:pos="486"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Selection of Forum</w:t>
      </w:r>
      <w:r>
        <w:rPr>
          <w:rFonts w:ascii="Arial" w:cs="Arial" w:eastAsia="Arial" w:hAnsi="Arial"/>
          <w:sz w:val="13"/>
          <w:szCs w:val="13"/>
          <w:color w:val="auto"/>
        </w:rPr>
        <w:t>. The Indemnitee shall be entitled to select the forum in which the validity of the Company’s claim under Section 8(b) hereof that the Indemnitee is not entitled to indemnification will be heard from among the following:</w:t>
      </w:r>
    </w:p>
    <w:p>
      <w:pPr>
        <w:spacing w:after="0" w:line="49" w:lineRule="exact"/>
        <w:rPr>
          <w:rFonts w:ascii="Arial" w:cs="Arial" w:eastAsia="Arial" w:hAnsi="Arial"/>
          <w:sz w:val="13"/>
          <w:szCs w:val="13"/>
          <w:color w:val="auto"/>
        </w:rPr>
      </w:pPr>
    </w:p>
    <w:p>
      <w:pPr>
        <w:ind w:left="620" w:hanging="150"/>
        <w:spacing w:after="0"/>
        <w:tabs>
          <w:tab w:leader="none" w:pos="62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A quorum of the Board consisting of directors who are not parties to the proceeding for which indemnification is being sought;</w:t>
      </w:r>
    </w:p>
    <w:p>
      <w:pPr>
        <w:spacing w:after="0" w:line="86" w:lineRule="exact"/>
        <w:rPr>
          <w:rFonts w:ascii="Arial" w:cs="Arial" w:eastAsia="Arial" w:hAnsi="Arial"/>
          <w:sz w:val="13"/>
          <w:szCs w:val="13"/>
          <w:color w:val="auto"/>
        </w:rPr>
      </w:pPr>
    </w:p>
    <w:p>
      <w:pPr>
        <w:ind w:left="660" w:hanging="190"/>
        <w:spacing w:after="0"/>
        <w:tabs>
          <w:tab w:leader="none" w:pos="66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stockholders of the Company;</w:t>
      </w:r>
    </w:p>
    <w:p>
      <w:pPr>
        <w:spacing w:after="0" w:line="86" w:lineRule="exact"/>
        <w:rPr>
          <w:rFonts w:ascii="Arial" w:cs="Arial" w:eastAsia="Arial" w:hAnsi="Arial"/>
          <w:sz w:val="13"/>
          <w:szCs w:val="13"/>
          <w:color w:val="auto"/>
        </w:rPr>
      </w:pPr>
    </w:p>
    <w:p>
      <w:pPr>
        <w:ind w:left="700" w:hanging="230"/>
        <w:spacing w:after="0"/>
        <w:tabs>
          <w:tab w:leader="none" w:pos="70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Legal counsel selected by the Indemnitee, and reasonably approved by the Board, which counsel shall make such determination in a written opinion; or</w:t>
      </w:r>
    </w:p>
    <w:p>
      <w:pPr>
        <w:spacing w:after="0" w:line="86" w:lineRule="exact"/>
        <w:rPr>
          <w:rFonts w:ascii="Arial" w:cs="Arial" w:eastAsia="Arial" w:hAnsi="Arial"/>
          <w:sz w:val="13"/>
          <w:szCs w:val="13"/>
          <w:color w:val="auto"/>
        </w:rPr>
      </w:pPr>
    </w:p>
    <w:p>
      <w:pPr>
        <w:ind w:left="680" w:hanging="210"/>
        <w:spacing w:after="0"/>
        <w:tabs>
          <w:tab w:leader="none" w:pos="680" w:val="left"/>
        </w:tabs>
        <w:numPr>
          <w:ilvl w:val="1"/>
          <w:numId w:val="279"/>
        </w:numPr>
        <w:rPr>
          <w:rFonts w:ascii="Arial" w:cs="Arial" w:eastAsia="Arial" w:hAnsi="Arial"/>
          <w:sz w:val="12"/>
          <w:szCs w:val="12"/>
          <w:color w:val="auto"/>
        </w:rPr>
      </w:pPr>
      <w:r>
        <w:rPr>
          <w:rFonts w:ascii="Arial" w:cs="Arial" w:eastAsia="Arial" w:hAnsi="Arial"/>
          <w:sz w:val="12"/>
          <w:szCs w:val="12"/>
          <w:color w:val="auto"/>
        </w:rPr>
        <w:t>A panel of three arbitrators, one of whom is selected by the Company, another of whom is selected by the Indemnitee and the last of whom is selected by the first two arbitrators so selected.</w:t>
      </w:r>
    </w:p>
    <w:p>
      <w:pPr>
        <w:spacing w:after="0" w:line="97" w:lineRule="exact"/>
        <w:rPr>
          <w:rFonts w:ascii="Arial" w:cs="Arial" w:eastAsia="Arial" w:hAnsi="Arial"/>
          <w:sz w:val="12"/>
          <w:szCs w:val="12"/>
          <w:color w:val="auto"/>
        </w:rPr>
      </w:pPr>
    </w:p>
    <w:p>
      <w:pPr>
        <w:ind w:left="-20" w:right="40" w:firstLine="326"/>
        <w:spacing w:after="0" w:line="264" w:lineRule="auto"/>
        <w:tabs>
          <w:tab w:leader="none" w:pos="493"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Submission to Forum</w:t>
      </w:r>
      <w:r>
        <w:rPr>
          <w:rFonts w:ascii="Arial" w:cs="Arial" w:eastAsia="Arial" w:hAnsi="Arial"/>
          <w:sz w:val="13"/>
          <w:szCs w:val="13"/>
          <w:color w:val="auto"/>
        </w:rPr>
        <w:t>. As soon as practicable, and in no event later than thirty (30) days after written notice of the Indemnitee’s choice of forum pursuant to Section 8(c) above, the Company shall, at its own expense, submit to the selected forum in such manner as the Indemnitee or the Indemnitee’s counsel may reasonably request, its claim that the Indemnitee is not entitled to indemnification; and the Company shall act in the utmost good faith to assure the Indemnitee a complete opportunity to defend against such claim.</w:t>
      </w:r>
    </w:p>
    <w:p>
      <w:pPr>
        <w:spacing w:after="0" w:line="57" w:lineRule="exact"/>
        <w:rPr>
          <w:rFonts w:ascii="Arial" w:cs="Arial" w:eastAsia="Arial" w:hAnsi="Arial"/>
          <w:sz w:val="13"/>
          <w:szCs w:val="13"/>
          <w:color w:val="auto"/>
        </w:rPr>
      </w:pPr>
    </w:p>
    <w:p>
      <w:pPr>
        <w:ind w:left="-20" w:right="200" w:firstLine="326"/>
        <w:spacing w:after="0" w:line="264" w:lineRule="auto"/>
        <w:tabs>
          <w:tab w:leader="none" w:pos="486"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Application to Court of Chancery</w:t>
      </w:r>
      <w:r>
        <w:rPr>
          <w:rFonts w:ascii="Arial" w:cs="Arial" w:eastAsia="Arial" w:hAnsi="Arial"/>
          <w:sz w:val="13"/>
          <w:szCs w:val="13"/>
          <w:color w:val="auto"/>
        </w:rPr>
        <w:t>. Notwithstanding a determination by any forum listed in Section 8(c) hereof that the Indemnitee is not entitled to indemnification with respect to a specific proceeding, the Indemnitee shall have the right to apply to the Court of Chancery of Delaware, the court in which that proceeding is or was pending or any other court of competent jurisdiction, for the purpose of enforcing the Indemnitee’s right to indemnification pursuant to this Agreement. The Company hereby consents to service of process and to appear in any such proceeding.</w:t>
      </w:r>
    </w:p>
    <w:p>
      <w:pPr>
        <w:spacing w:after="0" w:line="57" w:lineRule="exact"/>
        <w:rPr>
          <w:rFonts w:ascii="Arial" w:cs="Arial" w:eastAsia="Arial" w:hAnsi="Arial"/>
          <w:sz w:val="13"/>
          <w:szCs w:val="13"/>
          <w:color w:val="auto"/>
        </w:rPr>
      </w:pPr>
    </w:p>
    <w:p>
      <w:pPr>
        <w:jc w:val="both"/>
        <w:ind w:left="-20" w:firstLine="326"/>
        <w:spacing w:after="0" w:line="260" w:lineRule="auto"/>
        <w:tabs>
          <w:tab w:leader="none" w:pos="471"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Expenses Related to this Agreement</w:t>
      </w:r>
      <w:r>
        <w:rPr>
          <w:rFonts w:ascii="Arial" w:cs="Arial" w:eastAsia="Arial" w:hAnsi="Arial"/>
          <w:sz w:val="13"/>
          <w:szCs w:val="13"/>
          <w:color w:val="auto"/>
        </w:rPr>
        <w:t>. Notwithstanding any other provision in this Agreement to the contrary, the Company shall indemnify the Indemnitee against all expenses incurred by the Indemnitee in connection with any hearing or proceeding under this Section 8 involving the Indemnitee and against all expenses incurred by the Indemnitee in connection with any other proceeding between the Company and the Indemnitee involving the interpretation or enforcement of the rights of the Indemnitee under this Agreement unless a court of competent jurisdiction finds that each of the claims and/or defenses of the Indemnitee in any such proceeding was frivolous or made in bad faith.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336" w:name="page337"/>
    <w:bookmarkEnd w:id="336"/>
    <w:p>
      <w:pPr>
        <w:ind w:left="280" w:hanging="138"/>
        <w:spacing w:after="0"/>
        <w:tabs>
          <w:tab w:leader="none" w:pos="280" w:val="left"/>
        </w:tabs>
        <w:numPr>
          <w:ilvl w:val="0"/>
          <w:numId w:val="280"/>
        </w:numPr>
        <w:rPr>
          <w:rFonts w:ascii="Arial" w:cs="Arial" w:eastAsia="Arial" w:hAnsi="Arial"/>
          <w:sz w:val="13"/>
          <w:szCs w:val="13"/>
          <w:color w:val="auto"/>
        </w:rPr>
      </w:pPr>
      <w:r>
        <w:rPr>
          <w:rFonts w:ascii="Arial" w:cs="Arial" w:eastAsia="Arial" w:hAnsi="Arial"/>
          <w:sz w:val="13"/>
          <w:szCs w:val="13"/>
          <w:u w:val="single" w:color="auto"/>
          <w:color w:val="auto"/>
        </w:rPr>
        <w:t>Exceptions</w:t>
      </w:r>
      <w:r>
        <w:rPr>
          <w:rFonts w:ascii="Arial" w:cs="Arial" w:eastAsia="Arial" w:hAnsi="Arial"/>
          <w:sz w:val="13"/>
          <w:szCs w:val="13"/>
          <w:color w:val="auto"/>
        </w:rPr>
        <w:t>. Any other provision herein to the contrary notwithstanding, the Company shall not be obligated pursuant to the terms of this Agreement:</w:t>
      </w:r>
    </w:p>
    <w:p>
      <w:pPr>
        <w:spacing w:after="0" w:line="86" w:lineRule="exact"/>
        <w:rPr>
          <w:rFonts w:ascii="Arial" w:cs="Arial" w:eastAsia="Arial" w:hAnsi="Arial"/>
          <w:sz w:val="13"/>
          <w:szCs w:val="13"/>
          <w:color w:val="auto"/>
        </w:rPr>
      </w:pPr>
    </w:p>
    <w:p>
      <w:pPr>
        <w:ind w:left="-20" w:right="220" w:firstLine="326"/>
        <w:spacing w:after="0" w:line="260" w:lineRule="auto"/>
        <w:tabs>
          <w:tab w:leader="none" w:pos="486" w:val="left"/>
        </w:tabs>
        <w:numPr>
          <w:ilvl w:val="1"/>
          <w:numId w:val="280"/>
        </w:numPr>
        <w:rPr>
          <w:rFonts w:ascii="Arial" w:cs="Arial" w:eastAsia="Arial" w:hAnsi="Arial"/>
          <w:sz w:val="13"/>
          <w:szCs w:val="13"/>
          <w:color w:val="auto"/>
        </w:rPr>
      </w:pPr>
      <w:r>
        <w:rPr>
          <w:rFonts w:ascii="Arial" w:cs="Arial" w:eastAsia="Arial" w:hAnsi="Arial"/>
          <w:sz w:val="13"/>
          <w:szCs w:val="13"/>
          <w:u w:val="single" w:color="auto"/>
          <w:color w:val="auto"/>
        </w:rPr>
        <w:t>Claims Initiated by the Indemnitee</w:t>
      </w:r>
      <w:r>
        <w:rPr>
          <w:rFonts w:ascii="Arial" w:cs="Arial" w:eastAsia="Arial" w:hAnsi="Arial"/>
          <w:sz w:val="13"/>
          <w:szCs w:val="13"/>
          <w:color w:val="auto"/>
        </w:rPr>
        <w:t>. To indemnify or advance expenses to the Indemnitee with respect to proceedings or claims initiated or brought voluntarily by the Indemnitee and not by way of defense, unless (i) such indemnification is expressly required to be made by law, (ii) the proceeding was authorized by the Board, (iii) such indemnification is provided by the Company, in its sole discretion, pursuant to the powers vested in the Company under the General Corporation Law of Delaware or (iv) the proceeding is brought to establish or enforce a right to indemnification under this Agreement or any other statute or law or otherwise as required under Section 145;</w:t>
      </w:r>
    </w:p>
    <w:p>
      <w:pPr>
        <w:spacing w:after="0" w:line="59" w:lineRule="exact"/>
        <w:rPr>
          <w:rFonts w:ascii="Arial" w:cs="Arial" w:eastAsia="Arial" w:hAnsi="Arial"/>
          <w:sz w:val="13"/>
          <w:szCs w:val="13"/>
          <w:color w:val="auto"/>
        </w:rPr>
      </w:pPr>
    </w:p>
    <w:p>
      <w:pPr>
        <w:ind w:left="-20" w:right="120" w:firstLine="326"/>
        <w:spacing w:after="0" w:line="276" w:lineRule="auto"/>
        <w:tabs>
          <w:tab w:leader="none" w:pos="493" w:val="left"/>
        </w:tabs>
        <w:numPr>
          <w:ilvl w:val="1"/>
          <w:numId w:val="280"/>
        </w:numPr>
        <w:rPr>
          <w:rFonts w:ascii="Arial" w:cs="Arial" w:eastAsia="Arial" w:hAnsi="Arial"/>
          <w:sz w:val="13"/>
          <w:szCs w:val="13"/>
          <w:color w:val="auto"/>
        </w:rPr>
      </w:pPr>
      <w:r>
        <w:rPr>
          <w:rFonts w:ascii="Arial" w:cs="Arial" w:eastAsia="Arial" w:hAnsi="Arial"/>
          <w:sz w:val="13"/>
          <w:szCs w:val="13"/>
          <w:u w:val="single" w:color="auto"/>
          <w:color w:val="auto"/>
        </w:rPr>
        <w:t>Lack of Good Faith</w:t>
      </w:r>
      <w:r>
        <w:rPr>
          <w:rFonts w:ascii="Arial" w:cs="Arial" w:eastAsia="Arial" w:hAnsi="Arial"/>
          <w:sz w:val="13"/>
          <w:szCs w:val="13"/>
          <w:color w:val="auto"/>
        </w:rPr>
        <w:t>. To indemnify the Indemnitee for any expenses incurred by the Indemnitee with respect to any proceeding instituted by the Indemnitee to enforce or interpret this Agreement, if a court of competent jurisdiction determines that each of the material assertions made by the Indemnitee in such proceeding was not made in good faith or was frivolous; or</w:t>
      </w:r>
    </w:p>
    <w:p>
      <w:pPr>
        <w:spacing w:after="0" w:line="49" w:lineRule="exact"/>
        <w:rPr>
          <w:rFonts w:ascii="Arial" w:cs="Arial" w:eastAsia="Arial" w:hAnsi="Arial"/>
          <w:sz w:val="13"/>
          <w:szCs w:val="13"/>
          <w:color w:val="auto"/>
        </w:rPr>
      </w:pPr>
    </w:p>
    <w:p>
      <w:pPr>
        <w:ind w:left="-20" w:right="120" w:firstLine="326"/>
        <w:spacing w:after="0" w:line="276" w:lineRule="auto"/>
        <w:tabs>
          <w:tab w:leader="none" w:pos="486" w:val="left"/>
        </w:tabs>
        <w:numPr>
          <w:ilvl w:val="1"/>
          <w:numId w:val="280"/>
        </w:numPr>
        <w:rPr>
          <w:rFonts w:ascii="Arial" w:cs="Arial" w:eastAsia="Arial" w:hAnsi="Arial"/>
          <w:sz w:val="13"/>
          <w:szCs w:val="13"/>
          <w:color w:val="auto"/>
        </w:rPr>
      </w:pPr>
      <w:r>
        <w:rPr>
          <w:rFonts w:ascii="Arial" w:cs="Arial" w:eastAsia="Arial" w:hAnsi="Arial"/>
          <w:sz w:val="13"/>
          <w:szCs w:val="13"/>
          <w:u w:val="single" w:color="auto"/>
          <w:color w:val="auto"/>
        </w:rPr>
        <w:t>Unauthorized Settlements</w:t>
      </w:r>
      <w:r>
        <w:rPr>
          <w:rFonts w:ascii="Arial" w:cs="Arial" w:eastAsia="Arial" w:hAnsi="Arial"/>
          <w:sz w:val="13"/>
          <w:szCs w:val="13"/>
          <w:color w:val="auto"/>
        </w:rPr>
        <w:t>. To indemnify the Indemnitee under this Agreement for any amounts paid in settlement of a proceeding unless the Company consents to such settlement, which consent shall not be unreasonably withheld.</w:t>
      </w:r>
    </w:p>
    <w:p>
      <w:pPr>
        <w:spacing w:after="0" w:line="49" w:lineRule="exact"/>
        <w:rPr>
          <w:rFonts w:ascii="Arial" w:cs="Arial" w:eastAsia="Arial" w:hAnsi="Arial"/>
          <w:sz w:val="13"/>
          <w:szCs w:val="13"/>
          <w:color w:val="auto"/>
        </w:rPr>
      </w:pPr>
    </w:p>
    <w:p>
      <w:pPr>
        <w:jc w:val="both"/>
        <w:ind w:left="-20" w:firstLine="162"/>
        <w:spacing w:after="0" w:line="260" w:lineRule="auto"/>
        <w:tabs>
          <w:tab w:leader="none" w:pos="340" w:val="left"/>
        </w:tabs>
        <w:numPr>
          <w:ilvl w:val="0"/>
          <w:numId w:val="280"/>
        </w:numPr>
        <w:rPr>
          <w:rFonts w:ascii="Arial" w:cs="Arial" w:eastAsia="Arial" w:hAnsi="Arial"/>
          <w:sz w:val="13"/>
          <w:szCs w:val="13"/>
          <w:color w:val="auto"/>
        </w:rPr>
      </w:pPr>
      <w:r>
        <w:rPr>
          <w:rFonts w:ascii="Arial" w:cs="Arial" w:eastAsia="Arial" w:hAnsi="Arial"/>
          <w:sz w:val="13"/>
          <w:szCs w:val="13"/>
          <w:u w:val="single" w:color="auto"/>
          <w:color w:val="auto"/>
        </w:rPr>
        <w:t>Non-exclusivity</w:t>
      </w:r>
      <w:r>
        <w:rPr>
          <w:rFonts w:ascii="Arial" w:cs="Arial" w:eastAsia="Arial" w:hAnsi="Arial"/>
          <w:sz w:val="13"/>
          <w:szCs w:val="13"/>
          <w:color w:val="auto"/>
        </w:rPr>
        <w:t>. The provisions for indemnification and advancement of expenses set forth in this Agreement shall not be deemed exclusive of any other rights that the Indemnitee may have under any provision of law, the Company’s Certificate of Incorporation or Bylaws, the vote of the Company’s stockholders or disinterested directors, other agreements, or otherwise, both as to action in the Indemnitee’s official capacity and to action in another capacity while occupying the Indemnitee’s position as an agent of the Company, and the Indemnitee’s rights hereunder shall continue after the Indemnitee has ceased acting as an agent of the Company and shall inure to the benefit of the heirs, executors and administrators of the Indemnitee.</w:t>
      </w:r>
    </w:p>
    <w:p>
      <w:pPr>
        <w:spacing w:after="0" w:line="59" w:lineRule="exact"/>
        <w:rPr>
          <w:rFonts w:ascii="Arial" w:cs="Arial" w:eastAsia="Arial" w:hAnsi="Arial"/>
          <w:sz w:val="13"/>
          <w:szCs w:val="13"/>
          <w:color w:val="auto"/>
        </w:rPr>
      </w:pPr>
    </w:p>
    <w:p>
      <w:pPr>
        <w:ind w:left="-20" w:firstLine="162"/>
        <w:spacing w:after="0" w:line="282" w:lineRule="auto"/>
        <w:tabs>
          <w:tab w:leader="none" w:pos="335" w:val="left"/>
        </w:tabs>
        <w:numPr>
          <w:ilvl w:val="0"/>
          <w:numId w:val="280"/>
        </w:numPr>
        <w:rPr>
          <w:rFonts w:ascii="Arial" w:cs="Arial" w:eastAsia="Arial" w:hAnsi="Arial"/>
          <w:sz w:val="12"/>
          <w:szCs w:val="12"/>
          <w:color w:val="auto"/>
        </w:rPr>
      </w:pPr>
      <w:r>
        <w:rPr>
          <w:rFonts w:ascii="Arial" w:cs="Arial" w:eastAsia="Arial" w:hAnsi="Arial"/>
          <w:sz w:val="12"/>
          <w:szCs w:val="12"/>
          <w:u w:val="single" w:color="auto"/>
          <w:color w:val="auto"/>
        </w:rPr>
        <w:t>Enforcement</w:t>
      </w:r>
      <w:r>
        <w:rPr>
          <w:rFonts w:ascii="Arial" w:cs="Arial" w:eastAsia="Arial" w:hAnsi="Arial"/>
          <w:sz w:val="12"/>
          <w:szCs w:val="12"/>
          <w:color w:val="auto"/>
        </w:rPr>
        <w:t>. Any right to indemnification or advances granted by this Agreement to the Indemnitee shall be enforceable by or on behalf of the Indemnitee in any court of competent jurisdiction if (i) the claim for indemnification or advances is denied, in whole or in part, or (ii) no disposition of such claim is made within ninety (90) days of request therefor. The Indemnitee, in such enforcement action, if successful in whole or in part, shall be entitled to be paid also the expense of prosecuting the Indemnitee’s claim. It shall be a defense to any action for which a claim for indemnification is made under this Agreement (other than an action brought to enforce a claim for expenses pursuant to Section 6 hereof, provided that the required undertaking has been tendered to the Company) that the Indemnitee is not entitled to indemnification because of the limitations set forth in Sections 4 and 9 hereof. Neither the failure of the Company (including its Board of Directors or its stockholders) to have made a determination prior to the commencement of such enforcement action that indemnification of the Indemnitee is proper in the circumstances, nor an actual determination by the Company (including its Board of Directors or its stockholders) that such indemnification is improper, shall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337" w:name="page338"/>
    <w:bookmarkEnd w:id="337"/>
    <w:p>
      <w:pPr>
        <w:spacing w:after="0"/>
        <w:rPr>
          <w:sz w:val="20"/>
          <w:szCs w:val="20"/>
          <w:color w:val="auto"/>
        </w:rPr>
      </w:pPr>
      <w:r>
        <w:rPr>
          <w:rFonts w:ascii="Arial" w:cs="Arial" w:eastAsia="Arial" w:hAnsi="Arial"/>
          <w:sz w:val="13"/>
          <w:szCs w:val="13"/>
          <w:color w:val="auto"/>
        </w:rPr>
        <w:t>be a defense to the action or create a presumption that the Indemnitee is not entitled to indemnification under this Agreement or otherwise.</w:t>
      </w:r>
    </w:p>
    <w:p>
      <w:pPr>
        <w:spacing w:after="0" w:line="86" w:lineRule="exact"/>
        <w:rPr>
          <w:sz w:val="20"/>
          <w:szCs w:val="20"/>
          <w:color w:val="auto"/>
        </w:rPr>
      </w:pPr>
    </w:p>
    <w:p>
      <w:pPr>
        <w:jc w:val="both"/>
        <w:ind w:right="160" w:firstLine="162"/>
        <w:spacing w:after="0" w:line="264" w:lineRule="auto"/>
        <w:tabs>
          <w:tab w:leader="none" w:pos="360" w:val="left"/>
        </w:tabs>
        <w:numPr>
          <w:ilvl w:val="0"/>
          <w:numId w:val="281"/>
        </w:numPr>
        <w:rPr>
          <w:rFonts w:ascii="Arial" w:cs="Arial" w:eastAsia="Arial" w:hAnsi="Arial"/>
          <w:sz w:val="13"/>
          <w:szCs w:val="13"/>
          <w:color w:val="auto"/>
        </w:rPr>
      </w:pPr>
      <w:r>
        <w:rPr>
          <w:rFonts w:ascii="Arial" w:cs="Arial" w:eastAsia="Arial" w:hAnsi="Arial"/>
          <w:sz w:val="13"/>
          <w:szCs w:val="13"/>
          <w:u w:val="single" w:color="auto"/>
          <w:color w:val="auto"/>
        </w:rPr>
        <w:t>Subrogation</w:t>
      </w:r>
      <w:r>
        <w:rPr>
          <w:rFonts w:ascii="Arial" w:cs="Arial" w:eastAsia="Arial" w:hAnsi="Arial"/>
          <w:sz w:val="13"/>
          <w:szCs w:val="13"/>
          <w:color w:val="auto"/>
        </w:rPr>
        <w:t>. In the event the Company is obligated to make a payment under this Agreement, the Company shall be subrogated to the extent of such payment to all of the rights of recovery under an insurance policy or any other indemnity agreement covering the Indemnitee, who shall execute all documents required and shall do all acts that may be necessary to secure such rights and to enable the Company effectively to bring suit to enforce such rights.</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281"/>
        </w:numPr>
        <w:rPr>
          <w:rFonts w:ascii="Arial" w:cs="Arial" w:eastAsia="Arial" w:hAnsi="Arial"/>
          <w:sz w:val="13"/>
          <w:szCs w:val="13"/>
          <w:color w:val="auto"/>
        </w:rPr>
      </w:pPr>
      <w:r>
        <w:rPr>
          <w:rFonts w:ascii="Arial" w:cs="Arial" w:eastAsia="Arial" w:hAnsi="Arial"/>
          <w:sz w:val="13"/>
          <w:szCs w:val="13"/>
          <w:u w:val="single" w:color="auto"/>
          <w:color w:val="auto"/>
        </w:rPr>
        <w:t>Survival of Rights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0" w:firstLine="326"/>
        <w:spacing w:after="0" w:line="264" w:lineRule="auto"/>
        <w:tabs>
          <w:tab w:leader="none" w:pos="498" w:val="left"/>
        </w:tabs>
        <w:numPr>
          <w:ilvl w:val="1"/>
          <w:numId w:val="281"/>
        </w:numPr>
        <w:rPr>
          <w:rFonts w:ascii="Arial" w:cs="Arial" w:eastAsia="Arial" w:hAnsi="Arial"/>
          <w:sz w:val="13"/>
          <w:szCs w:val="13"/>
          <w:color w:val="auto"/>
        </w:rPr>
      </w:pPr>
      <w:r>
        <w:rPr>
          <w:rFonts w:ascii="Arial" w:cs="Arial" w:eastAsia="Arial" w:hAnsi="Arial"/>
          <w:sz w:val="13"/>
          <w:szCs w:val="13"/>
          <w:color w:val="auto"/>
        </w:rPr>
        <w:t>All agreements and obligations of the Company contained herein shall continue during the period the Indemnitee is an agent of the Company and shall continue after Indemnitee has ceased to be so, so long as the Indemnitee shall be subject to any possible claim or threatened, pending or completed action, suit or proceeding, whether civil, criminal, arbitrational, administrative or investigative, by reason of the fact that the Indemnitee was serving in the capacity referred to herein.</w:t>
      </w:r>
    </w:p>
    <w:p>
      <w:pPr>
        <w:spacing w:after="0" w:line="57" w:lineRule="exact"/>
        <w:rPr>
          <w:rFonts w:ascii="Arial" w:cs="Arial" w:eastAsia="Arial" w:hAnsi="Arial"/>
          <w:sz w:val="13"/>
          <w:szCs w:val="13"/>
          <w:color w:val="auto"/>
        </w:rPr>
      </w:pPr>
    </w:p>
    <w:p>
      <w:pPr>
        <w:ind w:right="340" w:firstLine="326"/>
        <w:spacing w:after="0" w:line="320" w:lineRule="auto"/>
        <w:tabs>
          <w:tab w:leader="none" w:pos="511" w:val="left"/>
        </w:tabs>
        <w:numPr>
          <w:ilvl w:val="1"/>
          <w:numId w:val="281"/>
        </w:numPr>
        <w:rPr>
          <w:rFonts w:ascii="Arial" w:cs="Arial" w:eastAsia="Arial" w:hAnsi="Arial"/>
          <w:sz w:val="12"/>
          <w:szCs w:val="12"/>
          <w:color w:val="auto"/>
        </w:rPr>
      </w:pPr>
      <w:r>
        <w:rPr>
          <w:rFonts w:ascii="Arial" w:cs="Arial" w:eastAsia="Arial" w:hAnsi="Arial"/>
          <w:sz w:val="12"/>
          <w:szCs w:val="12"/>
          <w:color w:val="auto"/>
        </w:rPr>
        <w:t>The Company shall require any successor to the Company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25" w:lineRule="exact"/>
        <w:rPr>
          <w:rFonts w:ascii="Arial" w:cs="Arial" w:eastAsia="Arial" w:hAnsi="Arial"/>
          <w:sz w:val="12"/>
          <w:szCs w:val="12"/>
          <w:color w:val="auto"/>
        </w:rPr>
      </w:pPr>
    </w:p>
    <w:p>
      <w:pPr>
        <w:ind w:right="20" w:firstLine="162"/>
        <w:spacing w:after="0" w:line="312" w:lineRule="auto"/>
        <w:tabs>
          <w:tab w:leader="none" w:pos="360" w:val="left"/>
        </w:tabs>
        <w:numPr>
          <w:ilvl w:val="0"/>
          <w:numId w:val="281"/>
        </w:numPr>
        <w:rPr>
          <w:rFonts w:ascii="Arial" w:cs="Arial" w:eastAsia="Arial" w:hAnsi="Arial"/>
          <w:sz w:val="11"/>
          <w:szCs w:val="11"/>
          <w:color w:val="auto"/>
        </w:rPr>
      </w:pPr>
      <w:r>
        <w:rPr>
          <w:rFonts w:ascii="Arial" w:cs="Arial" w:eastAsia="Arial" w:hAnsi="Arial"/>
          <w:sz w:val="11"/>
          <w:szCs w:val="11"/>
          <w:u w:val="single" w:color="auto"/>
          <w:color w:val="auto"/>
        </w:rPr>
        <w:t>Interpretation of Agreement</w:t>
      </w:r>
      <w:r>
        <w:rPr>
          <w:rFonts w:ascii="Arial" w:cs="Arial" w:eastAsia="Arial" w:hAnsi="Arial"/>
          <w:sz w:val="11"/>
          <w:szCs w:val="11"/>
          <w:color w:val="auto"/>
        </w:rPr>
        <w:t>. It is understood that the parties hereto intend this Agreement to be interpreted and enforced so as to provide indemnification to the Indemnitee to the fullest extent permitted by law including those circumstances in which indemnification would otherwise be discretionary. This includes, without limitation, retroactive extension of Indemnitee’s rights to advancement and indemnification for allegations of otherwise qualified acts or omissions that predate this Agreement. In the event of any change after the date of this Agreement in any applicable law, statute or rule which expands the right of a Delaware corporation to indemnify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w:t>
      </w:r>
    </w:p>
    <w:p>
      <w:pPr>
        <w:spacing w:after="0" w:line="35" w:lineRule="exact"/>
        <w:rPr>
          <w:rFonts w:ascii="Arial" w:cs="Arial" w:eastAsia="Arial" w:hAnsi="Arial"/>
          <w:sz w:val="11"/>
          <w:szCs w:val="11"/>
          <w:color w:val="auto"/>
        </w:rPr>
      </w:pPr>
    </w:p>
    <w:p>
      <w:pPr>
        <w:ind w:firstLine="162"/>
        <w:spacing w:after="0" w:line="260" w:lineRule="auto"/>
        <w:tabs>
          <w:tab w:leader="none" w:pos="360" w:val="left"/>
        </w:tabs>
        <w:numPr>
          <w:ilvl w:val="0"/>
          <w:numId w:val="281"/>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 of this Agreement containing any such provision held to be invalid, illegal or unenforceable, that are not themselves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38" w:name="page339"/>
    <w:bookmarkEnd w:id="338"/>
    <w:p>
      <w:pPr>
        <w:spacing w:after="0"/>
        <w:rPr>
          <w:sz w:val="20"/>
          <w:szCs w:val="20"/>
          <w:color w:val="auto"/>
        </w:rPr>
      </w:pPr>
      <w:r>
        <w:rPr>
          <w:rFonts w:ascii="Arial" w:cs="Arial" w:eastAsia="Arial" w:hAnsi="Arial"/>
          <w:sz w:val="13"/>
          <w:szCs w:val="13"/>
          <w:color w:val="auto"/>
        </w:rPr>
        <w:t>invalid, illegal or unenforceable) shall be construed so as to give effect to the intent manifested by the provision held invalid, illegal or unenforceable and to give effect to Section 14 hereof.</w:t>
      </w:r>
    </w:p>
    <w:p>
      <w:pPr>
        <w:spacing w:after="0" w:line="86" w:lineRule="exact"/>
        <w:rPr>
          <w:sz w:val="20"/>
          <w:szCs w:val="20"/>
          <w:color w:val="auto"/>
        </w:rPr>
      </w:pPr>
    </w:p>
    <w:p>
      <w:pPr>
        <w:ind w:right="380" w:firstLine="162"/>
        <w:spacing w:after="0" w:line="276" w:lineRule="auto"/>
        <w:tabs>
          <w:tab w:leader="none" w:pos="360"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Modification and Waiver</w:t>
      </w:r>
      <w:r>
        <w:rPr>
          <w:rFonts w:ascii="Arial" w:cs="Arial" w:eastAsia="Arial" w:hAnsi="Arial"/>
          <w:sz w:val="13"/>
          <w:szCs w:val="13"/>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All notices, requests, demands and other communications under this Agreement shall be in writing and shall be deemed duly given (i) if delivered by hand and receipted for by the party addressee or (ii) if mailed by certified or registered mail with postage prepaid, on the third business day after the mailing date. Addresses for notice to either party are as shown on the signature page of this Agreement, or as subsequently modified by written notice.</w:t>
      </w:r>
    </w:p>
    <w:p>
      <w:pPr>
        <w:spacing w:after="0" w:line="57" w:lineRule="exact"/>
        <w:rPr>
          <w:rFonts w:ascii="Arial" w:cs="Arial" w:eastAsia="Arial" w:hAnsi="Arial"/>
          <w:sz w:val="13"/>
          <w:szCs w:val="13"/>
          <w:color w:val="auto"/>
        </w:rPr>
      </w:pPr>
    </w:p>
    <w:p>
      <w:pPr>
        <w:ind w:right="500" w:firstLine="162"/>
        <w:spacing w:after="0" w:line="276" w:lineRule="auto"/>
        <w:tabs>
          <w:tab w:leader="none" w:pos="360"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exclusively by and construed according to the laws of the State of Delaware as applied to contracts between Delaware residents entered into and to be performed entirely within Delaware.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hereto have entered into this Indemnity Agreement effective as of the date first above written.</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THE COMPANY:</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GRAND CANYON EDUCATION, INC, a</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Delaware corporation</w:t>
      </w:r>
    </w:p>
    <w:p>
      <w:pPr>
        <w:spacing w:after="0" w:line="15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53428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14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53428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53428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34285" cy="63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122555</wp:posOffset>
            </wp:positionV>
            <wp:extent cx="253428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166370</wp:posOffset>
            </wp:positionV>
            <wp:extent cx="287718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77185" cy="6350"/>
                    </a:xfrm>
                    <a:prstGeom prst="rect">
                      <a:avLst/>
                    </a:prstGeom>
                    <a:noFill/>
                  </pic:spPr>
                </pic:pic>
              </a:graphicData>
            </a:graphic>
          </wp:anchor>
        </w:drawing>
      </w:r>
    </w:p>
    <w:p>
      <w:pPr>
        <w:spacing w:after="0" w:line="253"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Print Name:</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53428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34285" cy="63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122555</wp:posOffset>
            </wp:positionV>
            <wp:extent cx="253428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34285" cy="63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234950</wp:posOffset>
            </wp:positionV>
            <wp:extent cx="2534285"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40"/>
          </w:cols>
          <w:pgMar w:left="220" w:top="720"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3, as to which the date is August 11, 2008, and Note 17, as to which the date is September 29, 2008), in Amendment No. 2 to the Registration Statement (Form S-1 No. 333-150876) and related Prospectus of Grand Canyon Education, Inc. for the registration of 10,500,000 shares of its common stock.</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September 29, 2008</w:t>
      </w:r>
    </w:p>
    <w:p>
      <w:pPr>
        <w:sectPr>
          <w:pgSz w:w="11900" w:h="16838" w:orient="portrait"/>
          <w:cols w:equalWidth="0" w:num="1">
            <w:col w:w="11460"/>
          </w:cols>
          <w:pgMar w:left="220" w:top="127" w:right="2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3"/>
          <w:szCs w:val="13"/>
          <w:color w:val="auto"/>
        </w:rPr>
        <w:t>September 29,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Via EDGAR and by courier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Larry Spirgel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Assistant Director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States Securities and Exchange Commission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Stop 3720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Washington, D.C. 20549</w:t>
      </w:r>
    </w:p>
    <w:p>
      <w:pPr>
        <w:spacing w:after="0" w:line="15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2"/>
          <w:szCs w:val="12"/>
          <w:b w:val="1"/>
          <w:bCs w:val="1"/>
          <w:color w:val="auto"/>
        </w:rPr>
        <w:t>Grand Canyon Education, Inc.</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Amendment No. 1 to Registration Statement on Form S-1</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Filed on August 13, 2008</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File No. 333-150876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Dear Mr. Spirgel:</w:t>
      </w:r>
    </w:p>
    <w:p>
      <w:pPr>
        <w:spacing w:after="0" w:line="86" w:lineRule="exact"/>
        <w:rPr>
          <w:sz w:val="20"/>
          <w:szCs w:val="20"/>
          <w:color w:val="auto"/>
        </w:rPr>
      </w:pPr>
    </w:p>
    <w:p>
      <w:pPr>
        <w:ind w:right="340" w:firstLine="161"/>
        <w:spacing w:after="0" w:line="276" w:lineRule="auto"/>
        <w:rPr>
          <w:sz w:val="20"/>
          <w:szCs w:val="20"/>
          <w:color w:val="auto"/>
        </w:rPr>
      </w:pPr>
      <w:r>
        <w:rPr>
          <w:rFonts w:ascii="Arial" w:cs="Arial" w:eastAsia="Arial" w:hAnsi="Arial"/>
          <w:sz w:val="13"/>
          <w:szCs w:val="13"/>
          <w:color w:val="auto"/>
        </w:rPr>
        <w:t>This letter responds to the letter of the staff of the Securities and Exchange Commission (the “</w:t>
      </w:r>
      <w:r>
        <w:rPr>
          <w:rFonts w:ascii="Arial" w:cs="Arial" w:eastAsia="Arial" w:hAnsi="Arial"/>
          <w:sz w:val="13"/>
          <w:szCs w:val="13"/>
          <w:u w:val="single" w:color="auto"/>
          <w:color w:val="auto"/>
        </w:rPr>
        <w:t>Staff</w:t>
      </w:r>
      <w:r>
        <w:rPr>
          <w:rFonts w:ascii="Arial" w:cs="Arial" w:eastAsia="Arial" w:hAnsi="Arial"/>
          <w:sz w:val="13"/>
          <w:szCs w:val="13"/>
          <w:color w:val="auto"/>
        </w:rPr>
        <w:t>”), dated August 21, 2008, to Grand Canyon Education, Inc. (the “</w:t>
      </w:r>
      <w:r>
        <w:rPr>
          <w:rFonts w:ascii="Arial" w:cs="Arial" w:eastAsia="Arial" w:hAnsi="Arial"/>
          <w:sz w:val="13"/>
          <w:szCs w:val="13"/>
          <w:u w:val="single" w:color="auto"/>
          <w:color w:val="auto"/>
        </w:rPr>
        <w:t>Company</w:t>
      </w:r>
      <w:r>
        <w:rPr>
          <w:rFonts w:ascii="Arial" w:cs="Arial" w:eastAsia="Arial" w:hAnsi="Arial"/>
          <w:sz w:val="13"/>
          <w:szCs w:val="13"/>
          <w:color w:val="auto"/>
        </w:rPr>
        <w:t>”) regarding Amendment No. 1 to Registration Statement on Form S-1, File No. 333-150876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filed by the Company on August 13, 2008.</w:t>
      </w:r>
    </w:p>
    <w:p>
      <w:pPr>
        <w:spacing w:after="0" w:line="49"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This letter sets forth each comment of the Staff in the comment letter (numbered in accordance with the comment letter) and, following each comment, sets forth the Company’s response. We are enclosing a copy of Amendment No. 2 to the Registration Statement on Form S-1, together with a copy that is marked to show the changes from the filing made on August 13, 2008.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Management’s Discussion and Analysis of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Internal Control Over Financial Reporting, page 47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right="220" w:firstLine="162"/>
        <w:spacing w:after="0" w:line="320" w:lineRule="auto"/>
        <w:tabs>
          <w:tab w:leader="none" w:pos="295" w:val="left"/>
        </w:tabs>
        <w:numPr>
          <w:ilvl w:val="0"/>
          <w:numId w:val="283"/>
        </w:numPr>
        <w:rPr>
          <w:rFonts w:ascii="Arial" w:cs="Arial" w:eastAsia="Arial" w:hAnsi="Arial"/>
          <w:sz w:val="12"/>
          <w:szCs w:val="12"/>
          <w:i w:val="1"/>
          <w:iCs w:val="1"/>
          <w:color w:val="auto"/>
        </w:rPr>
      </w:pPr>
      <w:r>
        <w:rPr>
          <w:rFonts w:ascii="Arial" w:cs="Arial" w:eastAsia="Arial" w:hAnsi="Arial"/>
          <w:sz w:val="12"/>
          <w:szCs w:val="12"/>
          <w:i w:val="1"/>
          <w:iCs w:val="1"/>
          <w:color w:val="auto"/>
        </w:rPr>
        <w:t>We note your disclosure on page F-15 regarding errors in the accounting for the shares to be issued in connection with the license agreement with Blanchard Education, LLC and in the accounting for deferred taxes at the date of your conversion from a limited liability company to a corporation. Please expand your disclosure to discuss these errors and their impact in your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290435"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341" w:name="page342"/>
    <w:bookmarkEnd w:id="341"/>
    <w:p>
      <w:pPr>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The accounting errors relating to the shares to be issued in connection with the license agreement with Blanchard Education, LLC were summarized in the fourth bullet point in the list of accounting errors that started on what was page 47 of the Registration Statement. In response to the Staff’s comment, however, the Company deleted the phrase “2004 and 2005” in this fourth bullet point, which now appears on page 50 of the Registration Statement, and replaced it with the phrase “in all periods” to help link the summary with the recent accounting errors relating to the shares to be issued to Blanchard Education, LLC. In addition, in response to the Staff’s comment, the Company has amended the Registration Statement and expanded its disclosure to discuss the errors in the accounting for deferred taxes at the date of its conversion from a limited liability company to a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Regulation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State Education Licensure and Regulation, page 81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firstLine="162"/>
        <w:spacing w:after="0" w:line="264" w:lineRule="auto"/>
        <w:tabs>
          <w:tab w:leader="none" w:pos="295" w:val="left"/>
        </w:tabs>
        <w:numPr>
          <w:ilvl w:val="0"/>
          <w:numId w:val="284"/>
        </w:numPr>
        <w:rPr>
          <w:rFonts w:ascii="Arial" w:cs="Arial" w:eastAsia="Arial" w:hAnsi="Arial"/>
          <w:sz w:val="13"/>
          <w:szCs w:val="13"/>
          <w:i w:val="1"/>
          <w:iCs w:val="1"/>
          <w:color w:val="auto"/>
        </w:rPr>
      </w:pPr>
      <w:r>
        <w:rPr>
          <w:rFonts w:ascii="Arial" w:cs="Arial" w:eastAsia="Arial" w:hAnsi="Arial"/>
          <w:sz w:val="13"/>
          <w:szCs w:val="13"/>
          <w:i w:val="1"/>
          <w:iCs w:val="1"/>
          <w:color w:val="auto"/>
        </w:rPr>
        <w:t>We note your response to comment 14 in our letter dated June 10, 2008. Please revise your disclosure to discuss the information set forth in your response regarding your belief that none of the states in which you are currently licensed or authorized, other than Arizona, are material to your operations, and that you will be able to comply with additional state licensing or authorization requirements that may arise or be asserted in the future.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In response to the Staff’s comment, the Company has amended the Registration Statement to include a statement that the Company believes that none of the states in which it is currently licensed or authorized, other than Arizona, are individually material to its operations, and that it believes it will be able to comply with additional state licensing or authorization requirements that may arise or be asserted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Balance Sheet, page F-3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left="160" w:right="1480" w:firstLine="2"/>
        <w:spacing w:after="0" w:line="378" w:lineRule="auto"/>
        <w:tabs>
          <w:tab w:leader="none" w:pos="291" w:val="left"/>
        </w:tabs>
        <w:numPr>
          <w:ilvl w:val="0"/>
          <w:numId w:val="28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We note your response to comment 24 in our letter dated June 10, 2008 and disclosures in Note 17(b) on page F-30. Please delete the pro forma balance sheet as of December 31, 2007. </w:t>
      </w:r>
      <w:r>
        <w:rPr>
          <w:rFonts w:ascii="Arial" w:cs="Arial" w:eastAsia="Arial" w:hAnsi="Arial"/>
          <w:sz w:val="13"/>
          <w:szCs w:val="13"/>
          <w:i w:val="1"/>
          <w:iCs w:val="1"/>
          <w:u w:val="single" w:color="auto"/>
          <w:color w:val="auto"/>
        </w:rPr>
        <w:t>Company Response: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response to the Staff’s comment, the Company has amended the Registration Statement to delete the pro forma balance sheet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2" w:name="page343"/>
    <w:bookmarkEnd w:id="342"/>
    <w:p>
      <w:pPr>
        <w:ind w:left="1"/>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3</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Note 11. Series B Preferred Stock, page F-23</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left="1" w:right="40" w:firstLine="162"/>
        <w:spacing w:after="0" w:line="276" w:lineRule="auto"/>
        <w:tabs>
          <w:tab w:leader="none" w:pos="296" w:val="left"/>
        </w:tabs>
        <w:numPr>
          <w:ilvl w:val="0"/>
          <w:numId w:val="286"/>
        </w:numPr>
        <w:rPr>
          <w:rFonts w:ascii="Arial" w:cs="Arial" w:eastAsia="Arial" w:hAnsi="Arial"/>
          <w:sz w:val="13"/>
          <w:szCs w:val="13"/>
          <w:i w:val="1"/>
          <w:iCs w:val="1"/>
          <w:color w:val="auto"/>
        </w:rPr>
      </w:pPr>
      <w:r>
        <w:rPr>
          <w:rFonts w:ascii="Arial" w:cs="Arial" w:eastAsia="Arial" w:hAnsi="Arial"/>
          <w:sz w:val="13"/>
          <w:szCs w:val="13"/>
          <w:i w:val="1"/>
          <w:iCs w:val="1"/>
          <w:color w:val="auto"/>
        </w:rPr>
        <w:t>We note your response to comment 33 in our letter dated June 10, 2008. Please disclose that the fair value of Series C preferred stock issued was equal to the carrying amount of the Series B preferred stock at the date of the exchange.</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color w:val="auto"/>
        </w:rPr>
        <w:t>In response to the Staff’s comment, the Company has amended the Registration Statement to disclose that the fair value of Series C preferred stock issued was equal to the carrying amount of the Series B preferred stock at the date of the exchange.</w:t>
      </w:r>
    </w:p>
    <w:p>
      <w:pPr>
        <w:spacing w:after="0" w:line="207" w:lineRule="exact"/>
        <w:rPr>
          <w:sz w:val="20"/>
          <w:szCs w:val="20"/>
          <w:color w:val="auto"/>
        </w:rPr>
      </w:pPr>
    </w:p>
    <w:p>
      <w:pPr>
        <w:jc w:val="center"/>
        <w:ind w:right="-20"/>
        <w:spacing w:after="0"/>
        <w:tabs>
          <w:tab w:leader="none" w:pos="180" w:val="left"/>
          <w:tab w:leader="none" w:pos="180" w:val="left"/>
          <w:tab w:leader="none" w:pos="180" w:val="left"/>
        </w:tabs>
        <w:rPr>
          <w:sz w:val="20"/>
          <w:szCs w:val="20"/>
          <w:color w:val="auto"/>
        </w:rPr>
      </w:pPr>
      <w:r>
        <w:rPr>
          <w:rFonts w:ascii="Arial" w:cs="Arial" w:eastAsia="Arial" w:hAnsi="Arial"/>
          <w:sz w:val="13"/>
          <w:szCs w:val="13"/>
          <w:color w:val="auto"/>
        </w:rPr>
        <w:t>*</w:t>
        <w:tab/>
        <w:t>*</w:t>
        <w:tab/>
        <w:t>*</w:t>
        <w:tab/>
        <w:t>*</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If you require any additional information on these issues, or if we can provide you with any other information that will facilitate your continued review of this filing, please advise us at your earliest convenience. You may reach me at (602) 639-6820.</w:t>
      </w:r>
    </w:p>
    <w:p>
      <w:pPr>
        <w:spacing w:after="0" w:line="128" w:lineRule="exact"/>
        <w:rPr>
          <w:sz w:val="20"/>
          <w:szCs w:val="20"/>
          <w:color w:val="auto"/>
        </w:rPr>
      </w:pPr>
    </w:p>
    <w:p>
      <w:pPr>
        <w:ind w:left="5201"/>
        <w:spacing w:after="0"/>
        <w:rPr>
          <w:sz w:val="20"/>
          <w:szCs w:val="20"/>
          <w:color w:val="auto"/>
        </w:rPr>
      </w:pPr>
      <w:r>
        <w:rPr>
          <w:rFonts w:ascii="Arial" w:cs="Arial" w:eastAsia="Arial" w:hAnsi="Arial"/>
          <w:sz w:val="13"/>
          <w:szCs w:val="13"/>
          <w:color w:val="auto"/>
        </w:rPr>
        <w:t>Sincerely,</w:t>
      </w:r>
    </w:p>
    <w:p>
      <w:pPr>
        <w:spacing w:after="0" w:line="165" w:lineRule="exact"/>
        <w:rPr>
          <w:sz w:val="20"/>
          <w:szCs w:val="20"/>
          <w:color w:val="auto"/>
        </w:rPr>
      </w:pPr>
    </w:p>
    <w:p>
      <w:pPr>
        <w:ind w:left="5201"/>
        <w:spacing w:after="0"/>
        <w:rPr>
          <w:sz w:val="20"/>
          <w:szCs w:val="20"/>
          <w:color w:val="auto"/>
        </w:rPr>
      </w:pPr>
      <w:r>
        <w:rPr>
          <w:rFonts w:ascii="Arial" w:cs="Arial" w:eastAsia="Arial" w:hAnsi="Arial"/>
          <w:sz w:val="13"/>
          <w:szCs w:val="13"/>
          <w:color w:val="auto"/>
        </w:rPr>
        <w:t>Grand Canyon Education, Inc.</w:t>
      </w:r>
    </w:p>
    <w:p>
      <w:pPr>
        <w:spacing w:after="0" w:line="165" w:lineRule="exact"/>
        <w:rPr>
          <w:sz w:val="20"/>
          <w:szCs w:val="20"/>
          <w:color w:val="auto"/>
        </w:rPr>
      </w:pPr>
    </w:p>
    <w:tbl>
      <w:tblPr>
        <w:tblLayout w:type="fixed"/>
        <w:tblInd w:w="5201" w:type="dxa"/>
        <w:tblCellMar>
          <w:top w:w="0" w:type="dxa"/>
          <w:left w:w="0" w:type="dxa"/>
          <w:bottom w:w="0" w:type="dxa"/>
          <w:right w:w="0" w:type="dxa"/>
        </w:tblCellMar>
      </w:tblP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r>
      <w:tr>
        <w:trPr>
          <w:trHeight w:val="149"/>
        </w:trPr>
        <w:tc>
          <w:tcPr>
            <w:tcW w:w="4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40" w:type="dxa"/>
            <w:vAlign w:val="bottom"/>
          </w:tcPr>
          <w:p>
            <w:pPr>
              <w:spacing w:after="0"/>
              <w:rPr>
                <w:sz w:val="20"/>
                <w:szCs w:val="20"/>
                <w:color w:val="auto"/>
              </w:rPr>
            </w:pPr>
            <w:r>
              <w:rPr>
                <w:rFonts w:ascii="Arial" w:cs="Arial" w:eastAsia="Arial" w:hAnsi="Arial"/>
                <w:sz w:val="13"/>
                <w:szCs w:val="13"/>
                <w:color w:val="auto"/>
              </w:rPr>
              <w:t>Christopher C. Richardson</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540" w:type="dxa"/>
            <w:vAlign w:val="bottom"/>
          </w:tcPr>
          <w:p>
            <w:pPr>
              <w:spacing w:after="0"/>
              <w:rPr>
                <w:sz w:val="20"/>
                <w:szCs w:val="20"/>
                <w:color w:val="auto"/>
              </w:rPr>
            </w:pPr>
            <w:r>
              <w:rPr>
                <w:rFonts w:ascii="Arial" w:cs="Arial" w:eastAsia="Arial" w:hAnsi="Arial"/>
                <w:sz w:val="13"/>
                <w:szCs w:val="13"/>
                <w:color w:val="auto"/>
              </w:rPr>
              <w:t>General Counsel</w:t>
            </w:r>
          </w:p>
        </w:tc>
      </w:tr>
    </w:tbl>
    <w:p>
      <w:pPr>
        <w:spacing w:after="0" w:line="71" w:lineRule="exact"/>
        <w:rPr>
          <w:sz w:val="20"/>
          <w:szCs w:val="20"/>
          <w:color w:val="auto"/>
        </w:rPr>
      </w:pPr>
    </w:p>
    <w:p>
      <w:pPr>
        <w:ind w:left="1"/>
        <w:spacing w:after="0"/>
        <w:rPr>
          <w:sz w:val="20"/>
          <w:szCs w:val="20"/>
          <w:color w:val="auto"/>
        </w:rPr>
      </w:pPr>
      <w:r>
        <w:rPr>
          <w:rFonts w:ascii="Arial" w:cs="Arial" w:eastAsia="Arial" w:hAnsi="Arial"/>
          <w:sz w:val="13"/>
          <w:szCs w:val="13"/>
          <w:color w:val="auto"/>
        </w:rPr>
        <w:t>Enclosures</w:t>
      </w:r>
    </w:p>
    <w:p>
      <w:pPr>
        <w:spacing w:after="0" w:line="165" w:lineRule="exact"/>
        <w:rPr>
          <w:sz w:val="20"/>
          <w:szCs w:val="20"/>
          <w:color w:val="auto"/>
        </w:rPr>
      </w:pPr>
    </w:p>
    <w:p>
      <w:pPr>
        <w:ind w:left="581" w:hanging="581"/>
        <w:spacing w:after="0"/>
        <w:tabs>
          <w:tab w:leader="none" w:pos="581" w:val="left"/>
        </w:tabs>
        <w:numPr>
          <w:ilvl w:val="0"/>
          <w:numId w:val="287"/>
        </w:numPr>
        <w:rPr>
          <w:rFonts w:ascii="Arial" w:cs="Arial" w:eastAsia="Arial" w:hAnsi="Arial"/>
          <w:sz w:val="13"/>
          <w:szCs w:val="13"/>
          <w:color w:val="auto"/>
        </w:rPr>
      </w:pPr>
      <w:r>
        <w:rPr>
          <w:rFonts w:ascii="Arial" w:cs="Arial" w:eastAsia="Arial" w:hAnsi="Arial"/>
          <w:sz w:val="13"/>
          <w:szCs w:val="13"/>
          <w:color w:val="auto"/>
        </w:rPr>
        <w:t>DLA Piper US LLP</w:t>
      </w:r>
    </w:p>
    <w:p>
      <w:pPr>
        <w:spacing w:after="0" w:line="15" w:lineRule="exact"/>
        <w:rPr>
          <w:sz w:val="20"/>
          <w:szCs w:val="20"/>
          <w:color w:val="auto"/>
        </w:rPr>
      </w:pPr>
    </w:p>
    <w:p>
      <w:pPr>
        <w:ind w:left="781"/>
        <w:spacing w:after="0"/>
        <w:rPr>
          <w:sz w:val="20"/>
          <w:szCs w:val="20"/>
          <w:color w:val="auto"/>
        </w:rPr>
      </w:pPr>
      <w:r>
        <w:rPr>
          <w:rFonts w:ascii="Arial" w:cs="Arial" w:eastAsia="Arial" w:hAnsi="Arial"/>
          <w:sz w:val="13"/>
          <w:szCs w:val="13"/>
          <w:color w:val="auto"/>
        </w:rPr>
        <w:t>Steven D. Pidgeon, Esq. (via e-mail: steven.pidgeon@dlapiper.com)</w:t>
      </w:r>
    </w:p>
    <w:p>
      <w:pPr>
        <w:spacing w:after="0" w:line="8" w:lineRule="exact"/>
        <w:rPr>
          <w:sz w:val="20"/>
          <w:szCs w:val="20"/>
          <w:color w:val="auto"/>
        </w:rPr>
      </w:pPr>
    </w:p>
    <w:p>
      <w:pPr>
        <w:ind w:left="781"/>
        <w:spacing w:after="0"/>
        <w:rPr>
          <w:sz w:val="20"/>
          <w:szCs w:val="20"/>
          <w:color w:val="auto"/>
        </w:rPr>
      </w:pPr>
      <w:r>
        <w:rPr>
          <w:rFonts w:ascii="Arial" w:cs="Arial" w:eastAsia="Arial" w:hAnsi="Arial"/>
          <w:sz w:val="13"/>
          <w:szCs w:val="13"/>
          <w:color w:val="auto"/>
        </w:rPr>
        <w:t>David P. Lewis, Esq. (via e-mail: david.lewis@dlapiper.com)</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Latham &amp; Watkins LLP</w:t>
      </w:r>
    </w:p>
    <w:p>
      <w:pPr>
        <w:spacing w:after="0" w:line="8" w:lineRule="exact"/>
        <w:rPr>
          <w:sz w:val="20"/>
          <w:szCs w:val="20"/>
          <w:color w:val="auto"/>
        </w:rPr>
      </w:pPr>
    </w:p>
    <w:p>
      <w:pPr>
        <w:ind w:left="781"/>
        <w:spacing w:after="0"/>
        <w:rPr>
          <w:sz w:val="20"/>
          <w:szCs w:val="20"/>
          <w:color w:val="auto"/>
        </w:rPr>
      </w:pPr>
      <w:r>
        <w:rPr>
          <w:rFonts w:ascii="Arial" w:cs="Arial" w:eastAsia="Arial" w:hAnsi="Arial"/>
          <w:sz w:val="13"/>
          <w:szCs w:val="13"/>
          <w:color w:val="auto"/>
        </w:rPr>
        <w:t>Mark A. Stegemoeller, Esq. (via e-mail: mark.stegemoeller@lw.com)</w:t>
      </w:r>
    </w:p>
    <w:p>
      <w:pPr>
        <w:spacing w:after="0" w:line="8" w:lineRule="exact"/>
        <w:rPr>
          <w:sz w:val="20"/>
          <w:szCs w:val="20"/>
          <w:color w:val="auto"/>
        </w:rPr>
      </w:pPr>
    </w:p>
    <w:p>
      <w:pPr>
        <w:ind w:left="781"/>
        <w:spacing w:after="0"/>
        <w:rPr>
          <w:sz w:val="20"/>
          <w:szCs w:val="20"/>
          <w:color w:val="auto"/>
        </w:rPr>
      </w:pPr>
      <w:r>
        <w:rPr>
          <w:rFonts w:ascii="Arial" w:cs="Arial" w:eastAsia="Arial" w:hAnsi="Arial"/>
          <w:sz w:val="13"/>
          <w:szCs w:val="13"/>
          <w:color w:val="auto"/>
        </w:rPr>
        <w:t>Steven B. Stokdyk, Esq. (via e-mail: steven.stokdyk@lw.com)</w:t>
      </w:r>
    </w:p>
    <w:sectPr>
      <w:pgSz w:w="11900" w:h="16838" w:orient="portrait"/>
      <w:cols w:equalWidth="0" w:num="1">
        <w:col w:w="11441"/>
      </w:cols>
      <w:pgMar w:left="219" w:top="7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9F82CD"/>
    <w:multiLevelType w:val="hybridMultilevel"/>
    <w:lvl w:ilvl="0">
      <w:lvlJc w:val="left"/>
      <w:lvlText w:val="(%1)"/>
      <w:numFmt w:val="decimal"/>
      <w:start w:val="1"/>
    </w:lvl>
  </w:abstractNum>
  <w:abstractNum w:abstractNumId="1">
    <w:nsid w:val="61E74EA3"/>
    <w:multiLevelType w:val="hybridMultilevel"/>
    <w:lvl w:ilvl="0">
      <w:lvlJc w:val="left"/>
      <w:lvlText w:val="•"/>
      <w:numFmt w:val="bullet"/>
      <w:start w:val="1"/>
    </w:lvl>
  </w:abstractNum>
  <w:abstractNum w:abstractNumId="2">
    <w:nsid w:val="597B4D84"/>
    <w:multiLevelType w:val="hybridMultilevel"/>
    <w:lvl w:ilvl="0">
      <w:lvlJc w:val="left"/>
      <w:lvlText w:val="•"/>
      <w:numFmt w:val="bullet"/>
      <w:start w:val="1"/>
    </w:lvl>
  </w:abstractNum>
  <w:abstractNum w:abstractNumId="3">
    <w:nsid w:val="F819E7F"/>
    <w:multiLevelType w:val="hybridMultilevel"/>
    <w:lvl w:ilvl="0">
      <w:lvlJc w:val="left"/>
      <w:lvlText w:val="(%1)"/>
      <w:numFmt w:val="decimal"/>
      <w:start w:val="1"/>
    </w:lvl>
  </w:abstractNum>
  <w:abstractNum w:abstractNumId="4">
    <w:nsid w:val="57C7D42D"/>
    <w:multiLevelType w:val="hybridMultilevel"/>
    <w:lvl w:ilvl="0">
      <w:lvlJc w:val="left"/>
      <w:lvlText w:val="•"/>
      <w:numFmt w:val="bullet"/>
      <w:start w:val="1"/>
    </w:lvl>
  </w:abstractNum>
  <w:abstractNum w:abstractNumId="5">
    <w:nsid w:val="312167AD"/>
    <w:multiLevelType w:val="hybridMultilevel"/>
    <w:lvl w:ilvl="0">
      <w:lvlJc w:val="left"/>
      <w:lvlText w:val="(%1)"/>
      <w:numFmt w:val="decimal"/>
      <w:start w:val="1"/>
    </w:lvl>
  </w:abstractNum>
  <w:abstractNum w:abstractNumId="6">
    <w:nsid w:val="631B64D4"/>
    <w:multiLevelType w:val="hybridMultilevel"/>
    <w:lvl w:ilvl="0">
      <w:lvlJc w:val="left"/>
      <w:lvlText w:val="•"/>
      <w:numFmt w:val="bullet"/>
      <w:start w:val="1"/>
    </w:lvl>
  </w:abstractNum>
  <w:abstractNum w:abstractNumId="7">
    <w:nsid w:val="78B5E776"/>
    <w:multiLevelType w:val="hybridMultilevel"/>
    <w:lvl w:ilvl="0">
      <w:lvlJc w:val="left"/>
      <w:lvlText w:val="%1"/>
      <w:numFmt w:val="decimal"/>
      <w:start w:val="1"/>
    </w:lvl>
    <w:lvl w:ilvl="1">
      <w:lvlJc w:val="left"/>
      <w:lvlText w:val="(%2)"/>
      <w:numFmt w:val="lowerLetter"/>
      <w:start w:val="1"/>
    </w:lvl>
  </w:abstractNum>
  <w:abstractNum w:abstractNumId="8">
    <w:nsid w:val="75486E47"/>
    <w:multiLevelType w:val="hybridMultilevel"/>
    <w:lvl w:ilvl="0">
      <w:lvlJc w:val="left"/>
      <w:lvlText w:val="(%1)"/>
      <w:numFmt w:val="decimal"/>
      <w:start w:val="4"/>
    </w:lvl>
    <w:lvl w:ilvl="1">
      <w:lvlJc w:val="left"/>
      <w:lvlText w:val="%2"/>
      <w:numFmt w:val="lowerLetter"/>
      <w:start w:val="1"/>
    </w:lvl>
  </w:abstractNum>
  <w:abstractNum w:abstractNumId="9">
    <w:nsid w:val="6E534CDE"/>
    <w:multiLevelType w:val="hybridMultilevel"/>
    <w:lvl w:ilvl="0">
      <w:lvlJc w:val="left"/>
      <w:lvlText w:val="•"/>
      <w:numFmt w:val="bullet"/>
      <w:start w:val="1"/>
    </w:lvl>
  </w:abstractNum>
  <w:abstractNum w:abstractNumId="10">
    <w:nsid w:val="1A0DDE32"/>
    <w:multiLevelType w:val="hybridMultilevel"/>
    <w:lvl w:ilvl="0">
      <w:lvlJc w:val="left"/>
      <w:lvlText w:val="•"/>
      <w:numFmt w:val="bullet"/>
      <w:start w:val="1"/>
    </w:lvl>
  </w:abstractNum>
  <w:abstractNum w:abstractNumId="11">
    <w:nsid w:val="65968C1C"/>
    <w:multiLevelType w:val="hybridMultilevel"/>
    <w:lvl w:ilvl="0">
      <w:lvlJc w:val="left"/>
      <w:lvlText w:val="•"/>
      <w:numFmt w:val="bullet"/>
      <w:start w:val="1"/>
    </w:lvl>
  </w:abstractNum>
  <w:abstractNum w:abstractNumId="12">
    <w:nsid w:val="46263DEC"/>
    <w:multiLevelType w:val="hybridMultilevel"/>
    <w:lvl w:ilvl="0">
      <w:lvlJc w:val="left"/>
      <w:lvlText w:val="•"/>
      <w:numFmt w:val="bullet"/>
      <w:start w:val="1"/>
    </w:lvl>
  </w:abstractNum>
  <w:abstractNum w:abstractNumId="13">
    <w:nsid w:val="260D8C4A"/>
    <w:multiLevelType w:val="hybridMultilevel"/>
    <w:lvl w:ilvl="0">
      <w:lvlJc w:val="left"/>
      <w:lvlText w:val="•"/>
      <w:numFmt w:val="bullet"/>
      <w:start w:val="1"/>
    </w:lvl>
  </w:abstractNum>
  <w:abstractNum w:abstractNumId="14">
    <w:nsid w:val="73D4D3C4"/>
    <w:multiLevelType w:val="hybridMultilevel"/>
    <w:lvl w:ilvl="0">
      <w:lvlJc w:val="left"/>
      <w:lvlText w:val="•"/>
      <w:numFmt w:val="bullet"/>
      <w:start w:val="1"/>
    </w:lvl>
  </w:abstractNum>
  <w:abstractNum w:abstractNumId="15">
    <w:nsid w:val="746F2E30"/>
    <w:multiLevelType w:val="hybridMultilevel"/>
    <w:lvl w:ilvl="0">
      <w:lvlJc w:val="left"/>
      <w:lvlText w:val="•"/>
      <w:numFmt w:val="bullet"/>
      <w:start w:val="1"/>
    </w:lvl>
  </w:abstractNum>
  <w:abstractNum w:abstractNumId="16">
    <w:nsid w:val="6FDE8AF6"/>
    <w:multiLevelType w:val="hybridMultilevel"/>
    <w:lvl w:ilvl="0">
      <w:lvlJc w:val="left"/>
      <w:lvlText w:val="(%1)"/>
      <w:numFmt w:val="decimal"/>
      <w:start w:val="1"/>
    </w:lvl>
  </w:abstractNum>
  <w:abstractNum w:abstractNumId="17">
    <w:nsid w:val="3FC32E20"/>
    <w:multiLevelType w:val="hybridMultilevel"/>
    <w:lvl w:ilvl="0">
      <w:lvlJc w:val="left"/>
      <w:lvlText w:val="•"/>
      <w:numFmt w:val="bullet"/>
      <w:start w:val="1"/>
    </w:lvl>
    <w:lvl w:ilvl="1">
      <w:lvlJc w:val="left"/>
      <w:lvlText w:val="(%2)"/>
      <w:numFmt w:val="lowerRoman"/>
      <w:start w:val="1"/>
    </w:lvl>
  </w:abstractNum>
  <w:abstractNum w:abstractNumId="18">
    <w:nsid w:val="49C0E823"/>
    <w:multiLevelType w:val="hybridMultilevel"/>
    <w:lvl w:ilvl="0">
      <w:lvlJc w:val="left"/>
      <w:lvlText w:val="(%1)"/>
      <w:numFmt w:val="decimal"/>
      <w:start w:val="1"/>
    </w:lvl>
  </w:abstractNum>
  <w:abstractNum w:abstractNumId="19">
    <w:nsid w:val="14D53685"/>
    <w:multiLevelType w:val="hybridMultilevel"/>
    <w:lvl w:ilvl="0">
      <w:lvlJc w:val="left"/>
      <w:lvlText w:val="(%1)"/>
      <w:numFmt w:val="decimal"/>
      <w:start w:val="1"/>
    </w:lvl>
    <w:lvl w:ilvl="1">
      <w:lvlJc w:val="left"/>
      <w:lvlText w:val="•"/>
      <w:numFmt w:val="bullet"/>
      <w:start w:val="1"/>
    </w:lvl>
  </w:abstractNum>
  <w:abstractNum w:abstractNumId="20">
    <w:nsid w:val="230F856C"/>
    <w:multiLevelType w:val="hybridMultilevel"/>
    <w:lvl w:ilvl="0">
      <w:lvlJc w:val="left"/>
      <w:lvlText w:val="%1"/>
      <w:numFmt w:val="decimal"/>
      <w:start w:val="1"/>
    </w:lvl>
    <w:lvl w:ilvl="1">
      <w:lvlJc w:val="left"/>
      <w:lvlText w:val="(%2)"/>
      <w:numFmt w:val="lowerLetter"/>
      <w:start w:val="1"/>
    </w:lvl>
  </w:abstractNum>
  <w:abstractNum w:abstractNumId="21">
    <w:nsid w:val="6EAA85FB"/>
    <w:multiLevelType w:val="hybridMultilevel"/>
    <w:lvl w:ilvl="0">
      <w:lvlJc w:val="left"/>
      <w:lvlText w:val="(%1)"/>
      <w:numFmt w:val="decimal"/>
      <w:start w:val="5"/>
    </w:lvl>
    <w:lvl w:ilvl="1">
      <w:lvlJc w:val="left"/>
      <w:lvlText w:val="%2"/>
      <w:numFmt w:val="lowerLetter"/>
      <w:start w:val="1"/>
    </w:lvl>
  </w:abstractNum>
  <w:abstractNum w:abstractNumId="22">
    <w:nsid w:val="3F06ECB2"/>
    <w:multiLevelType w:val="hybridMultilevel"/>
    <w:lvl w:ilvl="0">
      <w:lvlJc w:val="left"/>
      <w:lvlText w:val="*"/>
      <w:numFmt w:val="bullet"/>
      <w:start w:val="1"/>
    </w:lvl>
  </w:abstractNum>
  <w:abstractNum w:abstractNumId="23">
    <w:nsid w:val="3B594807"/>
    <w:multiLevelType w:val="hybridMultilevel"/>
    <w:lvl w:ilvl="0">
      <w:lvlJc w:val="left"/>
      <w:lvlText w:val="•"/>
      <w:numFmt w:val="bullet"/>
      <w:start w:val="1"/>
    </w:lvl>
  </w:abstractNum>
  <w:abstractNum w:abstractNumId="24">
    <w:nsid w:val="6CAA2304"/>
    <w:multiLevelType w:val="hybridMultilevel"/>
    <w:lvl w:ilvl="0">
      <w:lvlJc w:val="left"/>
      <w:lvlText w:val="•"/>
      <w:numFmt w:val="bullet"/>
      <w:start w:val="1"/>
    </w:lvl>
  </w:abstractNum>
  <w:abstractNum w:abstractNumId="25">
    <w:nsid w:val="3F7C2FF4"/>
    <w:multiLevelType w:val="hybridMultilevel"/>
    <w:lvl w:ilvl="0">
      <w:lvlJc w:val="left"/>
      <w:lvlText w:val="(%1)"/>
      <w:numFmt w:val="decimal"/>
      <w:start w:val="1"/>
    </w:lvl>
  </w:abstractNum>
  <w:abstractNum w:abstractNumId="26">
    <w:nsid w:val="25413BEC"/>
    <w:multiLevelType w:val="hybridMultilevel"/>
    <w:lvl w:ilvl="0">
      <w:lvlJc w:val="left"/>
      <w:lvlText w:val="(%1)"/>
      <w:numFmt w:val="decimal"/>
      <w:start w:val="1"/>
    </w:lvl>
  </w:abstractNum>
  <w:abstractNum w:abstractNumId="27">
    <w:nsid w:val="17180B0B"/>
    <w:multiLevelType w:val="hybridMultilevel"/>
    <w:lvl w:ilvl="0">
      <w:lvlJc w:val="left"/>
      <w:lvlText w:val="•"/>
      <w:numFmt w:val="bullet"/>
      <w:start w:val="1"/>
    </w:lvl>
  </w:abstractNum>
  <w:abstractNum w:abstractNumId="28">
    <w:nsid w:val="579328B9"/>
    <w:multiLevelType w:val="hybridMultilevel"/>
    <w:lvl w:ilvl="0">
      <w:lvlJc w:val="left"/>
      <w:lvlText w:val="•"/>
      <w:numFmt w:val="bullet"/>
      <w:start w:val="1"/>
    </w:lvl>
  </w:abstractNum>
  <w:abstractNum w:abstractNumId="29">
    <w:nsid w:val="5D205E20"/>
    <w:multiLevelType w:val="hybridMultilevel"/>
    <w:lvl w:ilvl="0">
      <w:lvlJc w:val="left"/>
      <w:lvlText w:val="(%1)"/>
      <w:numFmt w:val="lowerLetter"/>
      <w:start w:val="1"/>
    </w:lvl>
    <w:lvl w:ilvl="1">
      <w:lvlJc w:val="left"/>
      <w:lvlText w:val="(%2)"/>
      <w:numFmt w:val="lowerLetter"/>
      <w:start w:val="3"/>
    </w:lvl>
  </w:abstractNum>
  <w:abstractNum w:abstractNumId="30">
    <w:nsid w:val="11CCA8BA"/>
    <w:multiLevelType w:val="hybridMultilevel"/>
    <w:lvl w:ilvl="0">
      <w:lvlJc w:val="left"/>
      <w:lvlText w:val="•"/>
      <w:numFmt w:val="bullet"/>
      <w:start w:val="1"/>
    </w:lvl>
  </w:abstractNum>
  <w:abstractNum w:abstractNumId="31">
    <w:nsid w:val="4D32AB86"/>
    <w:multiLevelType w:val="hybridMultilevel"/>
    <w:lvl w:ilvl="0">
      <w:lvlJc w:val="left"/>
      <w:lvlText w:val="•"/>
      <w:numFmt w:val="bullet"/>
      <w:start w:val="1"/>
    </w:lvl>
  </w:abstractNum>
  <w:abstractNum w:abstractNumId="32">
    <w:nsid w:val="3F07ACC3"/>
    <w:multiLevelType w:val="hybridMultilevel"/>
    <w:lvl w:ilvl="0">
      <w:lvlJc w:val="left"/>
      <w:lvlText w:val="•"/>
      <w:numFmt w:val="bullet"/>
      <w:start w:val="1"/>
    </w:lvl>
  </w:abstractNum>
  <w:abstractNum w:abstractNumId="33">
    <w:nsid w:val="6B47F63E"/>
    <w:multiLevelType w:val="hybridMultilevel"/>
    <w:lvl w:ilvl="0">
      <w:lvlJc w:val="left"/>
      <w:lvlText w:val="•"/>
      <w:numFmt w:val="bullet"/>
      <w:start w:val="1"/>
    </w:lvl>
  </w:abstractNum>
  <w:abstractNum w:abstractNumId="34">
    <w:nsid w:val="5CB44A05"/>
    <w:multiLevelType w:val="hybridMultilevel"/>
    <w:lvl w:ilvl="0">
      <w:lvlJc w:val="left"/>
      <w:lvlText w:val="*"/>
      <w:numFmt w:val="bullet"/>
      <w:start w:val="1"/>
    </w:lvl>
  </w:abstractNum>
  <w:abstractNum w:abstractNumId="35">
    <w:nsid w:val="16CF80F1"/>
    <w:multiLevelType w:val="hybridMultilevel"/>
    <w:lvl w:ilvl="0">
      <w:lvlJc w:val="left"/>
      <w:lvlText w:val="•"/>
      <w:numFmt w:val="bullet"/>
      <w:start w:val="1"/>
    </w:lvl>
  </w:abstractNum>
  <w:abstractNum w:abstractNumId="36">
    <w:nsid w:val="1C695DEC"/>
    <w:multiLevelType w:val="hybridMultilevel"/>
    <w:lvl w:ilvl="0">
      <w:lvlJc w:val="left"/>
      <w:lvlText w:val="*"/>
      <w:numFmt w:val="bullet"/>
      <w:start w:val="1"/>
    </w:lvl>
  </w:abstractNum>
  <w:abstractNum w:abstractNumId="37">
    <w:nsid w:val="3FCFAED9"/>
    <w:multiLevelType w:val="hybridMultilevel"/>
    <w:lvl w:ilvl="0">
      <w:lvlJc w:val="left"/>
      <w:lvlText w:val="*"/>
      <w:numFmt w:val="bullet"/>
      <w:start w:val="1"/>
    </w:lvl>
  </w:abstractNum>
  <w:abstractNum w:abstractNumId="38">
    <w:nsid w:val="F856867"/>
    <w:multiLevelType w:val="hybridMultilevel"/>
    <w:lvl w:ilvl="0">
      <w:lvlJc w:val="left"/>
      <w:lvlText w:val="•"/>
      <w:numFmt w:val="bullet"/>
      <w:start w:val="1"/>
    </w:lvl>
  </w:abstractNum>
  <w:abstractNum w:abstractNumId="39">
    <w:nsid w:val="11B1CC33"/>
    <w:multiLevelType w:val="hybridMultilevel"/>
    <w:lvl w:ilvl="0">
      <w:lvlJc w:val="left"/>
      <w:lvlText w:val="*"/>
      <w:numFmt w:val="bullet"/>
      <w:start w:val="1"/>
    </w:lvl>
  </w:abstractNum>
  <w:abstractNum w:abstractNumId="40">
    <w:nsid w:val="2E22FBB7"/>
    <w:multiLevelType w:val="hybridMultilevel"/>
    <w:lvl w:ilvl="0">
      <w:lvlJc w:val="left"/>
      <w:lvlText w:val="•"/>
      <w:numFmt w:val="bullet"/>
      <w:start w:val="1"/>
    </w:lvl>
  </w:abstractNum>
  <w:abstractNum w:abstractNumId="41">
    <w:nsid w:val="29934699"/>
    <w:multiLevelType w:val="hybridMultilevel"/>
    <w:lvl w:ilvl="0">
      <w:lvlJc w:val="left"/>
      <w:lvlText w:val="•"/>
      <w:numFmt w:val="bullet"/>
      <w:start w:val="1"/>
    </w:lvl>
  </w:abstractNum>
  <w:abstractNum w:abstractNumId="42">
    <w:nsid w:val="77485850"/>
    <w:multiLevelType w:val="hybridMultilevel"/>
    <w:lvl w:ilvl="0">
      <w:lvlJc w:val="left"/>
      <w:lvlText w:val="•"/>
      <w:numFmt w:val="bullet"/>
      <w:start w:val="1"/>
    </w:lvl>
  </w:abstractNum>
  <w:abstractNum w:abstractNumId="43">
    <w:nsid w:val="744939A3"/>
    <w:multiLevelType w:val="hybridMultilevel"/>
    <w:lvl w:ilvl="0">
      <w:lvlJc w:val="left"/>
      <w:lvlText w:val="•"/>
      <w:numFmt w:val="bullet"/>
      <w:start w:val="1"/>
    </w:lvl>
  </w:abstractNum>
  <w:abstractNum w:abstractNumId="44">
    <w:nsid w:val="4FA0D2E3"/>
    <w:multiLevelType w:val="hybridMultilevel"/>
    <w:lvl w:ilvl="0">
      <w:lvlJc w:val="left"/>
      <w:lvlText w:val="•"/>
      <w:numFmt w:val="bullet"/>
      <w:start w:val="1"/>
    </w:lvl>
  </w:abstractNum>
  <w:abstractNum w:abstractNumId="45">
    <w:nsid w:val="6B1D2C14"/>
    <w:multiLevelType w:val="hybridMultilevel"/>
    <w:lvl w:ilvl="0">
      <w:lvlJc w:val="left"/>
      <w:lvlText w:val="•"/>
      <w:numFmt w:val="bullet"/>
      <w:start w:val="1"/>
    </w:lvl>
  </w:abstractNum>
  <w:abstractNum w:abstractNumId="46">
    <w:nsid w:val="68B867D3"/>
    <w:multiLevelType w:val="hybridMultilevel"/>
    <w:lvl w:ilvl="0">
      <w:lvlJc w:val="left"/>
      <w:lvlText w:val="•"/>
      <w:numFmt w:val="bullet"/>
      <w:start w:val="1"/>
    </w:lvl>
  </w:abstractNum>
  <w:abstractNum w:abstractNumId="47">
    <w:nsid w:val="3F7F5DD9"/>
    <w:multiLevelType w:val="hybridMultilevel"/>
    <w:lvl w:ilvl="0">
      <w:lvlJc w:val="left"/>
      <w:lvlText w:val="•"/>
      <w:numFmt w:val="bullet"/>
      <w:start w:val="1"/>
    </w:lvl>
  </w:abstractNum>
  <w:abstractNum w:abstractNumId="48">
    <w:nsid w:val="2AE05A34"/>
    <w:multiLevelType w:val="hybridMultilevel"/>
    <w:lvl w:ilvl="0">
      <w:lvlJc w:val="left"/>
      <w:lvlText w:val="•"/>
      <w:numFmt w:val="bullet"/>
      <w:start w:val="1"/>
    </w:lvl>
  </w:abstractNum>
  <w:abstractNum w:abstractNumId="49">
    <w:nsid w:val="32794FF7"/>
    <w:multiLevelType w:val="hybridMultilevel"/>
    <w:lvl w:ilvl="0">
      <w:lvlJc w:val="left"/>
      <w:lvlText w:val="•"/>
      <w:numFmt w:val="bullet"/>
      <w:start w:val="1"/>
    </w:lvl>
  </w:abstractNum>
  <w:abstractNum w:abstractNumId="50">
    <w:nsid w:val="5454945E"/>
    <w:multiLevelType w:val="hybridMultilevel"/>
    <w:lvl w:ilvl="0">
      <w:lvlJc w:val="left"/>
      <w:lvlText w:val="•"/>
      <w:numFmt w:val="bullet"/>
      <w:start w:val="1"/>
    </w:lvl>
  </w:abstractNum>
  <w:abstractNum w:abstractNumId="51">
    <w:nsid w:val="4DEFDFA0"/>
    <w:multiLevelType w:val="hybridMultilevel"/>
    <w:lvl w:ilvl="0">
      <w:lvlJc w:val="left"/>
      <w:lvlText w:val="•"/>
      <w:numFmt w:val="bullet"/>
      <w:start w:val="1"/>
    </w:lvl>
  </w:abstractNum>
  <w:abstractNum w:abstractNumId="52">
    <w:nsid w:val="2123D5F2"/>
    <w:multiLevelType w:val="hybridMultilevel"/>
    <w:lvl w:ilvl="0">
      <w:lvlJc w:val="left"/>
      <w:lvlText w:val="•"/>
      <w:numFmt w:val="bullet"/>
      <w:start w:val="1"/>
    </w:lvl>
  </w:abstractNum>
  <w:abstractNum w:abstractNumId="53">
    <w:nsid w:val="135B8110"/>
    <w:multiLevelType w:val="hybridMultilevel"/>
    <w:lvl w:ilvl="0">
      <w:lvlJc w:val="left"/>
      <w:lvlText w:val="•"/>
      <w:numFmt w:val="bullet"/>
      <w:start w:val="1"/>
    </w:lvl>
  </w:abstractNum>
  <w:abstractNum w:abstractNumId="54">
    <w:nsid w:val="94927A8"/>
    <w:multiLevelType w:val="hybridMultilevel"/>
    <w:lvl w:ilvl="0">
      <w:lvlJc w:val="left"/>
      <w:lvlText w:val="•"/>
      <w:numFmt w:val="bullet"/>
      <w:start w:val="1"/>
    </w:lvl>
  </w:abstractNum>
  <w:abstractNum w:abstractNumId="55">
    <w:nsid w:val="DCDF8F6"/>
    <w:multiLevelType w:val="hybridMultilevel"/>
    <w:lvl w:ilvl="0">
      <w:lvlJc w:val="left"/>
      <w:lvlText w:val="•"/>
      <w:numFmt w:val="bullet"/>
      <w:start w:val="1"/>
    </w:lvl>
  </w:abstractNum>
  <w:abstractNum w:abstractNumId="56">
    <w:nsid w:val="52D7B105"/>
    <w:multiLevelType w:val="hybridMultilevel"/>
    <w:lvl w:ilvl="0">
      <w:lvlJc w:val="left"/>
      <w:lvlText w:val="•"/>
      <w:numFmt w:val="bullet"/>
      <w:start w:val="1"/>
    </w:lvl>
  </w:abstractNum>
  <w:abstractNum w:abstractNumId="57">
    <w:nsid w:val="2E8A6394"/>
    <w:multiLevelType w:val="hybridMultilevel"/>
    <w:lvl w:ilvl="0">
      <w:lvlJc w:val="left"/>
      <w:lvlText w:val="•"/>
      <w:numFmt w:val="bullet"/>
      <w:start w:val="1"/>
    </w:lvl>
  </w:abstractNum>
  <w:abstractNum w:abstractNumId="58">
    <w:nsid w:val="24E60401"/>
    <w:multiLevelType w:val="hybridMultilevel"/>
    <w:lvl w:ilvl="0">
      <w:lvlJc w:val="left"/>
      <w:lvlText w:val="(%1)"/>
      <w:numFmt w:val="lowerRoman"/>
      <w:start w:val="1"/>
    </w:lvl>
  </w:abstractNum>
  <w:abstractNum w:abstractNumId="59">
    <w:nsid w:val="2A6AD9BE"/>
    <w:multiLevelType w:val="hybridMultilevel"/>
    <w:lvl w:ilvl="0">
      <w:lvlJc w:val="left"/>
      <w:lvlText w:val="(%1)"/>
      <w:numFmt w:val="decimal"/>
      <w:start w:val="1"/>
    </w:lvl>
  </w:abstractNum>
  <w:abstractNum w:abstractNumId="60">
    <w:nsid w:val="BAAC1B4"/>
    <w:multiLevelType w:val="hybridMultilevel"/>
    <w:lvl w:ilvl="0">
      <w:lvlJc w:val="left"/>
      <w:lvlText w:val="(%1)"/>
      <w:numFmt w:val="decimal"/>
      <w:start w:val="1"/>
    </w:lvl>
  </w:abstractNum>
  <w:abstractNum w:abstractNumId="61">
    <w:nsid w:val="36B2ACBC"/>
    <w:multiLevelType w:val="hybridMultilevel"/>
    <w:lvl w:ilvl="0">
      <w:lvlJc w:val="left"/>
      <w:lvlText w:val="(%1)"/>
      <w:numFmt w:val="decimal"/>
      <w:start w:val="3"/>
    </w:lvl>
  </w:abstractNum>
  <w:abstractNum w:abstractNumId="62">
    <w:nsid w:val="779D8544"/>
    <w:multiLevelType w:val="hybridMultilevel"/>
    <w:lvl w:ilvl="0">
      <w:lvlJc w:val="left"/>
      <w:lvlText w:val="(%1)"/>
      <w:numFmt w:val="decimal"/>
      <w:start w:val="1"/>
    </w:lvl>
  </w:abstractNum>
  <w:abstractNum w:abstractNumId="63">
    <w:nsid w:val="4AB26E78"/>
    <w:multiLevelType w:val="hybridMultilevel"/>
    <w:lvl w:ilvl="0">
      <w:lvlJc w:val="left"/>
      <w:lvlText w:val="•"/>
      <w:numFmt w:val="bullet"/>
      <w:start w:val="1"/>
    </w:lvl>
  </w:abstractNum>
  <w:abstractNum w:abstractNumId="64">
    <w:nsid w:val="21FAA2FA"/>
    <w:multiLevelType w:val="hybridMultilevel"/>
    <w:lvl w:ilvl="0">
      <w:lvlJc w:val="left"/>
      <w:lvlText w:val="•"/>
      <w:numFmt w:val="bullet"/>
      <w:start w:val="1"/>
    </w:lvl>
  </w:abstractNum>
  <w:abstractNum w:abstractNumId="65">
    <w:nsid w:val="5451CF49"/>
    <w:multiLevelType w:val="hybridMultilevel"/>
    <w:lvl w:ilvl="0">
      <w:lvlJc w:val="left"/>
      <w:lvlText w:val="(%1)"/>
      <w:numFmt w:val="decimal"/>
      <w:start w:val="1"/>
    </w:lvl>
    <w:lvl w:ilvl="1">
      <w:lvlJc w:val="left"/>
      <w:lvlText w:val="•"/>
      <w:numFmt w:val="bullet"/>
      <w:start w:val="1"/>
    </w:lvl>
  </w:abstractNum>
  <w:abstractNum w:abstractNumId="66">
    <w:nsid w:val="6181EF69"/>
    <w:multiLevelType w:val="hybridMultilevel"/>
    <w:lvl w:ilvl="0">
      <w:lvlJc w:val="left"/>
      <w:lvlText w:val="•"/>
      <w:numFmt w:val="bullet"/>
      <w:start w:val="1"/>
    </w:lvl>
  </w:abstractNum>
  <w:abstractNum w:abstractNumId="67">
    <w:nsid w:val="3E6400E6"/>
    <w:multiLevelType w:val="hybridMultilevel"/>
    <w:lvl w:ilvl="0">
      <w:lvlJc w:val="left"/>
      <w:lvlText w:val="(%1)"/>
      <w:numFmt w:val="decimal"/>
      <w:start w:val="5"/>
    </w:lvl>
  </w:abstractNum>
  <w:abstractNum w:abstractNumId="68">
    <w:nsid w:val="14217E23"/>
    <w:multiLevelType w:val="hybridMultilevel"/>
    <w:lvl w:ilvl="0">
      <w:lvlJc w:val="left"/>
      <w:lvlText w:val="(%1)"/>
      <w:numFmt w:val="decimal"/>
      <w:start w:val="9"/>
    </w:lvl>
    <w:lvl w:ilvl="1">
      <w:lvlJc w:val="left"/>
      <w:lvlText w:val="(%2)"/>
      <w:numFmt w:val="decimal"/>
      <w:start w:val="10"/>
    </w:lvl>
    <w:lvl w:ilvl="2">
      <w:lvlJc w:val="left"/>
      <w:lvlText w:val="•"/>
      <w:numFmt w:val="bullet"/>
      <w:start w:val="1"/>
    </w:lvl>
  </w:abstractNum>
  <w:abstractNum w:abstractNumId="69">
    <w:nsid w:val="710757D0"/>
    <w:multiLevelType w:val="hybridMultilevel"/>
    <w:lvl w:ilvl="0">
      <w:lvlJc w:val="left"/>
      <w:lvlText w:val="(%1)"/>
      <w:numFmt w:val="decimal"/>
      <w:start w:val="11"/>
    </w:lvl>
  </w:abstractNum>
  <w:abstractNum w:abstractNumId="70">
    <w:nsid w:val="5015CD1A"/>
    <w:multiLevelType w:val="hybridMultilevel"/>
    <w:lvl w:ilvl="0">
      <w:lvlJc w:val="left"/>
      <w:lvlText w:val="•"/>
      <w:numFmt w:val="bullet"/>
      <w:start w:val="1"/>
    </w:lvl>
  </w:abstractNum>
  <w:abstractNum w:abstractNumId="71">
    <w:nsid w:val="424479DA"/>
    <w:multiLevelType w:val="hybridMultilevel"/>
    <w:lvl w:ilvl="0">
      <w:lvlJc w:val="left"/>
      <w:lvlText w:val="•"/>
      <w:numFmt w:val="bullet"/>
      <w:start w:val="1"/>
    </w:lvl>
  </w:abstractNum>
  <w:abstractNum w:abstractNumId="72">
    <w:nsid w:val="1A9A9E69"/>
    <w:multiLevelType w:val="hybridMultilevel"/>
    <w:lvl w:ilvl="0">
      <w:lvlJc w:val="left"/>
      <w:lvlText w:val="•"/>
      <w:numFmt w:val="bullet"/>
      <w:start w:val="1"/>
    </w:lvl>
  </w:abstractNum>
  <w:abstractNum w:abstractNumId="73">
    <w:nsid w:val="475E256A"/>
    <w:multiLevelType w:val="hybridMultilevel"/>
    <w:lvl w:ilvl="0">
      <w:lvlJc w:val="left"/>
      <w:lvlText w:val="•"/>
      <w:numFmt w:val="bullet"/>
      <w:start w:val="1"/>
    </w:lvl>
  </w:abstractNum>
  <w:abstractNum w:abstractNumId="74">
    <w:nsid w:val="368DB37E"/>
    <w:multiLevelType w:val="hybridMultilevel"/>
    <w:lvl w:ilvl="0">
      <w:lvlJc w:val="left"/>
      <w:lvlText w:val="•"/>
      <w:numFmt w:val="bullet"/>
      <w:start w:val="1"/>
    </w:lvl>
  </w:abstractNum>
  <w:abstractNum w:abstractNumId="75">
    <w:nsid w:val="6A3B714C"/>
    <w:multiLevelType w:val="hybridMultilevel"/>
    <w:lvl w:ilvl="0">
      <w:lvlJc w:val="left"/>
      <w:lvlText w:val="•"/>
      <w:numFmt w:val="bullet"/>
      <w:start w:val="1"/>
    </w:lvl>
  </w:abstractNum>
  <w:abstractNum w:abstractNumId="76">
    <w:nsid w:val="327B517E"/>
    <w:multiLevelType w:val="hybridMultilevel"/>
    <w:lvl w:ilvl="0">
      <w:lvlJc w:val="left"/>
      <w:lvlText w:val="•"/>
      <w:numFmt w:val="bullet"/>
      <w:start w:val="1"/>
    </w:lvl>
  </w:abstractNum>
  <w:abstractNum w:abstractNumId="77">
    <w:nsid w:val="1F461B51"/>
    <w:multiLevelType w:val="hybridMultilevel"/>
    <w:lvl w:ilvl="0">
      <w:lvlJc w:val="left"/>
      <w:lvlText w:val="•"/>
      <w:numFmt w:val="bullet"/>
      <w:start w:val="1"/>
    </w:lvl>
  </w:abstractNum>
  <w:abstractNum w:abstractNumId="78">
    <w:nsid w:val="29BACF25"/>
    <w:multiLevelType w:val="hybridMultilevel"/>
    <w:lvl w:ilvl="0">
      <w:lvlJc w:val="left"/>
      <w:lvlText w:val="•"/>
      <w:numFmt w:val="bullet"/>
      <w:start w:val="1"/>
    </w:lvl>
  </w:abstractNum>
  <w:abstractNum w:abstractNumId="79">
    <w:nsid w:val="5D5BABB3"/>
    <w:multiLevelType w:val="hybridMultilevel"/>
    <w:lvl w:ilvl="0">
      <w:lvlJc w:val="left"/>
      <w:lvlText w:val="•"/>
      <w:numFmt w:val="bullet"/>
      <w:start w:val="1"/>
    </w:lvl>
  </w:abstractNum>
  <w:abstractNum w:abstractNumId="80">
    <w:nsid w:val="51BF6B48"/>
    <w:multiLevelType w:val="hybridMultilevel"/>
    <w:lvl w:ilvl="0">
      <w:lvlJc w:val="left"/>
      <w:lvlText w:val="%1"/>
      <w:numFmt w:val="decimal"/>
      <w:start w:val="1"/>
    </w:lvl>
    <w:lvl w:ilvl="1">
      <w:lvlJc w:val="left"/>
      <w:lvlText w:val="(%2)"/>
      <w:numFmt w:val="lowerLetter"/>
      <w:start w:val="2"/>
    </w:lvl>
  </w:abstractNum>
  <w:abstractNum w:abstractNumId="81">
    <w:nsid w:val="7E0F6384"/>
    <w:multiLevelType w:val="hybridMultilevel"/>
    <w:lvl w:ilvl="0">
      <w:lvlJc w:val="left"/>
      <w:lvlText w:val="(%1)"/>
      <w:numFmt w:val="decimal"/>
      <w:start w:val="3"/>
    </w:lvl>
    <w:lvl w:ilvl="1">
      <w:lvlJc w:val="left"/>
      <w:lvlText w:val="(%2)"/>
      <w:numFmt w:val="lowerLetter"/>
      <w:start w:val="3"/>
    </w:lvl>
  </w:abstractNum>
  <w:abstractNum w:abstractNumId="82">
    <w:nsid w:val="2B4B8B53"/>
    <w:multiLevelType w:val="hybridMultilevel"/>
    <w:lvl w:ilvl="0">
      <w:lvlJc w:val="left"/>
      <w:lvlText w:val="(%1)"/>
      <w:numFmt w:val="lowerLetter"/>
      <w:start w:val="1"/>
    </w:lvl>
  </w:abstractNum>
  <w:abstractNum w:abstractNumId="83">
    <w:nsid w:val="72E3413A"/>
    <w:multiLevelType w:val="hybridMultilevel"/>
    <w:lvl w:ilvl="0">
      <w:lvlJc w:val="left"/>
      <w:lvlText w:val="•"/>
      <w:numFmt w:val="bullet"/>
      <w:start w:val="1"/>
    </w:lvl>
  </w:abstractNum>
  <w:abstractNum w:abstractNumId="84">
    <w:nsid w:val="116AE494"/>
    <w:multiLevelType w:val="hybridMultilevel"/>
    <w:lvl w:ilvl="0">
      <w:lvlJc w:val="left"/>
      <w:lvlText w:val="%1."/>
      <w:numFmt w:val="decimal"/>
      <w:start w:val="1"/>
    </w:lvl>
  </w:abstractNum>
  <w:abstractNum w:abstractNumId="85">
    <w:nsid w:val="3494B2FB"/>
    <w:multiLevelType w:val="hybridMultilevel"/>
    <w:lvl w:ilvl="0">
      <w:lvlJc w:val="left"/>
      <w:lvlText w:val="%1."/>
      <w:numFmt w:val="decimal"/>
      <w:start w:val="2"/>
    </w:lvl>
  </w:abstractNum>
  <w:abstractNum w:abstractNumId="86">
    <w:nsid w:val="B13A31"/>
    <w:multiLevelType w:val="hybridMultilevel"/>
    <w:lvl w:ilvl="0">
      <w:lvlJc w:val="left"/>
      <w:lvlText w:val="•"/>
      <w:numFmt w:val="bullet"/>
      <w:start w:val="1"/>
    </w:lvl>
  </w:abstractNum>
  <w:abstractNum w:abstractNumId="87">
    <w:nsid w:val="64429599"/>
    <w:multiLevelType w:val="hybridMultilevel"/>
    <w:lvl w:ilvl="0">
      <w:lvlJc w:val="left"/>
      <w:lvlText w:val="•"/>
      <w:numFmt w:val="bullet"/>
      <w:start w:val="1"/>
    </w:lvl>
  </w:abstractNum>
  <w:abstractNum w:abstractNumId="88">
    <w:nsid w:val="631F1690"/>
    <w:multiLevelType w:val="hybridMultilevel"/>
    <w:lvl w:ilvl="0">
      <w:lvlJc w:val="left"/>
      <w:lvlText w:val="•"/>
      <w:numFmt w:val="bullet"/>
      <w:start w:val="1"/>
    </w:lvl>
  </w:abstractNum>
  <w:abstractNum w:abstractNumId="89">
    <w:nsid w:val="25973E32"/>
    <w:multiLevelType w:val="hybridMultilevel"/>
    <w:lvl w:ilvl="0">
      <w:lvlJc w:val="left"/>
      <w:lvlText w:val="%1."/>
      <w:numFmt w:val="decimal"/>
      <w:start w:val="3"/>
    </w:lvl>
  </w:abstractNum>
  <w:abstractNum w:abstractNumId="90">
    <w:nsid w:val="EAD6F57"/>
    <w:multiLevelType w:val="hybridMultilevel"/>
    <w:lvl w:ilvl="0">
      <w:lvlJc w:val="left"/>
      <w:lvlText w:val="%1."/>
      <w:numFmt w:val="decimal"/>
      <w:start w:val="4"/>
    </w:lvl>
  </w:abstractNum>
  <w:abstractNum w:abstractNumId="91">
    <w:nsid w:val="6EC9D844"/>
    <w:multiLevelType w:val="hybridMultilevel"/>
    <w:lvl w:ilvl="0">
      <w:lvlJc w:val="left"/>
      <w:lvlText w:val="%1."/>
      <w:numFmt w:val="decimal"/>
      <w:start w:val="6"/>
    </w:lvl>
  </w:abstractNum>
  <w:abstractNum w:abstractNumId="92">
    <w:nsid w:val="5C49EAEE"/>
    <w:multiLevelType w:val="hybridMultilevel"/>
    <w:lvl w:ilvl="0">
      <w:lvlJc w:val="left"/>
      <w:lvlText w:val="%1."/>
      <w:numFmt w:val="decimal"/>
      <w:start w:val="7"/>
    </w:lvl>
  </w:abstractNum>
  <w:abstractNum w:abstractNumId="93">
    <w:nsid w:val="64AF49B"/>
    <w:multiLevelType w:val="hybridMultilevel"/>
    <w:lvl w:ilvl="0">
      <w:lvlJc w:val="left"/>
      <w:lvlText w:val="%1."/>
      <w:numFmt w:val="decimal"/>
      <w:start w:val="9"/>
    </w:lvl>
  </w:abstractNum>
  <w:abstractNum w:abstractNumId="94">
    <w:nsid w:val="397C46BC"/>
    <w:multiLevelType w:val="hybridMultilevel"/>
    <w:lvl w:ilvl="0">
      <w:lvlJc w:val="left"/>
      <w:lvlText w:val="%1."/>
      <w:numFmt w:val="decimal"/>
      <w:start w:val="10"/>
    </w:lvl>
  </w:abstractNum>
  <w:abstractNum w:abstractNumId="95">
    <w:nsid w:val="7E448DE9"/>
    <w:multiLevelType w:val="hybridMultilevel"/>
    <w:lvl w:ilvl="0">
      <w:lvlJc w:val="left"/>
      <w:lvlText w:val="%1."/>
      <w:numFmt w:val="decimal"/>
      <w:start w:val="11"/>
    </w:lvl>
  </w:abstractNum>
  <w:abstractNum w:abstractNumId="96">
    <w:nsid w:val="5A9CC3E5"/>
    <w:multiLevelType w:val="hybridMultilevel"/>
    <w:lvl w:ilvl="0">
      <w:lvlJc w:val="left"/>
      <w:lvlText w:val="%1."/>
      <w:numFmt w:val="decimal"/>
      <w:start w:val="12"/>
    </w:lvl>
  </w:abstractNum>
  <w:abstractNum w:abstractNumId="97">
    <w:nsid w:val="1AFE3625"/>
    <w:multiLevelType w:val="hybridMultilevel"/>
    <w:lvl w:ilvl="0">
      <w:lvlJc w:val="left"/>
      <w:lvlText w:val="%1."/>
      <w:numFmt w:val="decimal"/>
      <w:start w:val="13"/>
    </w:lvl>
  </w:abstractNum>
  <w:abstractNum w:abstractNumId="98">
    <w:nsid w:val="3CA88ECF"/>
    <w:multiLevelType w:val="hybridMultilevel"/>
    <w:lvl w:ilvl="0">
      <w:lvlJc w:val="left"/>
      <w:lvlText w:val="%1."/>
      <w:numFmt w:val="decimal"/>
      <w:start w:val="14"/>
    </w:lvl>
  </w:abstractNum>
  <w:abstractNum w:abstractNumId="99">
    <w:nsid w:val="6EBE4208"/>
    <w:multiLevelType w:val="hybridMultilevel"/>
    <w:lvl w:ilvl="0">
      <w:lvlJc w:val="left"/>
      <w:lvlText w:val="%1."/>
      <w:numFmt w:val="decimal"/>
      <w:start w:val="15"/>
    </w:lvl>
  </w:abstractNum>
  <w:abstractNum w:abstractNumId="100">
    <w:nsid w:val="C058DF5"/>
    <w:multiLevelType w:val="hybridMultilevel"/>
    <w:lvl w:ilvl="0">
      <w:lvlJc w:val="left"/>
      <w:lvlText w:val="%1."/>
      <w:numFmt w:val="decimal"/>
      <w:start w:val="16"/>
    </w:lvl>
  </w:abstractNum>
  <w:abstractNum w:abstractNumId="101">
    <w:nsid w:val="CBE5BE9"/>
    <w:multiLevelType w:val="hybridMultilevel"/>
    <w:lvl w:ilvl="0">
      <w:lvlJc w:val="left"/>
      <w:lvlText w:val="%1"/>
      <w:numFmt w:val="decimal"/>
      <w:start w:val="1"/>
    </w:lvl>
    <w:lvl w:ilvl="1">
      <w:lvlJc w:val="left"/>
      <w:lvlText w:val="(%2)"/>
      <w:numFmt w:val="decimal"/>
      <w:start w:val="1"/>
    </w:lvl>
  </w:abstractNum>
  <w:abstractNum w:abstractNumId="102">
    <w:nsid w:val="3102BBE2"/>
    <w:multiLevelType w:val="hybridMultilevel"/>
    <w:lvl w:ilvl="0">
      <w:lvlJc w:val="left"/>
      <w:lvlText w:val="%1."/>
      <w:numFmt w:val="decimal"/>
      <w:start w:val="17"/>
    </w:lvl>
    <w:lvl w:ilvl="1">
      <w:lvlJc w:val="left"/>
      <w:lvlText w:val="%2"/>
      <w:numFmt w:val="decimal"/>
      <w:start w:val="1"/>
    </w:lvl>
  </w:abstractNum>
  <w:abstractNum w:abstractNumId="103">
    <w:nsid w:val="26A02C5E"/>
    <w:multiLevelType w:val="hybridMultilevel"/>
    <w:lvl w:ilvl="0">
      <w:lvlJc w:val="left"/>
      <w:lvlText w:val="%1."/>
      <w:numFmt w:val="decimal"/>
      <w:start w:val="18"/>
    </w:lvl>
  </w:abstractNum>
  <w:abstractNum w:abstractNumId="104">
    <w:nsid w:val="541C8153"/>
    <w:multiLevelType w:val="hybridMultilevel"/>
    <w:lvl w:ilvl="0">
      <w:lvlJc w:val="left"/>
      <w:lvlText w:val="$"/>
      <w:numFmt w:val="bullet"/>
      <w:start w:val="1"/>
    </w:lvl>
  </w:abstractNum>
  <w:abstractNum w:abstractNumId="105">
    <w:nsid w:val="67906F60"/>
    <w:multiLevelType w:val="hybridMultilevel"/>
    <w:lvl w:ilvl="0">
      <w:lvlJc w:val="left"/>
      <w:lvlText w:val="$"/>
      <w:numFmt w:val="bullet"/>
      <w:start w:val="1"/>
    </w:lvl>
  </w:abstractNum>
  <w:abstractNum w:abstractNumId="106">
    <w:nsid w:val="10DB9DAA"/>
    <w:multiLevelType w:val="hybridMultilevel"/>
    <w:lvl w:ilvl="0">
      <w:lvlJc w:val="left"/>
      <w:lvlText w:val="#"/>
      <w:numFmt w:val="bullet"/>
      <w:start w:val="1"/>
    </w:lvl>
  </w:abstractNum>
  <w:abstractNum w:abstractNumId="107">
    <w:nsid w:val="697D2D2"/>
    <w:multiLevelType w:val="hybridMultilevel"/>
    <w:lvl w:ilvl="0">
      <w:lvlJc w:val="left"/>
      <w:lvlText w:val="†"/>
      <w:numFmt w:val="bullet"/>
      <w:start w:val="1"/>
    </w:lvl>
    <w:lvl w:ilvl="1">
      <w:lvlJc w:val="left"/>
      <w:lvlText w:val="(%2)"/>
      <w:numFmt w:val="lowerLetter"/>
      <w:start w:val="2"/>
    </w:lvl>
  </w:abstractNum>
  <w:abstractNum w:abstractNumId="108">
    <w:nsid w:val="6D68AB2"/>
    <w:multiLevelType w:val="hybridMultilevel"/>
    <w:lvl w:ilvl="0">
      <w:lvlJc w:val="left"/>
      <w:lvlText w:val="(%1)"/>
      <w:numFmt w:val="lowerRoman"/>
      <w:start w:val="1"/>
    </w:lvl>
  </w:abstractNum>
  <w:abstractNum w:abstractNumId="109">
    <w:nsid w:val="3A966CD0"/>
    <w:multiLevelType w:val="hybridMultilevel"/>
    <w:lvl w:ilvl="0">
      <w:lvlJc w:val="left"/>
      <w:lvlText w:val="#"/>
      <w:numFmt w:val="bullet"/>
      <w:start w:val="1"/>
    </w:lvl>
  </w:abstractNum>
  <w:abstractNum w:abstractNumId="110">
    <w:nsid w:val="63F37E85"/>
    <w:multiLevelType w:val="hybridMultilevel"/>
    <w:lvl w:ilvl="0">
      <w:lvlJc w:val="left"/>
      <w:lvlText w:val="†"/>
      <w:numFmt w:val="bullet"/>
      <w:start w:val="1"/>
    </w:lvl>
  </w:abstractNum>
  <w:abstractNum w:abstractNumId="111">
    <w:nsid w:val="5895F5FA"/>
    <w:multiLevelType w:val="hybridMultilevel"/>
    <w:lvl w:ilvl="0">
      <w:lvlJc w:val="left"/>
      <w:lvlText w:val="(%1)"/>
      <w:numFmt w:val="lowerLetter"/>
      <w:start w:val="1"/>
    </w:lvl>
  </w:abstractNum>
  <w:abstractNum w:abstractNumId="112">
    <w:nsid w:val="38A5D054"/>
    <w:multiLevelType w:val="hybridMultilevel"/>
    <w:lvl w:ilvl="0">
      <w:lvlJc w:val="left"/>
      <w:lvlText w:val="%1"/>
      <w:numFmt w:val="lowerLetter"/>
      <w:start w:val="1"/>
    </w:lvl>
    <w:lvl w:ilvl="1">
      <w:lvlJc w:val="left"/>
      <w:lvlText w:val="(%2)"/>
      <w:numFmt w:val="lowerLetter"/>
      <w:start w:val="1"/>
    </w:lvl>
  </w:abstractNum>
  <w:abstractNum w:abstractNumId="113">
    <w:nsid w:val="F3F09D8"/>
    <w:multiLevelType w:val="hybridMultilevel"/>
    <w:lvl w:ilvl="0">
      <w:lvlJc w:val="left"/>
      <w:lvlText w:val="(%1)"/>
      <w:numFmt w:val="lowerLetter"/>
      <w:start w:val="61"/>
    </w:lvl>
    <w:lvl w:ilvl="1">
      <w:lvlJc w:val="left"/>
      <w:lvlText w:val="(%2)"/>
      <w:numFmt w:val="lowerLetter"/>
      <w:start w:val="2"/>
    </w:lvl>
  </w:abstractNum>
  <w:abstractNum w:abstractNumId="114">
    <w:nsid w:val="4B793735"/>
    <w:multiLevelType w:val="hybridMultilevel"/>
    <w:lvl w:ilvl="0">
      <w:lvlJc w:val="left"/>
      <w:lvlText w:val="(%1)"/>
      <w:numFmt w:val="lowerLetter"/>
      <w:start w:val="1"/>
    </w:lvl>
  </w:abstractNum>
  <w:abstractNum w:abstractNumId="115">
    <w:nsid w:val="4A10B4E8"/>
    <w:multiLevelType w:val="hybridMultilevel"/>
    <w:lvl w:ilvl="0">
      <w:lvlJc w:val="left"/>
      <w:lvlText w:val="(%1)"/>
      <w:numFmt w:val="lowerLetter"/>
      <w:start w:val="2"/>
    </w:lvl>
  </w:abstractNum>
  <w:abstractNum w:abstractNumId="116">
    <w:nsid w:val="43D3BCD4"/>
    <w:multiLevelType w:val="hybridMultilevel"/>
    <w:lvl w:ilvl="0">
      <w:lvlJc w:val="left"/>
      <w:lvlText w:val="(%1)"/>
      <w:numFmt w:val="lowerLetter"/>
      <w:start w:val="1"/>
    </w:lvl>
  </w:abstractNum>
  <w:abstractNum w:abstractNumId="117">
    <w:nsid w:val="4C2A7166"/>
    <w:multiLevelType w:val="hybridMultilevel"/>
    <w:lvl w:ilvl="0">
      <w:lvlJc w:val="left"/>
      <w:lvlText w:val="(%1)"/>
      <w:numFmt w:val="lowerLetter"/>
      <w:start w:val="2"/>
    </w:lvl>
    <w:lvl w:ilvl="1">
      <w:lvlJc w:val="left"/>
      <w:lvlText w:val="(%2)"/>
      <w:numFmt w:val="lowerRoman"/>
      <w:start w:val="1"/>
    </w:lvl>
  </w:abstractNum>
  <w:abstractNum w:abstractNumId="118">
    <w:nsid w:val="2E534A82"/>
    <w:multiLevelType w:val="hybridMultilevel"/>
    <w:lvl w:ilvl="0">
      <w:lvlJc w:val="left"/>
      <w:lvlText w:val="%1"/>
      <w:numFmt w:val="lowerLetter"/>
      <w:start w:val="1"/>
    </w:lvl>
    <w:lvl w:ilvl="1">
      <w:lvlJc w:val="left"/>
      <w:lvlText w:val="(%2)"/>
      <w:numFmt w:val="lowerLetter"/>
      <w:start w:val="22"/>
    </w:lvl>
  </w:abstractNum>
  <w:abstractNum w:abstractNumId="119">
    <w:nsid w:val="26F2D364"/>
    <w:multiLevelType w:val="hybridMultilevel"/>
    <w:lvl w:ilvl="0">
      <w:lvlJc w:val="left"/>
      <w:lvlText w:val="(%1)"/>
      <w:numFmt w:val="lowerLetter"/>
      <w:start w:val="1"/>
    </w:lvl>
    <w:lvl w:ilvl="1">
      <w:lvlJc w:val="left"/>
      <w:lvlText w:val="%2"/>
      <w:numFmt w:val="lowerLetter"/>
      <w:start w:val="1"/>
    </w:lvl>
  </w:abstractNum>
  <w:abstractNum w:abstractNumId="120">
    <w:nsid w:val="71C1AF98"/>
    <w:multiLevelType w:val="hybridMultilevel"/>
    <w:lvl w:ilvl="0">
      <w:lvlJc w:val="left"/>
      <w:lvlText w:val="(%1)"/>
      <w:numFmt w:val="lowerLetter"/>
      <w:start w:val="3"/>
    </w:lvl>
  </w:abstractNum>
  <w:abstractNum w:abstractNumId="121">
    <w:nsid w:val="3D00B9D9"/>
    <w:multiLevelType w:val="hybridMultilevel"/>
    <w:lvl w:ilvl="0">
      <w:lvlJc w:val="left"/>
      <w:lvlText w:val="(%1)"/>
      <w:numFmt w:val="lowerLetter"/>
      <w:start w:val="1"/>
    </w:lvl>
    <w:lvl w:ilvl="1">
      <w:lvlJc w:val="left"/>
      <w:lvlText w:val="(%2)"/>
      <w:numFmt w:val="lowerRoman"/>
      <w:start w:val="1"/>
    </w:lvl>
  </w:abstractNum>
  <w:abstractNum w:abstractNumId="122">
    <w:nsid w:val="15BCABA8"/>
    <w:multiLevelType w:val="hybridMultilevel"/>
    <w:lvl w:ilvl="0">
      <w:lvlJc w:val="left"/>
      <w:lvlText w:val="(%1)"/>
      <w:numFmt w:val="lowerLetter"/>
      <w:start w:val="3"/>
    </w:lvl>
  </w:abstractNum>
  <w:abstractNum w:abstractNumId="123">
    <w:nsid w:val="4E0B9A87"/>
    <w:multiLevelType w:val="hybridMultilevel"/>
    <w:lvl w:ilvl="0">
      <w:lvlJc w:val="left"/>
      <w:lvlText w:val="(%1)"/>
      <w:numFmt w:val="lowerLetter"/>
      <w:start w:val="1"/>
    </w:lvl>
  </w:abstractNum>
  <w:abstractNum w:abstractNumId="124">
    <w:nsid w:val="434BAE75"/>
    <w:multiLevelType w:val="hybridMultilevel"/>
    <w:lvl w:ilvl="0">
      <w:lvlJc w:val="left"/>
      <w:lvlText w:val="(%1)"/>
      <w:numFmt w:val="lowerLetter"/>
      <w:start w:val="7"/>
    </w:lvl>
  </w:abstractNum>
  <w:abstractNum w:abstractNumId="125">
    <w:nsid w:val="4F38F265"/>
    <w:multiLevelType w:val="hybridMultilevel"/>
    <w:lvl w:ilvl="0">
      <w:lvlJc w:val="left"/>
      <w:lvlText w:val="(%1)"/>
      <w:numFmt w:val="lowerLetter"/>
      <w:start w:val="1"/>
    </w:lvl>
  </w:abstractNum>
  <w:abstractNum w:abstractNumId="126">
    <w:nsid w:val="4C502870"/>
    <w:multiLevelType w:val="hybridMultilevel"/>
    <w:lvl w:ilvl="0">
      <w:lvlJc w:val="left"/>
      <w:lvlText w:val="(%1)"/>
      <w:numFmt w:val="lowerLetter"/>
      <w:start w:val="3"/>
    </w:lvl>
  </w:abstractNum>
  <w:abstractNum w:abstractNumId="127">
    <w:nsid w:val="1DE8725A"/>
    <w:multiLevelType w:val="hybridMultilevel"/>
    <w:lvl w:ilvl="0">
      <w:lvlJc w:val="left"/>
      <w:lvlText w:val="(%1)"/>
      <w:numFmt w:val="lowerLetter"/>
      <w:start w:val="1"/>
    </w:lvl>
  </w:abstractNum>
  <w:abstractNum w:abstractNumId="128">
    <w:nsid w:val="6A37288A"/>
    <w:multiLevelType w:val="hybridMultilevel"/>
    <w:lvl w:ilvl="0">
      <w:lvlJc w:val="left"/>
      <w:lvlText w:val="(%1)"/>
      <w:numFmt w:val="lowerLetter"/>
      <w:start w:val="3"/>
    </w:lvl>
  </w:abstractNum>
  <w:abstractNum w:abstractNumId="129">
    <w:nsid w:val="8F8B73F"/>
    <w:multiLevelType w:val="hybridMultilevel"/>
    <w:lvl w:ilvl="0">
      <w:lvlJc w:val="left"/>
      <w:lvlText w:val="(%1)"/>
      <w:numFmt w:val="lowerLetter"/>
      <w:start w:val="5"/>
    </w:lvl>
  </w:abstractNum>
  <w:abstractNum w:abstractNumId="130">
    <w:nsid w:val="CA6B462"/>
    <w:multiLevelType w:val="hybridMultilevel"/>
    <w:lvl w:ilvl="0">
      <w:lvlJc w:val="left"/>
      <w:lvlText w:val="(%1)"/>
      <w:numFmt w:val="lowerLetter"/>
      <w:start w:val="1"/>
    </w:lvl>
  </w:abstractNum>
  <w:abstractNum w:abstractNumId="131">
    <w:nsid w:val="763CB680"/>
    <w:multiLevelType w:val="hybridMultilevel"/>
    <w:lvl w:ilvl="0">
      <w:lvlJc w:val="left"/>
      <w:lvlText w:val="(%1)"/>
      <w:numFmt w:val="lowerLetter"/>
      <w:start w:val="1"/>
    </w:lvl>
  </w:abstractNum>
  <w:abstractNum w:abstractNumId="132">
    <w:nsid w:val="15B71329"/>
    <w:multiLevelType w:val="hybridMultilevel"/>
    <w:lvl w:ilvl="0">
      <w:lvlJc w:val="left"/>
      <w:lvlText w:val="(%1)"/>
      <w:numFmt w:val="lowerLetter"/>
      <w:start w:val="3"/>
    </w:lvl>
  </w:abstractNum>
  <w:abstractNum w:abstractNumId="133">
    <w:nsid w:val="3DA97044"/>
    <w:multiLevelType w:val="hybridMultilevel"/>
    <w:lvl w:ilvl="0">
      <w:lvlJc w:val="left"/>
      <w:lvlText w:val="(%1)"/>
      <w:numFmt w:val="lowerLetter"/>
      <w:start w:val="8"/>
    </w:lvl>
  </w:abstractNum>
  <w:abstractNum w:abstractNumId="134">
    <w:nsid w:val="1CDCE2DE"/>
    <w:multiLevelType w:val="hybridMultilevel"/>
    <w:lvl w:ilvl="0">
      <w:lvlJc w:val="left"/>
      <w:lvlText w:val="(%1)"/>
      <w:numFmt w:val="lowerLetter"/>
      <w:start w:val="1"/>
    </w:lvl>
  </w:abstractNum>
  <w:abstractNum w:abstractNumId="135">
    <w:nsid w:val="69D3947C"/>
    <w:multiLevelType w:val="hybridMultilevel"/>
    <w:lvl w:ilvl="0">
      <w:lvlJc w:val="left"/>
      <w:lvlText w:val="(%1)"/>
      <w:numFmt w:val="lowerRoman"/>
      <w:start w:val="1"/>
    </w:lvl>
  </w:abstractNum>
  <w:abstractNum w:abstractNumId="136">
    <w:nsid w:val="2539DFA5"/>
    <w:multiLevelType w:val="hybridMultilevel"/>
    <w:lvl w:ilvl="0">
      <w:lvlJc w:val="left"/>
      <w:lvlText w:val="%1"/>
      <w:numFmt w:val="lowerLetter"/>
      <w:start w:val="1"/>
    </w:lvl>
    <w:lvl w:ilvl="1">
      <w:lvlJc w:val="left"/>
      <w:lvlText w:val="(%2)"/>
      <w:numFmt w:val="lowerRoman"/>
      <w:start w:val="8"/>
    </w:lvl>
  </w:abstractNum>
  <w:abstractNum w:abstractNumId="137">
    <w:nsid w:val="2DB88089"/>
    <w:multiLevelType w:val="hybridMultilevel"/>
    <w:lvl w:ilvl="0">
      <w:lvlJc w:val="left"/>
      <w:lvlText w:val="(%1)"/>
      <w:numFmt w:val="lowerLetter"/>
      <w:start w:val="2"/>
    </w:lvl>
    <w:lvl w:ilvl="1">
      <w:lvlJc w:val="left"/>
      <w:lvlText w:val="(%2)"/>
      <w:numFmt w:val="lowerRoman"/>
      <w:start w:val="1"/>
    </w:lvl>
  </w:abstractNum>
  <w:abstractNum w:abstractNumId="138">
    <w:nsid w:val="706B674E"/>
    <w:multiLevelType w:val="hybridMultilevel"/>
    <w:lvl w:ilvl="0">
      <w:lvlJc w:val="left"/>
      <w:lvlText w:val="%1."/>
      <w:numFmt w:val="decimal"/>
      <w:start w:val="1"/>
    </w:lvl>
  </w:abstractNum>
  <w:abstractNum w:abstractNumId="139">
    <w:nsid w:val="2C106A57"/>
    <w:multiLevelType w:val="hybridMultilevel"/>
    <w:lvl w:ilvl="0">
      <w:lvlJc w:val="left"/>
      <w:lvlText w:val="%1."/>
      <w:numFmt w:val="decimal"/>
      <w:start w:val="3"/>
    </w:lvl>
  </w:abstractNum>
  <w:abstractNum w:abstractNumId="140">
    <w:nsid w:val="684EED59"/>
    <w:multiLevelType w:val="hybridMultilevel"/>
    <w:lvl w:ilvl="0">
      <w:lvlJc w:val="left"/>
      <w:lvlText w:val="%1."/>
      <w:numFmt w:val="decimal"/>
      <w:start w:val="4"/>
    </w:lvl>
  </w:abstractNum>
  <w:abstractNum w:abstractNumId="141">
    <w:nsid w:val="545EE5D3"/>
    <w:multiLevelType w:val="hybridMultilevel"/>
    <w:lvl w:ilvl="0">
      <w:lvlJc w:val="left"/>
      <w:lvlText w:val="%1."/>
      <w:numFmt w:val="decimal"/>
      <w:start w:val="5"/>
    </w:lvl>
  </w:abstractNum>
  <w:abstractNum w:abstractNumId="142">
    <w:nsid w:val="4A66051"/>
    <w:multiLevelType w:val="hybridMultilevel"/>
    <w:lvl w:ilvl="0">
      <w:lvlJc w:val="left"/>
      <w:lvlText w:val="(%1)"/>
      <w:numFmt w:val="lowerLetter"/>
      <w:start w:val="1"/>
    </w:lvl>
    <w:lvl w:ilvl="1">
      <w:lvlJc w:val="left"/>
      <w:lvlText w:val="(%2)"/>
      <w:numFmt w:val="lowerLetter"/>
      <w:start w:val="9"/>
    </w:lvl>
  </w:abstractNum>
  <w:abstractNum w:abstractNumId="143">
    <w:nsid w:val="20F4BDAD"/>
    <w:multiLevelType w:val="hybridMultilevel"/>
    <w:lvl w:ilvl="0">
      <w:lvlJc w:val="left"/>
      <w:lvlText w:val="(%1)"/>
      <w:numFmt w:val="lowerRoman"/>
      <w:start w:val="2"/>
    </w:lvl>
  </w:abstractNum>
  <w:abstractNum w:abstractNumId="144">
    <w:nsid w:val="639DEFAC"/>
    <w:multiLevelType w:val="hybridMultilevel"/>
    <w:lvl w:ilvl="0">
      <w:lvlJc w:val="left"/>
      <w:lvlText w:val="(%1)"/>
      <w:numFmt w:val="lowerLetter"/>
      <w:start w:val="1"/>
    </w:lvl>
  </w:abstractNum>
  <w:abstractNum w:abstractNumId="145">
    <w:nsid w:val="501F9786"/>
    <w:multiLevelType w:val="hybridMultilevel"/>
    <w:lvl w:ilvl="0">
      <w:lvlJc w:val="left"/>
      <w:lvlText w:val="%1"/>
      <w:numFmt w:val="decimal"/>
      <w:start w:val="1"/>
    </w:lvl>
    <w:lvl w:ilvl="1">
      <w:lvlJc w:val="left"/>
      <w:lvlText w:val="(%2)"/>
      <w:numFmt w:val="lowerLetter"/>
      <w:start w:val="2"/>
    </w:lvl>
  </w:abstractNum>
  <w:abstractNum w:abstractNumId="146">
    <w:nsid w:val="6B057295"/>
    <w:multiLevelType w:val="hybridMultilevel"/>
    <w:lvl w:ilvl="0">
      <w:lvlJc w:val="left"/>
      <w:lvlText w:val="%1."/>
      <w:numFmt w:val="decimal"/>
      <w:start w:val="8"/>
    </w:lvl>
    <w:lvl w:ilvl="1">
      <w:lvlJc w:val="left"/>
      <w:lvlText w:val="%2"/>
      <w:numFmt w:val="lowerLetter"/>
      <w:start w:val="1"/>
    </w:lvl>
  </w:abstractNum>
  <w:abstractNum w:abstractNumId="147">
    <w:nsid w:val="2771AC80"/>
    <w:multiLevelType w:val="hybridMultilevel"/>
    <w:lvl w:ilvl="0">
      <w:lvlJc w:val="left"/>
      <w:lvlText w:val="%1."/>
      <w:numFmt w:val="decimal"/>
      <w:start w:val="10"/>
    </w:lvl>
  </w:abstractNum>
  <w:abstractNum w:abstractNumId="148">
    <w:nsid w:val="1C4A08EC"/>
    <w:multiLevelType w:val="hybridMultilevel"/>
    <w:lvl w:ilvl="0">
      <w:lvlJc w:val="left"/>
      <w:lvlText w:val="%1."/>
      <w:numFmt w:val="decimal"/>
      <w:start w:val="13"/>
    </w:lvl>
  </w:abstractNum>
  <w:abstractNum w:abstractNumId="149">
    <w:nsid w:val="1958BD17"/>
    <w:multiLevelType w:val="hybridMultilevel"/>
    <w:lvl w:ilvl="0">
      <w:lvlJc w:val="left"/>
      <w:lvlText w:val="%1."/>
      <w:numFmt w:val="decimal"/>
      <w:start w:val="14"/>
    </w:lvl>
  </w:abstractNum>
  <w:abstractNum w:abstractNumId="150">
    <w:nsid w:val="4E647FE4"/>
    <w:multiLevelType w:val="hybridMultilevel"/>
    <w:lvl w:ilvl="0">
      <w:lvlJc w:val="left"/>
      <w:lvlText w:val="(%1)"/>
      <w:numFmt w:val="lowerLetter"/>
      <w:start w:val="2"/>
    </w:lvl>
  </w:abstractNum>
  <w:abstractNum w:abstractNumId="151">
    <w:nsid w:val="E0BB885"/>
    <w:multiLevelType w:val="hybridMultilevel"/>
    <w:lvl w:ilvl="0">
      <w:lvlJc w:val="left"/>
      <w:lvlText w:val="%1."/>
      <w:numFmt w:val="decimal"/>
      <w:start w:val="15"/>
    </w:lvl>
  </w:abstractNum>
  <w:abstractNum w:abstractNumId="152">
    <w:nsid w:val="565976F1"/>
    <w:multiLevelType w:val="hybridMultilevel"/>
    <w:lvl w:ilvl="0">
      <w:lvlJc w:val="left"/>
      <w:lvlText w:val="%1."/>
      <w:numFmt w:val="decimal"/>
      <w:start w:val="1"/>
    </w:lvl>
  </w:abstractNum>
  <w:abstractNum w:abstractNumId="153">
    <w:nsid w:val="64212B8C"/>
    <w:multiLevelType w:val="hybridMultilevel"/>
    <w:lvl w:ilvl="0">
      <w:lvlJc w:val="left"/>
      <w:lvlText w:val="%1."/>
      <w:numFmt w:val="decimal"/>
      <w:start w:val="3"/>
    </w:lvl>
  </w:abstractNum>
  <w:abstractNum w:abstractNumId="154">
    <w:nsid w:val="5C17530C"/>
    <w:multiLevelType w:val="hybridMultilevel"/>
    <w:lvl w:ilvl="0">
      <w:lvlJc w:val="left"/>
      <w:lvlText w:val="%1."/>
      <w:numFmt w:val="decimal"/>
      <w:start w:val="4"/>
    </w:lvl>
  </w:abstractNum>
  <w:abstractNum w:abstractNumId="155">
    <w:nsid w:val="19A52566"/>
    <w:multiLevelType w:val="hybridMultilevel"/>
    <w:lvl w:ilvl="0">
      <w:lvlJc w:val="left"/>
      <w:lvlText w:val="%1."/>
      <w:numFmt w:val="decimal"/>
      <w:start w:val="5"/>
    </w:lvl>
  </w:abstractNum>
  <w:abstractNum w:abstractNumId="156">
    <w:nsid w:val="335A1DF1"/>
    <w:multiLevelType w:val="hybridMultilevel"/>
    <w:lvl w:ilvl="0">
      <w:lvlJc w:val="left"/>
      <w:lvlText w:val="(%1)"/>
      <w:numFmt w:val="lowerLetter"/>
      <w:start w:val="1"/>
    </w:lvl>
    <w:lvl w:ilvl="1">
      <w:lvlJc w:val="left"/>
      <w:lvlText w:val="(%2)"/>
      <w:numFmt w:val="lowerLetter"/>
      <w:start w:val="9"/>
    </w:lvl>
  </w:abstractNum>
  <w:abstractNum w:abstractNumId="157">
    <w:nsid w:val="28677B7C"/>
    <w:multiLevelType w:val="hybridMultilevel"/>
    <w:lvl w:ilvl="0">
      <w:lvlJc w:val="left"/>
      <w:lvlText w:val="(%1)"/>
      <w:numFmt w:val="lowerRoman"/>
      <w:start w:val="2"/>
    </w:lvl>
  </w:abstractNum>
  <w:abstractNum w:abstractNumId="158">
    <w:nsid w:val="378D97C0"/>
    <w:multiLevelType w:val="hybridMultilevel"/>
    <w:lvl w:ilvl="0">
      <w:lvlJc w:val="left"/>
      <w:lvlText w:val="(%1)"/>
      <w:numFmt w:val="lowerLetter"/>
      <w:start w:val="1"/>
    </w:lvl>
  </w:abstractNum>
  <w:abstractNum w:abstractNumId="159">
    <w:nsid w:val="1D91467C"/>
    <w:multiLevelType w:val="hybridMultilevel"/>
    <w:lvl w:ilvl="0">
      <w:lvlJc w:val="left"/>
      <w:lvlText w:val="%1"/>
      <w:numFmt w:val="decimal"/>
      <w:start w:val="1"/>
    </w:lvl>
    <w:lvl w:ilvl="1">
      <w:lvlJc w:val="left"/>
      <w:lvlText w:val="(%2)"/>
      <w:numFmt w:val="lowerLetter"/>
      <w:start w:val="2"/>
    </w:lvl>
  </w:abstractNum>
  <w:abstractNum w:abstractNumId="160">
    <w:nsid w:val="316032BB"/>
    <w:multiLevelType w:val="hybridMultilevel"/>
    <w:lvl w:ilvl="0">
      <w:lvlJc w:val="left"/>
      <w:lvlText w:val="%1."/>
      <w:numFmt w:val="decimal"/>
      <w:start w:val="8"/>
    </w:lvl>
    <w:lvl w:ilvl="1">
      <w:lvlJc w:val="left"/>
      <w:lvlText w:val="%2"/>
      <w:numFmt w:val="lowerLetter"/>
      <w:start w:val="1"/>
    </w:lvl>
  </w:abstractNum>
  <w:abstractNum w:abstractNumId="161">
    <w:nsid w:val="44344C22"/>
    <w:multiLevelType w:val="hybridMultilevel"/>
    <w:lvl w:ilvl="0">
      <w:lvlJc w:val="left"/>
      <w:lvlText w:val="%1."/>
      <w:numFmt w:val="decimal"/>
      <w:start w:val="10"/>
    </w:lvl>
  </w:abstractNum>
  <w:abstractNum w:abstractNumId="162">
    <w:nsid w:val="13CDFCFC"/>
    <w:multiLevelType w:val="hybridMultilevel"/>
    <w:lvl w:ilvl="0">
      <w:lvlJc w:val="left"/>
      <w:lvlText w:val="%1."/>
      <w:numFmt w:val="decimal"/>
      <w:start w:val="13"/>
    </w:lvl>
  </w:abstractNum>
  <w:abstractNum w:abstractNumId="163">
    <w:nsid w:val="471745E4"/>
    <w:multiLevelType w:val="hybridMultilevel"/>
    <w:lvl w:ilvl="0">
      <w:lvlJc w:val="left"/>
      <w:lvlText w:val="%1."/>
      <w:numFmt w:val="decimal"/>
      <w:start w:val="14"/>
    </w:lvl>
  </w:abstractNum>
  <w:abstractNum w:abstractNumId="164">
    <w:nsid w:val="1DDBC66"/>
    <w:multiLevelType w:val="hybridMultilevel"/>
    <w:lvl w:ilvl="0">
      <w:lvlJc w:val="left"/>
      <w:lvlText w:val="(%1)"/>
      <w:numFmt w:val="lowerLetter"/>
      <w:start w:val="2"/>
    </w:lvl>
  </w:abstractNum>
  <w:abstractNum w:abstractNumId="165">
    <w:nsid w:val="30AADFDA"/>
    <w:multiLevelType w:val="hybridMultilevel"/>
    <w:lvl w:ilvl="0">
      <w:lvlJc w:val="left"/>
      <w:lvlText w:val="%1."/>
      <w:numFmt w:val="decimal"/>
      <w:start w:val="15"/>
    </w:lvl>
  </w:abstractNum>
  <w:abstractNum w:abstractNumId="166">
    <w:nsid w:val="30EADA61"/>
    <w:multiLevelType w:val="hybridMultilevel"/>
    <w:lvl w:ilvl="0">
      <w:lvlJc w:val="left"/>
      <w:lvlText w:val="(%1)"/>
      <w:numFmt w:val="lowerLetter"/>
      <w:start w:val="1"/>
    </w:lvl>
  </w:abstractNum>
  <w:abstractNum w:abstractNumId="167">
    <w:nsid w:val="27179C0B"/>
    <w:multiLevelType w:val="hybridMultilevel"/>
    <w:lvl w:ilvl="0">
      <w:lvlJc w:val="left"/>
      <w:lvlText w:val="(%1)"/>
      <w:numFmt w:val="lowerLetter"/>
      <w:start w:val="3"/>
    </w:lvl>
  </w:abstractNum>
  <w:abstractNum w:abstractNumId="168">
    <w:nsid w:val="5E636063"/>
    <w:multiLevelType w:val="hybridMultilevel"/>
    <w:lvl w:ilvl="0">
      <w:lvlJc w:val="left"/>
      <w:lvlText w:val="(%1)"/>
      <w:numFmt w:val="lowerLetter"/>
      <w:start w:val="1"/>
    </w:lvl>
    <w:lvl w:ilvl="1">
      <w:lvlJc w:val="left"/>
      <w:lvlText w:val="(%2)"/>
      <w:numFmt w:val="lowerRoman"/>
      <w:start w:val="1"/>
    </w:lvl>
  </w:abstractNum>
  <w:abstractNum w:abstractNumId="169">
    <w:nsid w:val="215641AF"/>
    <w:multiLevelType w:val="hybridMultilevel"/>
    <w:lvl w:ilvl="0">
      <w:lvlJc w:val="left"/>
      <w:lvlText w:val="(%1)"/>
      <w:numFmt w:val="lowerLetter"/>
      <w:start w:val="2"/>
    </w:lvl>
    <w:lvl w:ilvl="1">
      <w:lvlJc w:val="left"/>
      <w:lvlText w:val="(%2)"/>
      <w:numFmt w:val="lowerRoman"/>
      <w:start w:val="1"/>
    </w:lvl>
  </w:abstractNum>
  <w:abstractNum w:abstractNumId="170">
    <w:nsid w:val="53280662"/>
    <w:multiLevelType w:val="hybridMultilevel"/>
    <w:lvl w:ilvl="0">
      <w:lvlJc w:val="left"/>
      <w:lvlText w:val="(%1)"/>
      <w:numFmt w:val="lowerRoman"/>
      <w:start w:val="2"/>
    </w:lvl>
  </w:abstractNum>
  <w:abstractNum w:abstractNumId="171">
    <w:nsid w:val="46B24DBC"/>
    <w:multiLevelType w:val="hybridMultilevel"/>
    <w:lvl w:ilvl="0">
      <w:lvlJc w:val="left"/>
      <w:lvlText w:val="(%1)"/>
      <w:numFmt w:val="decimal"/>
      <w:start w:val="1"/>
    </w:lvl>
  </w:abstractNum>
  <w:abstractNum w:abstractNumId="172">
    <w:nsid w:val="75B52783"/>
    <w:multiLevelType w:val="hybridMultilevel"/>
    <w:lvl w:ilvl="0">
      <w:lvlJc w:val="left"/>
      <w:lvlText w:val="(%1)"/>
      <w:numFmt w:val="decimal"/>
      <w:start w:val="1"/>
    </w:lvl>
  </w:abstractNum>
  <w:abstractNum w:abstractNumId="173">
    <w:nsid w:val="57CE66B4"/>
    <w:multiLevelType w:val="hybridMultilevel"/>
    <w:lvl w:ilvl="0">
      <w:lvlJc w:val="left"/>
      <w:lvlText w:val="(%1)"/>
      <w:numFmt w:val="decimal"/>
      <w:start w:val="2"/>
    </w:lvl>
  </w:abstractNum>
  <w:abstractNum w:abstractNumId="174">
    <w:nsid w:val="67A70B69"/>
    <w:multiLevelType w:val="hybridMultilevel"/>
    <w:lvl w:ilvl="0">
      <w:lvlJc w:val="left"/>
      <w:lvlText w:val="%1."/>
      <w:numFmt w:val="decimal"/>
      <w:start w:val="1"/>
    </w:lvl>
  </w:abstractNum>
  <w:abstractNum w:abstractNumId="175">
    <w:nsid w:val="5953172F"/>
    <w:multiLevelType w:val="hybridMultilevel"/>
    <w:lvl w:ilvl="0">
      <w:lvlJc w:val="left"/>
      <w:lvlText w:val="%1."/>
      <w:numFmt w:val="decimal"/>
      <w:start w:val="2"/>
    </w:lvl>
  </w:abstractNum>
  <w:abstractNum w:abstractNumId="176">
    <w:nsid w:val="27EDFE3A"/>
    <w:multiLevelType w:val="hybridMultilevel"/>
    <w:lvl w:ilvl="0">
      <w:lvlJc w:val="left"/>
      <w:lvlText w:val="(%1)"/>
      <w:numFmt w:val="lowerLetter"/>
      <w:start w:val="1"/>
    </w:lvl>
  </w:abstractNum>
  <w:abstractNum w:abstractNumId="177">
    <w:nsid w:val="52AC7DFF"/>
    <w:multiLevelType w:val="hybridMultilevel"/>
    <w:lvl w:ilvl="0">
      <w:lvlJc w:val="left"/>
      <w:lvlText w:val="(%1)"/>
      <w:numFmt w:val="lowerLetter"/>
      <w:start w:val="4"/>
    </w:lvl>
    <w:lvl w:ilvl="1">
      <w:lvlJc w:val="left"/>
      <w:lvlText w:val="(%2)"/>
      <w:numFmt w:val="lowerRoman"/>
      <w:start w:val="1"/>
    </w:lvl>
  </w:abstractNum>
  <w:abstractNum w:abstractNumId="178">
    <w:nsid w:val="C4C3AF"/>
    <w:multiLevelType w:val="hybridMultilevel"/>
    <w:lvl w:ilvl="0">
      <w:lvlJc w:val="left"/>
      <w:lvlText w:val="(%1)"/>
      <w:numFmt w:val="lowerLetter"/>
      <w:start w:val="8"/>
    </w:lvl>
  </w:abstractNum>
  <w:abstractNum w:abstractNumId="179">
    <w:nsid w:val="44380727"/>
    <w:multiLevelType w:val="hybridMultilevel"/>
    <w:lvl w:ilvl="0">
      <w:lvlJc w:val="left"/>
      <w:lvlText w:val="(%1)"/>
      <w:numFmt w:val="lowerLetter"/>
      <w:start w:val="13"/>
    </w:lvl>
    <w:lvl w:ilvl="1">
      <w:lvlJc w:val="left"/>
      <w:lvlText w:val="(%2)"/>
      <w:numFmt w:val="lowerRoman"/>
      <w:start w:val="1"/>
    </w:lvl>
  </w:abstractNum>
  <w:abstractNum w:abstractNumId="180">
    <w:nsid w:val="6C053B16"/>
    <w:multiLevelType w:val="hybridMultilevel"/>
    <w:lvl w:ilvl="0">
      <w:lvlJc w:val="left"/>
      <w:lvlText w:val="%1"/>
      <w:numFmt w:val="lowerLetter"/>
      <w:start w:val="1"/>
    </w:lvl>
    <w:lvl w:ilvl="1">
      <w:lvlJc w:val="left"/>
      <w:lvlText w:val="(%2)"/>
      <w:numFmt w:val="lowerLetter"/>
      <w:start w:val="61"/>
    </w:lvl>
  </w:abstractNum>
  <w:abstractNum w:abstractNumId="181">
    <w:nsid w:val="4F294393"/>
    <w:multiLevelType w:val="hybridMultilevel"/>
    <w:lvl w:ilvl="0">
      <w:lvlJc w:val="left"/>
      <w:lvlText w:val="(%1)"/>
      <w:numFmt w:val="lowerLetter"/>
      <w:start w:val="19"/>
    </w:lvl>
    <w:lvl w:ilvl="1">
      <w:lvlJc w:val="left"/>
      <w:lvlText w:val="%2"/>
      <w:numFmt w:val="lowerLetter"/>
      <w:start w:val="1"/>
    </w:lvl>
  </w:abstractNum>
  <w:abstractNum w:abstractNumId="182">
    <w:nsid w:val="5243BFAC"/>
    <w:multiLevelType w:val="hybridMultilevel"/>
    <w:lvl w:ilvl="0">
      <w:lvlJc w:val="left"/>
      <w:lvlText w:val="(%1)"/>
      <w:numFmt w:val="lowerLetter"/>
      <w:start w:val="24"/>
    </w:lvl>
  </w:abstractNum>
  <w:abstractNum w:abstractNumId="183">
    <w:nsid w:val="425EB207"/>
    <w:multiLevelType w:val="hybridMultilevel"/>
    <w:lvl w:ilvl="0">
      <w:lvlJc w:val="left"/>
      <w:lvlText w:val="(%1)"/>
      <w:numFmt w:val="lowerLetter"/>
      <w:start w:val="27"/>
    </w:lvl>
  </w:abstractNum>
  <w:abstractNum w:abstractNumId="184">
    <w:nsid w:val="334A6F1F"/>
    <w:multiLevelType w:val="hybridMultilevel"/>
    <w:lvl w:ilvl="0">
      <w:lvlJc w:val="left"/>
      <w:lvlText w:val="(%1)"/>
      <w:numFmt w:val="lowerLetter"/>
      <w:start w:val="37"/>
    </w:lvl>
  </w:abstractNum>
  <w:abstractNum w:abstractNumId="185">
    <w:nsid w:val="2E5B12B8"/>
    <w:multiLevelType w:val="hybridMultilevel"/>
    <w:lvl w:ilvl="0">
      <w:lvlJc w:val="left"/>
      <w:lvlText w:val="(%1)"/>
      <w:numFmt w:val="lowerLetter"/>
      <w:start w:val="51"/>
    </w:lvl>
  </w:abstractNum>
  <w:abstractNum w:abstractNumId="186">
    <w:nsid w:val="5C03D76D"/>
    <w:multiLevelType w:val="hybridMultilevel"/>
    <w:lvl w:ilvl="0">
      <w:lvlJc w:val="left"/>
      <w:lvlText w:val="(%1)"/>
      <w:numFmt w:val="lowerLetter"/>
      <w:start w:val="53"/>
    </w:lvl>
  </w:abstractNum>
  <w:abstractNum w:abstractNumId="187">
    <w:nsid w:val="66A48D11"/>
    <w:multiLevelType w:val="hybridMultilevel"/>
    <w:lvl w:ilvl="0">
      <w:lvlJc w:val="left"/>
      <w:lvlText w:val="%1."/>
      <w:numFmt w:val="decimal"/>
      <w:start w:val="3"/>
    </w:lvl>
  </w:abstractNum>
  <w:abstractNum w:abstractNumId="188">
    <w:nsid w:val="56C28E34"/>
    <w:multiLevelType w:val="hybridMultilevel"/>
    <w:lvl w:ilvl="0">
      <w:lvlJc w:val="left"/>
      <w:lvlText w:val="(%1)"/>
      <w:numFmt w:val="lowerLetter"/>
      <w:start w:val="1"/>
    </w:lvl>
  </w:abstractNum>
  <w:abstractNum w:abstractNumId="189">
    <w:nsid w:val="13916F2D"/>
    <w:multiLevelType w:val="hybridMultilevel"/>
    <w:lvl w:ilvl="0">
      <w:lvlJc w:val="left"/>
      <w:lvlText w:val="%1"/>
      <w:numFmt w:val="lowerRoman"/>
      <w:start w:val="1"/>
    </w:lvl>
    <w:lvl w:ilvl="1">
      <w:lvlJc w:val="left"/>
      <w:lvlText w:val="(%2)"/>
      <w:numFmt w:val="lowerLetter"/>
      <w:start w:val="2"/>
    </w:lvl>
  </w:abstractNum>
  <w:abstractNum w:abstractNumId="190">
    <w:nsid w:val="435D38D"/>
    <w:multiLevelType w:val="hybridMultilevel"/>
    <w:lvl w:ilvl="0">
      <w:lvlJc w:val="left"/>
      <w:lvlText w:val="(%1)"/>
      <w:numFmt w:val="lowerRoman"/>
      <w:start w:val="7"/>
    </w:lvl>
    <w:lvl w:ilvl="1">
      <w:lvlJc w:val="left"/>
      <w:lvlText w:val="(%2)"/>
      <w:numFmt w:val="lowerLetter"/>
      <w:start w:val="5"/>
    </w:lvl>
  </w:abstractNum>
  <w:abstractNum w:abstractNumId="191">
    <w:nsid w:val="822C0EF"/>
    <w:multiLevelType w:val="hybridMultilevel"/>
    <w:lvl w:ilvl="0">
      <w:lvlJc w:val="left"/>
      <w:lvlText w:val="%1."/>
      <w:numFmt w:val="decimal"/>
      <w:start w:val="4"/>
    </w:lvl>
  </w:abstractNum>
  <w:abstractNum w:abstractNumId="192">
    <w:nsid w:val="57C5BB4F"/>
    <w:multiLevelType w:val="hybridMultilevel"/>
    <w:lvl w:ilvl="0">
      <w:lvlJc w:val="left"/>
      <w:lvlText w:val="%1."/>
      <w:numFmt w:val="decimal"/>
      <w:start w:val="5"/>
    </w:lvl>
  </w:abstractNum>
  <w:abstractNum w:abstractNumId="193">
    <w:nsid w:val="1803D089"/>
    <w:multiLevelType w:val="hybridMultilevel"/>
    <w:lvl w:ilvl="0">
      <w:lvlJc w:val="left"/>
      <w:lvlText w:val="(%1)"/>
      <w:numFmt w:val="lowerLetter"/>
      <w:start w:val="1"/>
    </w:lvl>
  </w:abstractNum>
  <w:abstractNum w:abstractNumId="194">
    <w:nsid w:val="4F3A06D4"/>
    <w:multiLevelType w:val="hybridMultilevel"/>
    <w:lvl w:ilvl="0">
      <w:lvlJc w:val="left"/>
      <w:lvlText w:val="%1"/>
      <w:numFmt w:val="decimal"/>
      <w:start w:val="1"/>
    </w:lvl>
    <w:lvl w:ilvl="1">
      <w:lvlJc w:val="left"/>
      <w:lvlText w:val="(%2)"/>
      <w:numFmt w:val="lowerLetter"/>
      <w:start w:val="2"/>
    </w:lvl>
  </w:abstractNum>
  <w:abstractNum w:abstractNumId="195">
    <w:nsid w:val="59A377B6"/>
    <w:multiLevelType w:val="hybridMultilevel"/>
    <w:lvl w:ilvl="0">
      <w:lvlJc w:val="left"/>
      <w:lvlText w:val="%1."/>
      <w:numFmt w:val="decimal"/>
      <w:start w:val="6"/>
    </w:lvl>
    <w:lvl w:ilvl="1">
      <w:lvlJc w:val="left"/>
      <w:lvlText w:val="%2"/>
      <w:numFmt w:val="lowerLetter"/>
      <w:start w:val="1"/>
    </w:lvl>
  </w:abstractNum>
  <w:abstractNum w:abstractNumId="196">
    <w:nsid w:val="48AEB063"/>
    <w:multiLevelType w:val="hybridMultilevel"/>
    <w:lvl w:ilvl="0">
      <w:lvlJc w:val="left"/>
      <w:lvlText w:val="(%1)"/>
      <w:numFmt w:val="lowerLetter"/>
      <w:start w:val="1"/>
    </w:lvl>
    <w:lvl w:ilvl="1">
      <w:lvlJc w:val="left"/>
      <w:lvlText w:val="(%2)"/>
      <w:numFmt w:val="lowerRoman"/>
      <w:start w:val="1"/>
    </w:lvl>
  </w:abstractNum>
  <w:abstractNum w:abstractNumId="197">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BB13C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3"/>
    </w:lvl>
  </w:abstractNum>
  <w:abstractNum w:abstractNumId="199">
    <w:nsid w:val="271210C7"/>
    <w:multiLevelType w:val="hybridMultilevel"/>
    <w:lvl w:ilvl="0">
      <w:lvlJc w:val="left"/>
      <w:lvlText w:val="(%1)"/>
      <w:numFmt w:val="lowerLetter"/>
      <w:start w:val="2"/>
    </w:lvl>
  </w:abstractNum>
  <w:abstractNum w:abstractNumId="200">
    <w:nsid w:val="217B22E4"/>
    <w:multiLevelType w:val="hybridMultilevel"/>
    <w:lvl w:ilvl="0">
      <w:lvlJc w:val="left"/>
      <w:lvlText w:val="%1."/>
      <w:numFmt w:val="decimal"/>
      <w:start w:val="7"/>
    </w:lvl>
  </w:abstractNum>
  <w:abstractNum w:abstractNumId="201">
    <w:nsid w:val="53E31A24"/>
    <w:multiLevelType w:val="hybridMultilevel"/>
    <w:lvl w:ilvl="0">
      <w:lvlJc w:val="left"/>
      <w:lvlText w:val="(%1)"/>
      <w:numFmt w:val="lowerLetter"/>
      <w:start w:val="1"/>
    </w:lvl>
  </w:abstractNum>
  <w:abstractNum w:abstractNumId="202">
    <w:nsid w:val="6DC45E83"/>
    <w:multiLevelType w:val="hybridMultilevel"/>
    <w:lvl w:ilvl="0">
      <w:lvlJc w:val="left"/>
      <w:lvlText w:val="(%1)"/>
      <w:numFmt w:val="lowerLetter"/>
      <w:start w:val="2"/>
    </w:lvl>
  </w:abstractNum>
  <w:abstractNum w:abstractNumId="203">
    <w:nsid w:val="17304A67"/>
    <w:multiLevelType w:val="hybridMultilevel"/>
    <w:lvl w:ilvl="0">
      <w:lvlJc w:val="left"/>
      <w:lvlText w:val="%1."/>
      <w:numFmt w:val="decimal"/>
      <w:start w:val="8"/>
    </w:lvl>
  </w:abstractNum>
  <w:abstractNum w:abstractNumId="204">
    <w:nsid w:val="2BB180D8"/>
    <w:multiLevelType w:val="hybridMultilevel"/>
    <w:lvl w:ilvl="0">
      <w:lvlJc w:val="left"/>
      <w:lvlText w:val="%1."/>
      <w:numFmt w:val="decimal"/>
      <w:start w:val="9"/>
    </w:lvl>
  </w:abstractNum>
  <w:abstractNum w:abstractNumId="205">
    <w:nsid w:val="556B69ED"/>
    <w:multiLevelType w:val="hybridMultilevel"/>
    <w:lvl w:ilvl="0">
      <w:lvlJc w:val="left"/>
      <w:lvlText w:val="%1."/>
      <w:numFmt w:val="decimal"/>
      <w:start w:val="10"/>
    </w:lvl>
  </w:abstractNum>
  <w:abstractNum w:abstractNumId="206">
    <w:nsid w:val="70836196"/>
    <w:multiLevelType w:val="hybridMultilevel"/>
    <w:lvl w:ilvl="0">
      <w:lvlJc w:val="left"/>
      <w:lvlText w:val="(%1)"/>
      <w:numFmt w:val="decimal"/>
      <w:start w:val="90"/>
    </w:lvl>
  </w:abstractNum>
  <w:abstractNum w:abstractNumId="207">
    <w:nsid w:val="539F7F12"/>
    <w:multiLevelType w:val="hybridMultilevel"/>
    <w:lvl w:ilvl="0">
      <w:lvlJc w:val="left"/>
      <w:lvlText w:val="(%1)"/>
      <w:numFmt w:val="lowerLetter"/>
      <w:start w:val="1"/>
    </w:lvl>
  </w:abstractNum>
  <w:abstractNum w:abstractNumId="208">
    <w:nsid w:val="2817E7EC"/>
    <w:multiLevelType w:val="hybridMultilevel"/>
    <w:lvl w:ilvl="0">
      <w:lvlJc w:val="left"/>
      <w:lvlText w:val="(%1)"/>
      <w:numFmt w:val="lowerRoman"/>
      <w:start w:val="1"/>
    </w:lvl>
  </w:abstractNum>
  <w:abstractNum w:abstractNumId="209">
    <w:nsid w:val="71482545"/>
    <w:multiLevelType w:val="hybridMultilevel"/>
    <w:lvl w:ilvl="0">
      <w:lvlJc w:val="left"/>
      <w:lvlText w:val="(%1)"/>
      <w:numFmt w:val="lowerRoman"/>
      <w:start w:val="19"/>
    </w:lvl>
  </w:abstractNum>
  <w:abstractNum w:abstractNumId="210">
    <w:nsid w:val="17D78639"/>
    <w:multiLevelType w:val="hybridMultilevel"/>
    <w:lvl w:ilvl="0">
      <w:lvlJc w:val="left"/>
      <w:lvlText w:val="(%1)"/>
      <w:numFmt w:val="lowerLetter"/>
      <w:start w:val="2"/>
    </w:lvl>
  </w:abstractNum>
  <w:abstractNum w:abstractNumId="211">
    <w:nsid w:val="141D2302"/>
    <w:multiLevelType w:val="hybridMultilevel"/>
    <w:lvl w:ilvl="0">
      <w:lvlJc w:val="left"/>
      <w:lvlText w:val="(%1)"/>
      <w:numFmt w:val="lowerLetter"/>
      <w:start w:val="1"/>
    </w:lvl>
  </w:abstractNum>
  <w:abstractNum w:abstractNumId="212">
    <w:nsid w:val="407168D8"/>
    <w:multiLevelType w:val="hybridMultilevel"/>
    <w:lvl w:ilvl="0">
      <w:lvlJc w:val="left"/>
      <w:lvlText w:val="(%1)"/>
      <w:numFmt w:val="lowerLetter"/>
      <w:start w:val="3"/>
    </w:lvl>
  </w:abstractNum>
  <w:abstractNum w:abstractNumId="213">
    <w:nsid w:val="6A1B45E5"/>
    <w:multiLevelType w:val="hybridMultilevel"/>
    <w:lvl w:ilvl="0">
      <w:lvlJc w:val="left"/>
      <w:lvlText w:val="(%1)"/>
      <w:numFmt w:val="lowerLetter"/>
      <w:start w:val="1"/>
    </w:lvl>
  </w:abstractNum>
  <w:abstractNum w:abstractNumId="214">
    <w:nsid w:val="567BD50A"/>
    <w:multiLevelType w:val="hybridMultilevel"/>
    <w:lvl w:ilvl="0">
      <w:lvlJc w:val="left"/>
      <w:lvlText w:val="%1."/>
      <w:numFmt w:val="decimal"/>
      <w:start w:val="11"/>
    </w:lvl>
  </w:abstractNum>
  <w:abstractNum w:abstractNumId="215">
    <w:nsid w:val="73BBD7F8"/>
    <w:multiLevelType w:val="hybridMultilevel"/>
    <w:lvl w:ilvl="0">
      <w:lvlJc w:val="left"/>
      <w:lvlText w:val="%1."/>
      <w:numFmt w:val="decimal"/>
      <w:start w:val="12"/>
    </w:lvl>
  </w:abstractNum>
  <w:abstractNum w:abstractNumId="216">
    <w:nsid w:val="1876589D"/>
    <w:multiLevelType w:val="hybridMultilevel"/>
    <w:lvl w:ilvl="0">
      <w:lvlJc w:val="left"/>
      <w:lvlText w:val="(%1)"/>
      <w:numFmt w:val="lowerLetter"/>
      <w:start w:val="1"/>
    </w:lvl>
    <w:lvl w:ilvl="1">
      <w:lvlJc w:val="left"/>
      <w:lvlText w:val="%2."/>
      <w:numFmt w:val="decimal"/>
      <w:start w:val="13"/>
    </w:lvl>
  </w:abstractNum>
  <w:abstractNum w:abstractNumId="217">
    <w:nsid w:val="327FAC77"/>
    <w:multiLevelType w:val="hybridMultilevel"/>
    <w:lvl w:ilvl="0">
      <w:lvlJc w:val="left"/>
      <w:lvlText w:val="%1."/>
      <w:numFmt w:val="decimal"/>
      <w:start w:val="14"/>
    </w:lvl>
  </w:abstractNum>
  <w:abstractNum w:abstractNumId="218">
    <w:nsid w:val="5A606509"/>
    <w:multiLevelType w:val="hybridMultilevel"/>
    <w:lvl w:ilvl="0">
      <w:lvlJc w:val="left"/>
      <w:lvlText w:val="(%1)"/>
      <w:numFmt w:val="lowerLetter"/>
      <w:start w:val="1"/>
    </w:lvl>
  </w:abstractNum>
  <w:abstractNum w:abstractNumId="219">
    <w:nsid w:val="6F38E6D1"/>
    <w:multiLevelType w:val="hybridMultilevel"/>
    <w:lvl w:ilvl="0">
      <w:lvlJc w:val="left"/>
      <w:lvlText w:val="(%1)"/>
      <w:numFmt w:val="lowerLetter"/>
      <w:start w:val="3"/>
    </w:lvl>
  </w:abstractNum>
  <w:abstractNum w:abstractNumId="220">
    <w:nsid w:val="46111BA5"/>
    <w:multiLevelType w:val="hybridMultilevel"/>
    <w:lvl w:ilvl="0">
      <w:lvlJc w:val="left"/>
      <w:lvlText w:val="%1"/>
      <w:numFmt w:val="decimal"/>
      <w:start w:val="1"/>
    </w:lvl>
    <w:lvl w:ilvl="1">
      <w:lvlJc w:val="left"/>
      <w:lvlText w:val="(%2)"/>
      <w:numFmt w:val="lowerLetter"/>
      <w:start w:val="1"/>
    </w:lvl>
  </w:abstractNum>
  <w:abstractNum w:abstractNumId="221">
    <w:nsid w:val="5E963896"/>
    <w:multiLevelType w:val="hybridMultilevel"/>
    <w:lvl w:ilvl="0">
      <w:lvlJc w:val="left"/>
      <w:lvlText w:val="%1."/>
      <w:numFmt w:val="decimal"/>
      <w:start w:val="15"/>
    </w:lvl>
    <w:lvl w:ilvl="1">
      <w:lvlJc w:val="left"/>
      <w:lvlText w:val="%2"/>
      <w:numFmt w:val="lowerLetter"/>
      <w:start w:val="1"/>
    </w:lvl>
  </w:abstractNum>
  <w:abstractNum w:abstractNumId="222">
    <w:nsid w:val="775BA7C1"/>
    <w:multiLevelType w:val="hybridMultilevel"/>
    <w:lvl w:ilvl="0">
      <w:lvlJc w:val="left"/>
      <w:lvlText w:val="%1."/>
      <w:numFmt w:val="decimal"/>
      <w:start w:val="16"/>
    </w:lvl>
  </w:abstractNum>
  <w:abstractNum w:abstractNumId="223">
    <w:nsid w:val="1DD6D6F4"/>
    <w:multiLevelType w:val="hybridMultilevel"/>
    <w:lvl w:ilvl="0">
      <w:lvlJc w:val="left"/>
      <w:lvlText w:val="(%1)"/>
      <w:numFmt w:val="lowerLetter"/>
      <w:start w:val="1"/>
    </w:lvl>
  </w:abstractNum>
  <w:abstractNum w:abstractNumId="224">
    <w:nsid w:val="769A091F"/>
    <w:multiLevelType w:val="hybridMultilevel"/>
    <w:lvl w:ilvl="0">
      <w:lvlJc w:val="left"/>
      <w:lvlText w:val="(%1)"/>
      <w:numFmt w:val="lowerLetter"/>
      <w:start w:val="1"/>
    </w:lvl>
  </w:abstractNum>
  <w:abstractNum w:abstractNumId="225">
    <w:nsid w:val="4695AE95"/>
    <w:multiLevelType w:val="hybridMultilevel"/>
    <w:lvl w:ilvl="0">
      <w:lvlJc w:val="left"/>
      <w:lvlText w:val="%1"/>
      <w:numFmt w:val="decimal"/>
      <w:start w:val="1"/>
    </w:lvl>
    <w:lvl w:ilvl="1">
      <w:lvlJc w:val="left"/>
      <w:lvlText w:val="(%2)"/>
      <w:numFmt w:val="lowerLetter"/>
      <w:start w:val="1"/>
    </w:lvl>
  </w:abstractNum>
  <w:abstractNum w:abstractNumId="226">
    <w:nsid w:val="777A4EAA"/>
    <w:multiLevelType w:val="hybridMultilevel"/>
    <w:lvl w:ilvl="0">
      <w:lvlJc w:val="left"/>
      <w:lvlText w:val="(%1)"/>
      <w:numFmt w:val="decimal"/>
      <w:start w:val="5"/>
    </w:lvl>
    <w:lvl w:ilvl="1">
      <w:lvlJc w:val="left"/>
      <w:lvlText w:val="(%2)"/>
      <w:numFmt w:val="lowerLetter"/>
      <w:start w:val="3"/>
    </w:lvl>
  </w:abstractNum>
  <w:abstractNum w:abstractNumId="227">
    <w:nsid w:val="3F48B982"/>
    <w:multiLevelType w:val="hybridMultilevel"/>
    <w:lvl w:ilvl="0">
      <w:lvlJc w:val="left"/>
      <w:lvlText w:val="(%1)"/>
      <w:numFmt w:val="lowerLetter"/>
      <w:start w:val="1"/>
    </w:lvl>
    <w:lvl w:ilvl="1">
      <w:lvlJc w:val="left"/>
      <w:lvlText w:val="(%2)"/>
      <w:numFmt w:val="lowerRoman"/>
      <w:start w:val="1"/>
    </w:lvl>
  </w:abstractNum>
  <w:abstractNum w:abstractNumId="228">
    <w:nsid w:val="46BA8FCA"/>
    <w:multiLevelType w:val="hybridMultilevel"/>
    <w:lvl w:ilvl="0">
      <w:lvlJc w:val="left"/>
      <w:lvlText w:val="(%1)"/>
      <w:numFmt w:val="lowerLetter"/>
      <w:start w:val="2"/>
    </w:lvl>
  </w:abstractNum>
  <w:abstractNum w:abstractNumId="229">
    <w:nsid w:val="7835626C"/>
    <w:multiLevelType w:val="hybridMultilevel"/>
    <w:lvl w:ilvl="0">
      <w:lvlJc w:val="left"/>
      <w:lvlText w:val="%1"/>
      <w:numFmt w:val="decimal"/>
      <w:start w:val="1"/>
    </w:lvl>
    <w:lvl w:ilvl="1">
      <w:lvlJc w:val="left"/>
      <w:lvlText w:val="(%2)"/>
      <w:numFmt w:val="lowerLetter"/>
      <w:start w:val="7"/>
    </w:lvl>
  </w:abstractNum>
  <w:abstractNum w:abstractNumId="230">
    <w:nsid w:val="665ACA49"/>
    <w:multiLevelType w:val="hybridMultilevel"/>
    <w:lvl w:ilvl="0">
      <w:lvlJc w:val="left"/>
      <w:lvlText w:val="%1."/>
      <w:numFmt w:val="decimal"/>
      <w:start w:val="17"/>
    </w:lvl>
    <w:lvl w:ilvl="1">
      <w:lvlJc w:val="left"/>
      <w:lvlText w:val="%2"/>
      <w:numFmt w:val="lowerLetter"/>
      <w:start w:val="1"/>
    </w:lvl>
  </w:abstractNum>
  <w:abstractNum w:abstractNumId="231">
    <w:nsid w:val="6835B2AE"/>
    <w:multiLevelType w:val="hybridMultilevel"/>
    <w:lvl w:ilvl="0">
      <w:lvlJc w:val="left"/>
      <w:lvlText w:val="%1."/>
      <w:numFmt w:val="decimal"/>
      <w:start w:val="18"/>
    </w:lvl>
  </w:abstractNum>
  <w:abstractNum w:abstractNumId="232">
    <w:nsid w:val="4C187C90"/>
    <w:multiLevelType w:val="hybridMultilevel"/>
    <w:lvl w:ilvl="0">
      <w:lvlJc w:val="left"/>
      <w:lvlText w:val="%1."/>
      <w:numFmt w:val="decimal"/>
      <w:start w:val="19"/>
    </w:lvl>
  </w:abstractNum>
  <w:abstractNum w:abstractNumId="233">
    <w:nsid w:val="541F28CD"/>
    <w:multiLevelType w:val="hybridMultilevel"/>
    <w:lvl w:ilvl="0">
      <w:lvlJc w:val="left"/>
      <w:lvlText w:val="(%1)"/>
      <w:numFmt w:val="lowerLetter"/>
      <w:start w:val="1"/>
    </w:lvl>
  </w:abstractNum>
  <w:abstractNum w:abstractNumId="234">
    <w:nsid w:val="7F65FD16"/>
    <w:multiLevelType w:val="hybridMultilevel"/>
    <w:lvl w:ilvl="0">
      <w:lvlJc w:val="left"/>
      <w:lvlText w:val="%1."/>
      <w:numFmt w:val="decimal"/>
      <w:start w:val="1"/>
    </w:lvl>
  </w:abstractNum>
  <w:abstractNum w:abstractNumId="235">
    <w:nsid w:val="77C9FD68"/>
    <w:multiLevelType w:val="hybridMultilevel"/>
    <w:lvl w:ilvl="0">
      <w:lvlJc w:val="left"/>
      <w:lvlText w:val="%1."/>
      <w:numFmt w:val="decimal"/>
      <w:start w:val="2"/>
    </w:lvl>
  </w:abstractNum>
  <w:abstractNum w:abstractNumId="236">
    <w:nsid w:val="298A92BA"/>
    <w:multiLevelType w:val="hybridMultilevel"/>
    <w:lvl w:ilvl="0">
      <w:lvlJc w:val="left"/>
      <w:lvlText w:val="(%1)"/>
      <w:numFmt w:val="lowerLetter"/>
      <w:start w:val="1"/>
    </w:lvl>
    <w:lvl w:ilvl="1">
      <w:lvlJc w:val="left"/>
      <w:lvlText w:val="(%2)"/>
      <w:numFmt w:val="lowerLetter"/>
      <w:start w:val="9"/>
    </w:lvl>
  </w:abstractNum>
  <w:abstractNum w:abstractNumId="237">
    <w:nsid w:val="6FE95EAC"/>
    <w:multiLevelType w:val="hybridMultilevel"/>
    <w:lvl w:ilvl="0">
      <w:lvlJc w:val="left"/>
      <w:lvlText w:val="(%1)"/>
      <w:numFmt w:val="upperLetter"/>
      <w:start w:val="4"/>
    </w:lvl>
    <w:lvl w:ilvl="1">
      <w:lvlJc w:val="left"/>
      <w:lvlText w:val="(%2)"/>
      <w:numFmt w:val="lowerRoman"/>
      <w:start w:val="2"/>
    </w:lvl>
  </w:abstractNum>
  <w:abstractNum w:abstractNumId="238">
    <w:nsid w:val="4B697C7A"/>
    <w:multiLevelType w:val="hybridMultilevel"/>
    <w:lvl w:ilvl="0">
      <w:lvlJc w:val="left"/>
      <w:lvlText w:val="(%1)"/>
      <w:numFmt w:val="lowerLetter"/>
      <w:start w:val="4"/>
    </w:lvl>
  </w:abstractNum>
  <w:abstractNum w:abstractNumId="239">
    <w:nsid w:val="51A27AA6"/>
    <w:multiLevelType w:val="hybridMultilevel"/>
    <w:lvl w:ilvl="0">
      <w:lvlJc w:val="left"/>
      <w:lvlText w:val="(%1)"/>
      <w:numFmt w:val="lowerLetter"/>
      <w:start w:val="8"/>
    </w:lvl>
    <w:lvl w:ilvl="1">
      <w:lvlJc w:val="left"/>
      <w:lvlText w:val="(%2)"/>
      <w:numFmt w:val="lowerRoman"/>
      <w:start w:val="1"/>
    </w:lvl>
  </w:abstractNum>
  <w:abstractNum w:abstractNumId="240">
    <w:nsid w:val="613183F2"/>
    <w:multiLevelType w:val="hybridMultilevel"/>
    <w:lvl w:ilvl="0">
      <w:lvlJc w:val="left"/>
      <w:lvlText w:val="(%1)"/>
      <w:numFmt w:val="lowerLetter"/>
      <w:start w:val="12"/>
    </w:lvl>
  </w:abstractNum>
  <w:abstractNum w:abstractNumId="241">
    <w:nsid w:val="634102B4"/>
    <w:multiLevelType w:val="hybridMultilevel"/>
    <w:lvl w:ilvl="0">
      <w:lvlJc w:val="left"/>
      <w:lvlText w:val="(%1)"/>
      <w:numFmt w:val="lowerLetter"/>
      <w:start w:val="24"/>
    </w:lvl>
  </w:abstractNum>
  <w:abstractNum w:abstractNumId="242">
    <w:nsid w:val="65BF9DA8"/>
    <w:multiLevelType w:val="hybridMultilevel"/>
    <w:lvl w:ilvl="0">
      <w:lvlJc w:val="left"/>
      <w:lvlText w:val="(%1)"/>
      <w:numFmt w:val="lowerLetter"/>
      <w:start w:val="27"/>
    </w:lvl>
  </w:abstractNum>
  <w:abstractNum w:abstractNumId="243">
    <w:nsid w:val="21A2ECCA"/>
    <w:multiLevelType w:val="hybridMultilevel"/>
    <w:lvl w:ilvl="0">
      <w:lvlJc w:val="left"/>
      <w:lvlText w:val="%1."/>
      <w:numFmt w:val="decimal"/>
      <w:start w:val="3"/>
    </w:lvl>
  </w:abstractNum>
  <w:abstractNum w:abstractNumId="244">
    <w:nsid w:val="4D5C4899"/>
    <w:multiLevelType w:val="hybridMultilevel"/>
    <w:lvl w:ilvl="0">
      <w:lvlJc w:val="left"/>
      <w:lvlText w:val="%1."/>
      <w:numFmt w:val="decimal"/>
      <w:start w:val="4"/>
    </w:lvl>
  </w:abstractNum>
  <w:abstractNum w:abstractNumId="245">
    <w:nsid w:val="3C3B72B2"/>
    <w:multiLevelType w:val="hybridMultilevel"/>
    <w:lvl w:ilvl="0">
      <w:lvlJc w:val="left"/>
      <w:lvlText w:val="%1."/>
      <w:numFmt w:val="decimal"/>
      <w:start w:val="5"/>
    </w:lvl>
  </w:abstractNum>
  <w:abstractNum w:abstractNumId="246">
    <w:nsid w:val="155EC4C2"/>
    <w:multiLevelType w:val="hybridMultilevel"/>
    <w:lvl w:ilvl="0">
      <w:lvlJc w:val="left"/>
      <w:lvlText w:val="(%1)"/>
      <w:numFmt w:val="lowerLetter"/>
      <w:start w:val="1"/>
    </w:lvl>
  </w:abstractNum>
  <w:abstractNum w:abstractNumId="247">
    <w:nsid w:val="65D2A137"/>
    <w:multiLevelType w:val="hybridMultilevel"/>
    <w:lvl w:ilvl="0">
      <w:lvlJc w:val="left"/>
      <w:lvlText w:val="%1."/>
      <w:numFmt w:val="decimal"/>
      <w:start w:val="6"/>
    </w:lvl>
  </w:abstractNum>
  <w:abstractNum w:abstractNumId="248">
    <w:nsid w:val="6EBB1F2A"/>
    <w:multiLevelType w:val="hybridMultilevel"/>
    <w:lvl w:ilvl="0">
      <w:lvlJc w:val="left"/>
      <w:lvlText w:val="%1."/>
      <w:numFmt w:val="decimal"/>
      <w:start w:val="7"/>
    </w:lvl>
  </w:abstractNum>
  <w:abstractNum w:abstractNumId="249">
    <w:nsid w:val="6FBF29CB"/>
    <w:multiLevelType w:val="hybridMultilevel"/>
    <w:lvl w:ilvl="0">
      <w:lvlJc w:val="left"/>
      <w:lvlText w:val="(%1)"/>
      <w:numFmt w:val="lowerLetter"/>
      <w:start w:val="1"/>
    </w:lvl>
  </w:abstractNum>
  <w:abstractNum w:abstractNumId="250">
    <w:nsid w:val="550B8808"/>
    <w:multiLevelType w:val="hybridMultilevel"/>
    <w:lvl w:ilvl="0">
      <w:lvlJc w:val="left"/>
      <w:lvlText w:val="(%1)"/>
      <w:numFmt w:val="lowerLetter"/>
      <w:start w:val="1"/>
    </w:lvl>
  </w:abstractNum>
  <w:abstractNum w:abstractNumId="251">
    <w:nsid w:val="34CC3ACF"/>
    <w:multiLevelType w:val="hybridMultilevel"/>
    <w:lvl w:ilvl="0">
      <w:lvlJc w:val="left"/>
      <w:lvlText w:val="(%1)"/>
      <w:numFmt w:val="lowerLetter"/>
      <w:start w:val="1"/>
    </w:lvl>
    <w:lvl w:ilvl="1">
      <w:lvlJc w:val="left"/>
      <w:lvlText w:val="(%2)"/>
      <w:numFmt w:val="lowerLetter"/>
      <w:start w:val="2"/>
    </w:lvl>
  </w:abstractNum>
  <w:abstractNum w:abstractNumId="252">
    <w:nsid w:val="4E556261"/>
    <w:multiLevelType w:val="hybridMultilevel"/>
    <w:lvl w:ilvl="0">
      <w:lvlJc w:val="left"/>
      <w:lvlText w:val="%1."/>
      <w:numFmt w:val="decimal"/>
      <w:start w:val="8"/>
    </w:lvl>
  </w:abstractNum>
  <w:abstractNum w:abstractNumId="253">
    <w:nsid w:val="4C672FC9"/>
    <w:multiLevelType w:val="hybridMultilevel"/>
    <w:lvl w:ilvl="0">
      <w:lvlJc w:val="left"/>
      <w:lvlText w:val="%1."/>
      <w:numFmt w:val="decimal"/>
      <w:start w:val="9"/>
    </w:lvl>
  </w:abstractNum>
  <w:abstractNum w:abstractNumId="254">
    <w:nsid w:val="52A311C3"/>
    <w:multiLevelType w:val="hybridMultilevel"/>
    <w:lvl w:ilvl="0">
      <w:lvlJc w:val="left"/>
      <w:lvlText w:val="%1."/>
      <w:numFmt w:val="decimal"/>
      <w:start w:val="10"/>
    </w:lvl>
  </w:abstractNum>
  <w:abstractNum w:abstractNumId="255">
    <w:nsid w:val="44EF6B80"/>
    <w:multiLevelType w:val="hybridMultilevel"/>
    <w:lvl w:ilvl="0">
      <w:lvlJc w:val="left"/>
      <w:lvlText w:val="%1."/>
      <w:numFmt w:val="decimal"/>
      <w:start w:val="11"/>
    </w:lvl>
  </w:abstractNum>
  <w:abstractNum w:abstractNumId="256">
    <w:nsid w:val="12FCDE5E"/>
    <w:multiLevelType w:val="hybridMultilevel"/>
    <w:lvl w:ilvl="0">
      <w:lvlJc w:val="left"/>
      <w:lvlText w:val="%1"/>
      <w:numFmt w:val="lowerLetter"/>
      <w:start w:val="1"/>
    </w:lvl>
    <w:lvl w:ilvl="1">
      <w:lvlJc w:val="left"/>
      <w:lvlText w:val="(%2)"/>
      <w:numFmt w:val="lowerLetter"/>
      <w:start w:val="1"/>
    </w:lvl>
  </w:abstractNum>
  <w:abstractNum w:abstractNumId="257">
    <w:nsid w:val="4A1D606E"/>
    <w:multiLevelType w:val="hybridMultilevel"/>
    <w:lvl w:ilvl="0">
      <w:lvlJc w:val="left"/>
      <w:lvlText w:val="(%1)"/>
      <w:numFmt w:val="lowerLetter"/>
      <w:start w:val="1"/>
    </w:lvl>
    <w:lvl w:ilvl="1">
      <w:lvlJc w:val="left"/>
      <w:lvlText w:val="%2"/>
      <w:numFmt w:val="lowerLetter"/>
      <w:start w:val="1"/>
    </w:lvl>
  </w:abstractNum>
  <w:abstractNum w:abstractNumId="258">
    <w:nsid w:val="4382503"/>
    <w:multiLevelType w:val="hybridMultilevel"/>
    <w:lvl w:ilvl="0">
      <w:lvlJc w:val="left"/>
      <w:lvlText w:val="(%1)"/>
      <w:numFmt w:val="lowerLetter"/>
      <w:start w:val="2"/>
    </w:lvl>
  </w:abstractNum>
  <w:abstractNum w:abstractNumId="259">
    <w:nsid w:val="59B76E28"/>
    <w:multiLevelType w:val="hybridMultilevel"/>
    <w:lvl w:ilvl="0">
      <w:lvlJc w:val="left"/>
      <w:lvlText w:val="%1."/>
      <w:numFmt w:val="decimal"/>
      <w:start w:val="12"/>
    </w:lvl>
  </w:abstractNum>
  <w:abstractNum w:abstractNumId="260">
    <w:nsid w:val="4252C2DA"/>
    <w:multiLevelType w:val="hybridMultilevel"/>
    <w:lvl w:ilvl="0">
      <w:lvlJc w:val="left"/>
      <w:lvlText w:val="%1."/>
      <w:numFmt w:val="decimal"/>
      <w:start w:val="13"/>
    </w:lvl>
  </w:abstractNum>
  <w:abstractNum w:abstractNumId="261">
    <w:nsid w:val="6A92EF4C"/>
    <w:multiLevelType w:val="hybridMultilevel"/>
    <w:lvl w:ilvl="0">
      <w:lvlJc w:val="left"/>
      <w:lvlText w:val="%1."/>
      <w:numFmt w:val="decimal"/>
      <w:start w:val="14"/>
    </w:lvl>
  </w:abstractNum>
  <w:abstractNum w:abstractNumId="262">
    <w:nsid w:val="41ED20D7"/>
    <w:multiLevelType w:val="hybridMultilevel"/>
    <w:lvl w:ilvl="0">
      <w:lvlJc w:val="left"/>
      <w:lvlText w:val="%1."/>
      <w:numFmt w:val="decimal"/>
      <w:start w:val="15"/>
    </w:lvl>
  </w:abstractNum>
  <w:abstractNum w:abstractNumId="263">
    <w:nsid w:val="E6B3F6A"/>
    <w:multiLevelType w:val="hybridMultilevel"/>
    <w:lvl w:ilvl="0">
      <w:lvlJc w:val="left"/>
      <w:lvlText w:val="%1."/>
      <w:numFmt w:val="decimal"/>
      <w:start w:val="16"/>
    </w:lvl>
  </w:abstractNum>
  <w:abstractNum w:abstractNumId="264">
    <w:nsid w:val="3EB21819"/>
    <w:multiLevelType w:val="hybridMultilevel"/>
    <w:lvl w:ilvl="0">
      <w:lvlJc w:val="left"/>
      <w:lvlText w:val="%1."/>
      <w:numFmt w:val="decimal"/>
      <w:start w:val="17"/>
    </w:lvl>
  </w:abstractNum>
  <w:abstractNum w:abstractNumId="265">
    <w:nsid w:val="41531DED"/>
    <w:multiLevelType w:val="hybridMultilevel"/>
    <w:lvl w:ilvl="0">
      <w:lvlJc w:val="left"/>
      <w:lvlText w:val="%1."/>
      <w:numFmt w:val="decimal"/>
      <w:start w:val="18"/>
    </w:lvl>
  </w:abstractNum>
  <w:abstractNum w:abstractNumId="266">
    <w:nsid w:val="6353CD2"/>
    <w:multiLevelType w:val="hybridMultilevel"/>
    <w:lvl w:ilvl="0">
      <w:lvlJc w:val="left"/>
      <w:lvlText w:val="%1."/>
      <w:numFmt w:val="decimal"/>
      <w:start w:val="19"/>
    </w:lvl>
  </w:abstractNum>
  <w:abstractNum w:abstractNumId="267">
    <w:nsid w:val="683CAAD3"/>
    <w:multiLevelType w:val="hybridMultilevel"/>
    <w:lvl w:ilvl="0">
      <w:lvlJc w:val="left"/>
      <w:lvlText w:val="%1."/>
      <w:numFmt w:val="decimal"/>
      <w:start w:val="20"/>
    </w:lvl>
  </w:abstractNum>
  <w:abstractNum w:abstractNumId="268">
    <w:nsid w:val="313C7C99"/>
    <w:multiLevelType w:val="hybridMultilevel"/>
    <w:lvl w:ilvl="0">
      <w:lvlJc w:val="left"/>
      <w:lvlText w:val="%1."/>
      <w:numFmt w:val="decimal"/>
      <w:start w:val="21"/>
    </w:lvl>
  </w:abstractNum>
  <w:abstractNum w:abstractNumId="269">
    <w:nsid w:val="519EB94C"/>
    <w:multiLevelType w:val="hybridMultilevel"/>
    <w:lvl w:ilvl="0">
      <w:lvlJc w:val="left"/>
      <w:lvlText w:val="%1."/>
      <w:numFmt w:val="decimal"/>
      <w:start w:val="22"/>
    </w:lvl>
  </w:abstractNum>
  <w:abstractNum w:abstractNumId="270">
    <w:nsid w:val="39DF2579"/>
    <w:multiLevelType w:val="hybridMultilevel"/>
    <w:lvl w:ilvl="0">
      <w:lvlJc w:val="left"/>
      <w:lvlText w:val="%1."/>
      <w:numFmt w:val="decimal"/>
      <w:start w:val="1"/>
    </w:lvl>
    <w:lvl w:ilvl="1">
      <w:lvlJc w:val="left"/>
      <w:lvlText w:val="(%2)"/>
      <w:numFmt w:val="lowerLetter"/>
      <w:start w:val="1"/>
    </w:lvl>
  </w:abstractNum>
  <w:abstractNum w:abstractNumId="271">
    <w:nsid w:val="126E008B"/>
    <w:multiLevelType w:val="hybridMultilevel"/>
    <w:lvl w:ilvl="0">
      <w:lvlJc w:val="left"/>
      <w:lvlText w:val="%1"/>
      <w:numFmt w:val="decimal"/>
      <w:start w:val="1"/>
    </w:lvl>
    <w:lvl w:ilvl="1">
      <w:lvlJc w:val="left"/>
      <w:lvlText w:val="(%2)"/>
      <w:numFmt w:val="lowerLetter"/>
      <w:start w:val="3"/>
    </w:lvl>
  </w:abstractNum>
  <w:abstractNum w:abstractNumId="272">
    <w:nsid w:val="34DFBC00"/>
    <w:multiLevelType w:val="hybridMultilevel"/>
    <w:lvl w:ilvl="0">
      <w:lvlJc w:val="left"/>
      <w:lvlText w:val="%1."/>
      <w:numFmt w:val="decimal"/>
      <w:start w:val="2"/>
    </w:lvl>
    <w:lvl w:ilvl="1">
      <w:lvlJc w:val="left"/>
      <w:lvlText w:val="(%2)"/>
      <w:numFmt w:val="lowerLetter"/>
      <w:start w:val="1"/>
    </w:lvl>
  </w:abstractNum>
  <w:abstractNum w:abstractNumId="273">
    <w:nsid w:val="1F9EC322"/>
    <w:multiLevelType w:val="hybridMultilevel"/>
    <w:lvl w:ilvl="0">
      <w:lvlJc w:val="left"/>
      <w:lvlText w:val="%1."/>
      <w:numFmt w:val="decimal"/>
      <w:start w:val="4"/>
    </w:lvl>
    <w:lvl w:ilvl="1">
      <w:lvlJc w:val="left"/>
      <w:lvlText w:val="(%2)"/>
      <w:numFmt w:val="lowerLetter"/>
      <w:start w:val="1"/>
    </w:lvl>
  </w:abstractNum>
  <w:abstractNum w:abstractNumId="274">
    <w:nsid w:val="3410ED56"/>
    <w:multiLevelType w:val="hybridMultilevel"/>
    <w:lvl w:ilvl="0">
      <w:lvlJc w:val="left"/>
      <w:lvlText w:val="%1"/>
      <w:numFmt w:val="decimal"/>
      <w:start w:val="1"/>
    </w:lvl>
    <w:lvl w:ilvl="1">
      <w:lvlJc w:val="left"/>
      <w:lvlText w:val="(%2)"/>
      <w:numFmt w:val="lowerLetter"/>
      <w:start w:val="4"/>
    </w:lvl>
  </w:abstractNum>
  <w:abstractNum w:abstractNumId="275">
    <w:nsid w:val="23C049A"/>
    <w:multiLevelType w:val="hybridMultilevel"/>
    <w:lvl w:ilvl="0">
      <w:lvlJc w:val="left"/>
      <w:lvlText w:val="%1."/>
      <w:numFmt w:val="decimal"/>
      <w:start w:val="5"/>
    </w:lvl>
    <w:lvl w:ilvl="1">
      <w:lvlJc w:val="left"/>
      <w:lvlText w:val="%2"/>
      <w:numFmt w:val="lowerLetter"/>
      <w:start w:val="1"/>
    </w:lvl>
  </w:abstractNum>
  <w:abstractNum w:abstractNumId="276">
    <w:nsid w:val="5BDA35D4"/>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77">
    <w:nsid w:val="496FB218"/>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278">
    <w:nsid w:val="680EA5D1"/>
    <w:multiLevelType w:val="hybridMultilevel"/>
    <w:lvl w:ilvl="0">
      <w:lvlJc w:val="left"/>
      <w:lvlText w:val="(%1)"/>
      <w:numFmt w:val="lowerLetter"/>
      <w:start w:val="2"/>
    </w:lvl>
    <w:lvl w:ilvl="1">
      <w:lvlJc w:val="left"/>
      <w:lvlText w:val="(%2)"/>
      <w:numFmt w:val="lowerRoman"/>
      <w:start w:val="1"/>
    </w:lvl>
  </w:abstractNum>
  <w:abstractNum w:abstractNumId="279">
    <w:nsid w:val="4A9554FE"/>
    <w:multiLevelType w:val="hybridMultilevel"/>
    <w:lvl w:ilvl="0">
      <w:lvlJc w:val="left"/>
      <w:lvlText w:val="%1."/>
      <w:numFmt w:val="decimal"/>
      <w:start w:val="9"/>
    </w:lvl>
    <w:lvl w:ilvl="1">
      <w:lvlJc w:val="left"/>
      <w:lvlText w:val="(%2)"/>
      <w:numFmt w:val="lowerLetter"/>
      <w:start w:val="1"/>
    </w:lvl>
  </w:abstractNum>
  <w:abstractNum w:abstractNumId="280">
    <w:nsid w:val="392EDBE4"/>
    <w:multiLevelType w:val="hybridMultilevel"/>
    <w:lvl w:ilvl="0">
      <w:lvlJc w:val="left"/>
      <w:lvlText w:val="%1."/>
      <w:numFmt w:val="decimal"/>
      <w:start w:val="12"/>
    </w:lvl>
    <w:lvl w:ilvl="1">
      <w:lvlJc w:val="left"/>
      <w:lvlText w:val="(%2)"/>
      <w:numFmt w:val="lowerLetter"/>
      <w:start w:val="1"/>
    </w:lvl>
  </w:abstractNum>
  <w:abstractNum w:abstractNumId="281">
    <w:nsid w:val="3D1A2DD9"/>
    <w:multiLevelType w:val="hybridMultilevel"/>
    <w:lvl w:ilvl="0">
      <w:lvlJc w:val="left"/>
      <w:lvlText w:val="%1."/>
      <w:numFmt w:val="decimal"/>
      <w:start w:val="16"/>
    </w:lvl>
  </w:abstractNum>
  <w:abstractNum w:abstractNumId="282">
    <w:nsid w:val="7F618FCD"/>
    <w:multiLevelType w:val="hybridMultilevel"/>
    <w:lvl w:ilvl="0">
      <w:lvlJc w:val="left"/>
      <w:lvlText w:val="%1."/>
      <w:numFmt w:val="decimal"/>
      <w:start w:val="1"/>
    </w:lvl>
  </w:abstractNum>
  <w:abstractNum w:abstractNumId="283">
    <w:nsid w:val="7843E45"/>
    <w:multiLevelType w:val="hybridMultilevel"/>
    <w:lvl w:ilvl="0">
      <w:lvlJc w:val="left"/>
      <w:lvlText w:val="%1."/>
      <w:numFmt w:val="decimal"/>
      <w:start w:val="2"/>
    </w:lvl>
  </w:abstractNum>
  <w:abstractNum w:abstractNumId="284">
    <w:nsid w:val="9815DA3"/>
    <w:multiLevelType w:val="hybridMultilevel"/>
    <w:lvl w:ilvl="0">
      <w:lvlJc w:val="left"/>
      <w:lvlText w:val="%1."/>
      <w:numFmt w:val="decimal"/>
      <w:start w:val="3"/>
    </w:lvl>
  </w:abstractNum>
  <w:abstractNum w:abstractNumId="285">
    <w:nsid w:val="5204A191"/>
    <w:multiLevelType w:val="hybridMultilevel"/>
    <w:lvl w:ilvl="0">
      <w:lvlJc w:val="left"/>
      <w:lvlText w:val="%1."/>
      <w:numFmt w:val="decimal"/>
      <w:start w:val="4"/>
    </w:lvl>
  </w:abstractNum>
  <w:abstractNum w:abstractNumId="286">
    <w:nsid w:val="4C73A9C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2019-12-15T16:42:07Z</dcterms:created>
  <dcterms:modified xsi:type="dcterms:W3CDTF">2019-12-15T16:42:07Z</dcterms:modified>
</cp:coreProperties>
</file>