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lope-20230620x8k.htm"/>
      <w:bookmarkStart w:id="1" w:name="kslope20230620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46a61a39_ac24_4f8f_a976_e96e951b9733"/>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June 20, 2023</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Grand Canyon Education,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STtgWLdAMkm4HIQtdVE-3w_3_0"/>
      <w:bookmarkStart w:id="4" w:name="Tc_R3Q6kBGtA0-BNc0YNHgooQ_2_4"/>
      <w:bookmarkStart w:id="5" w:name="Tc_uyiR0ry3eE2S8FbJ--J4QA_2_2"/>
      <w:bookmarkStart w:id="6" w:name="Tc_NYR9dA4IgEKa0Sl_j5SMTw_2_0"/>
      <w:bookmarkStart w:id="7" w:name="_7fa0ebfc_0c79_4dbe_87e0_6617c5cbb49e"/>
      <w:bookmarkStart w:id="8" w:name="Tc_STtgWLdAMkm4HIQtdVE-3w_3_0"/>
      <w:bookmarkStart w:id="9" w:name="Tc_R3Q6kBGtA0-BNc0YNHgooQ_2_4"/>
      <w:bookmarkStart w:id="10" w:name="Tc_uyiR0ry3eE2S8FbJ--J4QA_2_2"/>
      <w:bookmarkStart w:id="11" w:name="Tc_NYR9dA4IgEKa0Sl_j5SMTw_2_0"/>
      <w:bookmarkStart w:id="12" w:name="_7fa0ebfc_0c79_4dbe_87e0_6617c5cbb49e"/>
      <w:bookmarkEnd w:id="8"/>
      <w:bookmarkEnd w:id="9"/>
      <w:bookmarkEnd w:id="10"/>
      <w:bookmarkEnd w:id="11"/>
      <w:bookmarkEnd w:id="12"/>
    </w:p>
    <w:tbl>
      <w:tblPr>
        <w:tblW w:w="8320" w:type="dxa"/>
        <w:jc w:val="left"/>
        <w:tblInd w:w="0" w:type="dxa"/>
        <w:tblLayout w:type="fixed"/>
        <w:tblCellMar>
          <w:top w:w="0" w:type="dxa"/>
          <w:left w:w="0" w:type="dxa"/>
          <w:bottom w:w="0" w:type="dxa"/>
          <w:right w:w="0" w:type="dxa"/>
        </w:tblCellMar>
      </w:tblPr>
      <w:tblGrid>
        <w:gridCol w:w="2476"/>
        <w:gridCol w:w="326"/>
        <w:gridCol w:w="2296"/>
        <w:gridCol w:w="326"/>
        <w:gridCol w:w="28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center"/>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001-34211</w:t>
            </w:r>
          </w:p>
        </w:tc>
        <w:tc>
          <w:tcPr>
            <w:tcW w:w="326" w:type="dxa"/>
            <w:tcBorders/>
            <w:vAlign w:val="center"/>
          </w:tcPr>
          <w:p>
            <w:pPr>
              <w:pStyle w:val="TableContents"/>
              <w:bidi w:val="0"/>
              <w:spacing w:before="0" w:after="0"/>
              <w:ind w:left="0" w:right="0" w:hanging="0"/>
              <w:jc w:val="center"/>
              <w:rPr/>
            </w:pPr>
            <w:r>
              <w:rPr/>
              <w:t>    </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2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2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2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240"/>
              <w:ind w:left="0" w:right="0" w:hanging="0"/>
              <w:jc w:val="center"/>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Z0lKQAosA0SxDkQIj-M3ew_3_1"/>
      <w:bookmarkStart w:id="14" w:name="Tc_wYFVV9LbskKN07z1fp7sBw_3_0"/>
      <w:bookmarkStart w:id="15" w:name="Tc_IxYsp4Ja602vjaYFtX9yJw_2_0"/>
      <w:bookmarkStart w:id="16" w:name="_9a323b27_c53c_42df_98ef_985e5341818d"/>
      <w:bookmarkStart w:id="17" w:name="Tc_Z0lKQAosA0SxDkQIj-M3ew_3_1"/>
      <w:bookmarkStart w:id="18" w:name="Tc_wYFVV9LbskKN07z1fp7sBw_3_0"/>
      <w:bookmarkStart w:id="19" w:name="Tc_IxYsp4Ja602vjaYFtX9yJw_2_0"/>
      <w:bookmarkStart w:id="20" w:name="_9a323b27_c53c_42df_98ef_985e5341818d"/>
      <w:bookmarkEnd w:id="17"/>
      <w:bookmarkEnd w:id="18"/>
      <w:bookmarkEnd w:id="19"/>
      <w:bookmarkEnd w:id="20"/>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tc>
        <w:tc>
          <w:tcPr>
            <w:tcW w:w="1036" w:type="dxa"/>
            <w:tcBorders/>
            <w:vAlign w:val="center"/>
          </w:tcPr>
          <w:p>
            <w:pPr>
              <w:pStyle w:val="TableContents"/>
              <w:bidi w:val="0"/>
              <w:spacing w:before="0" w:after="24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85017</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(602) 247-4400</w:t>
      </w:r>
    </w:p>
    <w:tbl>
      <w:tblPr>
        <w:tblW w:w="5026" w:type="dxa"/>
        <w:jc w:val="left"/>
        <w:tblInd w:w="0" w:type="dxa"/>
        <w:tblLayout w:type="fixed"/>
        <w:tblCellMar>
          <w:top w:w="0" w:type="dxa"/>
          <w:left w:w="0" w:type="dxa"/>
          <w:bottom w:w="0" w:type="dxa"/>
          <w:right w:w="0" w:type="dxa"/>
        </w:tblCellMar>
      </w:tblPr>
      <w:tblGrid>
        <w:gridCol w:w="502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91510" cy="175260"/>
                      <wp:effectExtent l="0" t="0" r="0" b="0"/>
                      <wp:wrapNone/>
                      <wp:docPr id="1" name="Frame1"/>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0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hanging="0"/>
        <w:jc w:val="both"/>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240"/>
        <w:ind w:left="0" w:right="0" w:hanging="0"/>
        <w:jc w:val="both"/>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0VdzAd6deky0CpaH3DZdFg_0_2"/>
      <w:bookmarkStart w:id="22" w:name="Tc_3XYoBqbJOU-4bANUwOEvfA_0_1"/>
      <w:bookmarkStart w:id="23" w:name="Tc_J_im3xJCn0S5z5LeX4IhWA_0_0"/>
      <w:bookmarkStart w:id="24" w:name="_2f4b5bca_6f5b_4b11_908f_f1dd216d9493"/>
      <w:bookmarkStart w:id="25" w:name="Tc_0VdzAd6deky0CpaH3DZdFg_0_2"/>
      <w:bookmarkStart w:id="26" w:name="Tc_3XYoBqbJOU-4bANUwOEvfA_0_1"/>
      <w:bookmarkStart w:id="27" w:name="Tc_J_im3xJCn0S5z5LeX4IhWA_0_0"/>
      <w:bookmarkStart w:id="28" w:name="_2f4b5bca_6f5b_4b11_908f_f1dd216d9493"/>
      <w:bookmarkEnd w:id="25"/>
      <w:bookmarkEnd w:id="26"/>
      <w:bookmarkEnd w:id="27"/>
      <w:bookmarkEnd w:id="28"/>
    </w:p>
    <w:tbl>
      <w:tblPr>
        <w:tblW w:w="7143" w:type="dxa"/>
        <w:jc w:val="left"/>
        <w:tblInd w:w="-10" w:type="dxa"/>
        <w:tblLayout w:type="fixed"/>
        <w:tblCellMar>
          <w:top w:w="28" w:type="dxa"/>
          <w:left w:w="98" w:type="dxa"/>
          <w:bottom w:w="28" w:type="dxa"/>
          <w:right w:w="98" w:type="dxa"/>
        </w:tblCellMar>
      </w:tblPr>
      <w:tblGrid>
        <w:gridCol w:w="1621"/>
        <w:gridCol w:w="1696"/>
        <w:gridCol w:w="3826"/>
      </w:tblGrid>
      <w:tr>
        <w:trPr/>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82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both"/>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w:t>
      </w:r>
      <w:r>
        <w:rPr>
          <w:rFonts w:ascii="Arial Unicode MS" w:hAnsi="Arial Unicode MS"/>
          <w:sz w:val="20"/>
        </w:rPr>
        <w:t>§</w:t>
      </w:r>
      <w:r>
        <w:rPr>
          <w:rFonts w:ascii="Times New Roman;Times;serif" w:hAnsi="Times New Roman;Times;serif"/>
          <w:sz w:val="20"/>
        </w:rPr>
        <w:t>230.405 of this chapter) or Rule 12b-2 of the Securities Exchange Act of 1934 (</w:t>
      </w:r>
      <w:r>
        <w:rPr>
          <w:rFonts w:ascii="Arial Unicode MS" w:hAnsi="Arial Unicode MS"/>
          <w:sz w:val="20"/>
        </w:rPr>
        <w:t>§</w:t>
      </w:r>
      <w:r>
        <w:rPr>
          <w:rFonts w:ascii="Times New Roman;Times;serif" w:hAnsi="Times New Roman;Times;serif"/>
          <w:sz w:val="20"/>
        </w:rPr>
        <w:t>240.12b-2 of this chapter).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both"/>
        <w:rPr/>
      </w:pPr>
      <w:r>
        <w:rPr/>
        <w:t>​</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b/>
          <w:sz w:val="20"/>
        </w:rPr>
      </w:pPr>
      <w:bookmarkStart w:id="29" w:name="_d2fa2c79_0427_4dec_a1d7_c77492fd2796"/>
      <w:bookmarkEnd w:id="29"/>
      <w:r>
        <w:rPr>
          <w:rFonts w:ascii="Times New Roman;Times;serif" w:hAnsi="Times New Roman;Times;serif"/>
          <w:b/>
          <w:i w:val="false"/>
          <w:caps w:val="false"/>
          <w:smallCaps w:val="false"/>
          <w:sz w:val="20"/>
        </w:rPr>
        <w:t>Item 5.07.</w:t>
      </w:r>
      <w:r>
        <w:rPr>
          <w:rFonts w:ascii="Times New Roman;Times;serif" w:hAnsi="Times New Roman;Times;serif"/>
          <w:b/>
          <w:sz w:val="20"/>
        </w:rPr>
        <w:t>Submission of Matters to a Vote of Security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20, 2023, Grand Canyon Education, Inc. (the “Company”) held its 2023 Annual Meeting of Stockholders (the “Annual Meeting”). The total number of shares of the Company’s common stock, par value of $0.01 per share, voted in person or by proxy at the Annual Meeting was 28,411,761, representing approximately 92.4% of the 30,750,457 shares that were outstanding and entitled to vote as of the record date. The following matters, which were described in the Company’s definitive Proxy Statement filed with the Securities and Exchange Commission on April 26, 2023, were voted upon at the Annual Meeting, and the number of votes cast for and against, as well as abstentions and broker non-votes, if applicable, with respect to each such matter is set forth below.</w:t>
      </w:r>
    </w:p>
    <w:tbl>
      <w:tblPr>
        <w:tblW w:w="10205" w:type="dxa"/>
        <w:jc w:val="left"/>
        <w:tblInd w:w="0" w:type="dxa"/>
        <w:tblLayout w:type="fixed"/>
        <w:tblCellMar>
          <w:top w:w="28" w:type="dxa"/>
          <w:left w:w="28" w:type="dxa"/>
          <w:bottom w:w="28" w:type="dxa"/>
          <w:right w:w="28" w:type="dxa"/>
        </w:tblCellMar>
      </w:tblPr>
      <w:tblGrid>
        <w:gridCol w:w="124"/>
        <w:gridCol w:w="236"/>
        <w:gridCol w:w="9845"/>
      </w:tblGrid>
      <w:tr>
        <w:trPr/>
        <w:tc>
          <w:tcPr>
            <w:tcW w:w="124" w:type="dxa"/>
            <w:tcBorders/>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elected the nominees listed below as Directors of the Company, each to serve until the Company’s 2024 Annual Meeting of Stockholders or until his or her respective successor is elected and qualified or until his or her earlier resignation or removal.</w:t>
            </w:r>
          </w:p>
        </w:tc>
      </w:tr>
    </w:tbl>
    <w:tbl>
      <w:tblPr>
        <w:tblW w:w="7485" w:type="dxa"/>
        <w:jc w:val="left"/>
        <w:tblInd w:w="0" w:type="dxa"/>
        <w:tblLayout w:type="fixed"/>
        <w:tblCellMar>
          <w:top w:w="0" w:type="dxa"/>
          <w:left w:w="0" w:type="dxa"/>
          <w:bottom w:w="0" w:type="dxa"/>
          <w:right w:w="0" w:type="dxa"/>
        </w:tblCellMar>
      </w:tblPr>
      <w:tblGrid>
        <w:gridCol w:w="1801"/>
        <w:gridCol w:w="326"/>
        <w:gridCol w:w="1081"/>
        <w:gridCol w:w="326"/>
        <w:gridCol w:w="976"/>
        <w:gridCol w:w="326"/>
        <w:gridCol w:w="721"/>
        <w:gridCol w:w="326"/>
        <w:gridCol w:w="1411"/>
        <w:gridCol w:w="19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29210"/>
                      <wp:effectExtent l="0" t="0" r="0" b="0"/>
                      <wp:wrapNone/>
                      <wp:docPr id="3" name="Frame3"/>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29210"/>
                      <wp:effectExtent l="0" t="0" r="0" b="0"/>
                      <wp:wrapNone/>
                      <wp:docPr id="4" name="Frame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29210"/>
                      <wp:effectExtent l="0" t="0" r="0" b="0"/>
                      <wp:wrapNone/>
                      <wp:docPr id="5" name="Frame5"/>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1285" cy="29210"/>
                      <wp:effectExtent l="0" t="0" r="0" b="0"/>
                      <wp:wrapNone/>
                      <wp:docPr id="6" name="Frame6"/>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 xml:space="preserve">Director </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Against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Abstain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Broker Non Votes</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801" w:type="dxa"/>
            <w:tcBorders>
              <w:top w:val="single" w:sz="2" w:space="0" w:color="000000"/>
            </w:tcBorders>
            <w:shd w:fill="CCEEFF" w:val="clear"/>
            <w:tcMar>
              <w:top w:w="28" w:type="dxa"/>
            </w:tcM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26,725,810 </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882,331 </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12,663 </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790,957 </w:t>
            </w:r>
          </w:p>
        </w:tc>
        <w:tc>
          <w:tcPr>
            <w:tcW w:w="19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Sara R. Dial</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26,758,749 </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850,168 </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11,887 </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790,957 </w:t>
            </w:r>
          </w:p>
        </w:tc>
        <w:tc>
          <w:tcPr>
            <w:tcW w:w="191" w:type="dxa"/>
            <w:tcBorders/>
            <w:vAlign w:val="center"/>
          </w:tcPr>
          <w:p>
            <w:pPr>
              <w:pStyle w:val="TableContents"/>
              <w:bidi w:val="0"/>
              <w:spacing w:before="0" w:after="0"/>
              <w:ind w:left="0" w:right="0" w:hanging="0"/>
              <w:jc w:val="left"/>
              <w:rPr/>
            </w:pPr>
            <w:r>
              <w:rPr/>
              <w:t>​</w:t>
            </w:r>
          </w:p>
        </w:tc>
      </w:tr>
      <w:tr>
        <w:trPr/>
        <w:tc>
          <w:tcPr>
            <w:tcW w:w="1801"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Jack A. Henry</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26,003,776 </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1,605,028 </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12,000 </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790,957 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Lisa Graham Keegan</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26,784,913 </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823,902 </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11,989 </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790,957 </w:t>
            </w:r>
          </w:p>
        </w:tc>
        <w:tc>
          <w:tcPr>
            <w:tcW w:w="191" w:type="dxa"/>
            <w:tcBorders/>
            <w:vAlign w:val="center"/>
          </w:tcPr>
          <w:p>
            <w:pPr>
              <w:pStyle w:val="TableContents"/>
              <w:bidi w:val="0"/>
              <w:spacing w:before="0" w:after="0"/>
              <w:ind w:left="0" w:right="0" w:hanging="0"/>
              <w:jc w:val="left"/>
              <w:rPr/>
            </w:pPr>
            <w:r>
              <w:rPr/>
              <w:t>​</w:t>
            </w:r>
          </w:p>
        </w:tc>
      </w:tr>
      <w:tr>
        <w:trPr/>
        <w:tc>
          <w:tcPr>
            <w:tcW w:w="1801"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Chevy Humphrey</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26,699,767 </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908,937 </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12,100 </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790,957 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David M. Adame</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26,850,494 </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757,873 </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12,437 </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790,957 </w:t>
            </w:r>
          </w:p>
        </w:tc>
        <w:tc>
          <w:tcPr>
            <w:tcW w:w="191" w:type="dxa"/>
            <w:tcBorders/>
            <w:vAlign w:val="center"/>
          </w:tcPr>
          <w:p>
            <w:pPr>
              <w:pStyle w:val="TableContents"/>
              <w:bidi w:val="0"/>
              <w:spacing w:before="0" w:after="0"/>
              <w:ind w:left="0" w:right="0" w:hanging="0"/>
              <w:jc w:val="left"/>
              <w:rPr/>
            </w:pPr>
            <w:r>
              <w:rPr/>
              <w:t>​</w:t>
            </w:r>
          </w:p>
        </w:tc>
      </w:tr>
    </w:tbl>
    <w:tbl>
      <w:tblPr>
        <w:tblW w:w="8661" w:type="dxa"/>
        <w:jc w:val="left"/>
        <w:tblInd w:w="0" w:type="dxa"/>
        <w:tblLayout w:type="fixed"/>
        <w:tblCellMar>
          <w:top w:w="28" w:type="dxa"/>
          <w:left w:w="28" w:type="dxa"/>
          <w:bottom w:w="28" w:type="dxa"/>
          <w:right w:w="28" w:type="dxa"/>
        </w:tblCellMar>
      </w:tblPr>
      <w:tblGrid>
        <w:gridCol w:w="124"/>
        <w:gridCol w:w="271"/>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approved, on an advisory basis, the compensation of our named executive officers.</w:t>
            </w:r>
          </w:p>
        </w:tc>
      </w:tr>
    </w:tbl>
    <w:tbl>
      <w:tblPr>
        <w:tblW w:w="7725" w:type="dxa"/>
        <w:jc w:val="left"/>
        <w:tblInd w:w="0" w:type="dxa"/>
        <w:tblLayout w:type="fixed"/>
        <w:tblCellMar>
          <w:top w:w="0" w:type="dxa"/>
          <w:left w:w="0" w:type="dxa"/>
          <w:bottom w:w="0" w:type="dxa"/>
          <w:right w:w="0" w:type="dxa"/>
        </w:tblCellMar>
      </w:tblPr>
      <w:tblGrid>
        <w:gridCol w:w="2191"/>
        <w:gridCol w:w="326"/>
        <w:gridCol w:w="1081"/>
        <w:gridCol w:w="326"/>
        <w:gridCol w:w="826"/>
        <w:gridCol w:w="326"/>
        <w:gridCol w:w="721"/>
        <w:gridCol w:w="326"/>
        <w:gridCol w:w="1411"/>
        <w:gridCol w:w="19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91285" cy="175260"/>
                      <wp:effectExtent l="0" t="0" r="0" b="0"/>
                      <wp:wrapNone/>
                      <wp:docPr id="7" name="Frame7"/>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29210"/>
                      <wp:effectExtent l="0" t="0" r="0" b="0"/>
                      <wp:wrapNone/>
                      <wp:docPr id="8" name="Frame8"/>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86435" cy="29210"/>
                      <wp:effectExtent l="0" t="0" r="0" b="0"/>
                      <wp:wrapNone/>
                      <wp:docPr id="9" name="Frame9"/>
                      <a:graphic xmlns:a="http://schemas.openxmlformats.org/drawingml/2006/main">
                        <a:graphicData uri="http://schemas.microsoft.com/office/word/2010/wordprocessingShape">
                          <wps:wsp>
                            <wps:cNvSpPr txBox="1"/>
                            <wps:spPr>
                              <a:xfrm>
                                <a:off x="0" y="0"/>
                                <a:ext cx="686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29210"/>
                      <wp:effectExtent l="0" t="0" r="0" b="0"/>
                      <wp:wrapNone/>
                      <wp:docPr id="10" name="Frame10"/>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24510" cy="29210"/>
                      <wp:effectExtent l="0" t="0" r="0" b="0"/>
                      <wp:wrapNone/>
                      <wp:docPr id="11" name="Frame11"/>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29210"/>
                      <wp:effectExtent l="0" t="0" r="0" b="0"/>
                      <wp:wrapNone/>
                      <wp:docPr id="12" name="Frame1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57835" cy="29210"/>
                      <wp:effectExtent l="0" t="0" r="0" b="0"/>
                      <wp:wrapNone/>
                      <wp:docPr id="13" name="Frame13"/>
                      <a:graphic xmlns:a="http://schemas.openxmlformats.org/drawingml/2006/main">
                        <a:graphicData uri="http://schemas.microsoft.com/office/word/2010/wordprocessingShape">
                          <wps:wsp>
                            <wps:cNvSpPr txBox="1"/>
                            <wps:spPr>
                              <a:xfrm>
                                <a:off x="0" y="0"/>
                                <a:ext cx="457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29210"/>
                      <wp:effectExtent l="0" t="0" r="0" b="0"/>
                      <wp:wrapNone/>
                      <wp:docPr id="14" name="Frame1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895985" cy="29210"/>
                      <wp:effectExtent l="0" t="0" r="0" b="0"/>
                      <wp:wrapNone/>
                      <wp:docPr id="15" name="Frame15"/>
                      <a:graphic xmlns:a="http://schemas.openxmlformats.org/drawingml/2006/main">
                        <a:graphicData uri="http://schemas.microsoft.com/office/word/2010/wordprocessingShape">
                          <wps:wsp>
                            <wps:cNvSpPr txBox="1"/>
                            <wps:spPr>
                              <a:xfrm>
                                <a:off x="0" y="0"/>
                                <a:ext cx="895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1285" cy="29210"/>
                      <wp:effectExtent l="0" t="0" r="0" b="0"/>
                      <wp:wrapNone/>
                      <wp:docPr id="16" name="Frame16"/>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Against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Abstain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Broker Non Votes</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of Officers</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26,613,475 </w:t>
            </w:r>
          </w:p>
        </w:tc>
        <w:tc>
          <w:tcPr>
            <w:tcW w:w="326" w:type="dxa"/>
            <w:tcBorders/>
            <w:shd w:fill="CCEEFF" w:val="clear"/>
            <w:vAlign w:val="center"/>
          </w:tcPr>
          <w:p>
            <w:pPr>
              <w:pStyle w:val="TableContents"/>
              <w:bidi w:val="0"/>
              <w:spacing w:before="0" w:after="0"/>
              <w:ind w:left="0" w:right="0" w:hanging="0"/>
              <w:jc w:val="right"/>
              <w:rPr/>
            </w:pPr>
            <w:r>
              <w:rPr/>
              <w:t>​</w:t>
            </w:r>
          </w:p>
        </w:tc>
        <w:tc>
          <w:tcPr>
            <w:tcW w:w="8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994,646 </w:t>
            </w:r>
          </w:p>
        </w:tc>
        <w:tc>
          <w:tcPr>
            <w:tcW w:w="326" w:type="dxa"/>
            <w:tcBorders/>
            <w:shd w:fill="CCEEFF" w:val="clear"/>
            <w:vAlign w:val="center"/>
          </w:tcPr>
          <w:p>
            <w:pPr>
              <w:pStyle w:val="TableContents"/>
              <w:bidi w:val="0"/>
              <w:spacing w:before="0" w:after="0"/>
              <w:ind w:left="0" w:right="0" w:hanging="0"/>
              <w:jc w:val="right"/>
              <w:rPr/>
            </w:pPr>
            <w:r>
              <w:rPr/>
              <w:t>​</w:t>
            </w:r>
          </w:p>
        </w:tc>
        <w:tc>
          <w:tcPr>
            <w:tcW w:w="72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12,683 </w:t>
            </w:r>
          </w:p>
        </w:tc>
        <w:tc>
          <w:tcPr>
            <w:tcW w:w="326" w:type="dxa"/>
            <w:tcBorders/>
            <w:shd w:fill="CCEEFF" w:val="clear"/>
            <w:vAlign w:val="center"/>
          </w:tcPr>
          <w:p>
            <w:pPr>
              <w:pStyle w:val="TableContents"/>
              <w:bidi w:val="0"/>
              <w:spacing w:before="0" w:after="0"/>
              <w:ind w:left="0" w:right="0" w:hanging="0"/>
              <w:jc w:val="right"/>
              <w:rPr/>
            </w:pPr>
            <w:r>
              <w:rPr/>
              <w:t>​</w:t>
            </w:r>
          </w:p>
        </w:tc>
        <w:tc>
          <w:tcPr>
            <w:tcW w:w="14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790,957 </w:t>
            </w:r>
          </w:p>
        </w:tc>
        <w:tc>
          <w:tcPr>
            <w:tcW w:w="19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720" w:right="0" w:hanging="0"/>
        <w:jc w:val="both"/>
        <w:rPr/>
      </w:pPr>
      <w:r>
        <w:rPr/>
        <w:t>​</w:t>
      </w:r>
    </w:p>
    <w:tbl>
      <w:tblPr>
        <w:tblW w:w="9981" w:type="dxa"/>
        <w:jc w:val="left"/>
        <w:tblInd w:w="0" w:type="dxa"/>
        <w:tblLayout w:type="fixed"/>
        <w:tblCellMar>
          <w:top w:w="28" w:type="dxa"/>
          <w:left w:w="28" w:type="dxa"/>
          <w:bottom w:w="28" w:type="dxa"/>
          <w:right w:w="28" w:type="dxa"/>
        </w:tblCellMar>
      </w:tblPr>
      <w:tblGrid>
        <w:gridCol w:w="124"/>
        <w:gridCol w:w="271"/>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approved, on an advisory basis, the frequency of future advisory votes on executive compensation.</w:t>
            </w:r>
          </w:p>
        </w:tc>
      </w:tr>
    </w:tbl>
    <w:p>
      <w:pPr>
        <w:pStyle w:val="TextBody"/>
        <w:bidi w:val="0"/>
        <w:spacing w:before="0" w:after="0"/>
        <w:ind w:left="0" w:right="0" w:hanging="0"/>
        <w:jc w:val="left"/>
        <w:rPr/>
      </w:pPr>
      <w:r>
        <w:rPr/>
        <w:t>​</w:t>
      </w:r>
    </w:p>
    <w:tbl>
      <w:tblPr>
        <w:tblW w:w="7717" w:type="dxa"/>
        <w:jc w:val="left"/>
        <w:tblInd w:w="0" w:type="dxa"/>
        <w:tblLayout w:type="fixed"/>
        <w:tblCellMar>
          <w:top w:w="0" w:type="dxa"/>
          <w:left w:w="0" w:type="dxa"/>
          <w:bottom w:w="0" w:type="dxa"/>
          <w:right w:w="0" w:type="dxa"/>
        </w:tblCellMar>
      </w:tblPr>
      <w:tblGrid>
        <w:gridCol w:w="2491"/>
        <w:gridCol w:w="1036"/>
        <w:gridCol w:w="109"/>
        <w:gridCol w:w="781"/>
        <w:gridCol w:w="109"/>
        <w:gridCol w:w="781"/>
        <w:gridCol w:w="109"/>
        <w:gridCol w:w="676"/>
        <w:gridCol w:w="109"/>
        <w:gridCol w:w="1516"/>
      </w:tblGrid>
      <w:tr>
        <w:trPr/>
        <w:tc>
          <w:tcPr>
            <w:tcW w:w="249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firstLine="25"/>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firstLine="25"/>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firstLine="25"/>
              <w:jc w:val="center"/>
              <w:rPr/>
            </w:pPr>
            <w:r>
              <w:rPr/>
              <w:t>​</w:t>
            </w:r>
          </w:p>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Every </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Every </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 Years</w:t>
            </w:r>
          </w:p>
        </w:tc>
        <w:tc>
          <w:tcPr>
            <w:tcW w:w="109"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firstLine="25"/>
              <w:jc w:val="center"/>
              <w:rPr>
                <w:rFonts w:ascii="Times New Roman;Times;serif" w:hAnsi="Times New Roman;Times;serif"/>
                <w:b/>
                <w:sz w:val="16"/>
              </w:rPr>
            </w:pPr>
            <w:r>
              <w:rPr>
                <w:rFonts w:ascii="Times New Roman;Times;serif" w:hAnsi="Times New Roman;Times;serif"/>
                <w:b/>
                <w:sz w:val="16"/>
              </w:rPr>
              <w:t xml:space="preserve">Every </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 Years</w:t>
            </w:r>
          </w:p>
        </w:tc>
        <w:tc>
          <w:tcPr>
            <w:tcW w:w="109"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firstLine="25"/>
              <w:jc w:val="center"/>
              <w:rPr/>
            </w:pPr>
            <w:r>
              <w:rPr/>
              <w:t>​</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Abstain</w:t>
            </w:r>
          </w:p>
        </w:tc>
        <w:tc>
          <w:tcPr>
            <w:tcW w:w="109" w:type="dxa"/>
            <w:tcBorders/>
            <w:vAlign w:val="center"/>
          </w:tcPr>
          <w:p>
            <w:pPr>
              <w:pStyle w:val="TableContents"/>
              <w:bidi w:val="0"/>
              <w:spacing w:before="0" w:after="0"/>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0"/>
              <w:ind w:left="0" w:right="0" w:firstLine="25"/>
              <w:jc w:val="center"/>
              <w:rPr/>
            </w:pPr>
            <w:r>
              <w:rPr/>
              <w:t>​</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Broker Non</w:t>
            </w:r>
            <w:r>
              <w:rPr>
                <w:rFonts w:ascii="Times New Roman;Times;serif" w:hAnsi="Times New Roman;Times;serif"/>
                <w:sz w:val="16"/>
              </w:rPr>
              <w:t xml:space="preserve"> </w:t>
            </w:r>
            <w:r>
              <w:rPr>
                <w:rFonts w:ascii="Times New Roman;Times;serif" w:hAnsi="Times New Roman;Times;serif"/>
                <w:b/>
                <w:sz w:val="20"/>
              </w:rPr>
              <w:t>Votes</w:t>
            </w:r>
          </w:p>
        </w:tc>
      </w:tr>
      <w:tr>
        <w:trPr/>
        <w:tc>
          <w:tcPr>
            <w:tcW w:w="2491" w:type="dxa"/>
            <w:tcBorders/>
            <w:shd w:fill="CCEC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Frequency of Advisory Votes</w:t>
            </w:r>
          </w:p>
        </w:tc>
        <w:tc>
          <w:tcPr>
            <w:tcW w:w="1036" w:type="dxa"/>
            <w:tcBorders>
              <w:top w:val="single" w:sz="2" w:space="0" w:color="000000"/>
            </w:tcBorders>
            <w:shd w:fill="CCEC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26,546,352</w:t>
            </w:r>
          </w:p>
        </w:tc>
        <w:tc>
          <w:tcPr>
            <w:tcW w:w="109" w:type="dxa"/>
            <w:tcBorders/>
            <w:shd w:fill="CCECFF" w:val="clear"/>
            <w:vAlign w:val="center"/>
          </w:tcPr>
          <w:p>
            <w:pPr>
              <w:pStyle w:val="TableContents"/>
              <w:bidi w:val="0"/>
              <w:spacing w:before="0" w:after="0"/>
              <w:ind w:left="0" w:right="0" w:hanging="0"/>
              <w:jc w:val="center"/>
              <w:rPr/>
            </w:pPr>
            <w:r>
              <w:rPr/>
              <w:t>​</w:t>
            </w:r>
          </w:p>
        </w:tc>
        <w:tc>
          <w:tcPr>
            <w:tcW w:w="781" w:type="dxa"/>
            <w:tcBorders>
              <w:top w:val="single" w:sz="2" w:space="0" w:color="000000"/>
            </w:tcBorders>
            <w:shd w:fill="CCEC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218,487</w:t>
            </w:r>
          </w:p>
        </w:tc>
        <w:tc>
          <w:tcPr>
            <w:tcW w:w="109" w:type="dxa"/>
            <w:tcBorders/>
            <w:shd w:fill="CCECFF" w:val="clear"/>
            <w:vAlign w:val="center"/>
          </w:tcPr>
          <w:p>
            <w:pPr>
              <w:pStyle w:val="TableContents"/>
              <w:bidi w:val="0"/>
              <w:spacing w:before="0" w:after="0"/>
              <w:ind w:left="0" w:right="0" w:hanging="0"/>
              <w:jc w:val="center"/>
              <w:rPr/>
            </w:pPr>
            <w:r>
              <w:rPr/>
              <w:t>​</w:t>
            </w:r>
          </w:p>
        </w:tc>
        <w:tc>
          <w:tcPr>
            <w:tcW w:w="781" w:type="dxa"/>
            <w:tcBorders>
              <w:top w:val="single" w:sz="2" w:space="0" w:color="000000"/>
            </w:tcBorders>
            <w:shd w:fill="CCEC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843,317</w:t>
            </w:r>
          </w:p>
        </w:tc>
        <w:tc>
          <w:tcPr>
            <w:tcW w:w="109" w:type="dxa"/>
            <w:tcBorders/>
            <w:shd w:fill="CCECFF" w:val="clear"/>
            <w:vAlign w:val="center"/>
          </w:tcPr>
          <w:p>
            <w:pPr>
              <w:pStyle w:val="TableContents"/>
              <w:bidi w:val="0"/>
              <w:spacing w:before="0" w:after="0"/>
              <w:ind w:left="0" w:right="0" w:hanging="0"/>
              <w:jc w:val="center"/>
              <w:rPr/>
            </w:pPr>
            <w:r>
              <w:rPr/>
              <w:t>​</w:t>
            </w:r>
          </w:p>
        </w:tc>
        <w:tc>
          <w:tcPr>
            <w:tcW w:w="676" w:type="dxa"/>
            <w:tcBorders>
              <w:top w:val="single" w:sz="2" w:space="0" w:color="000000"/>
            </w:tcBorders>
            <w:shd w:fill="CCEC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11,648</w:t>
            </w:r>
          </w:p>
        </w:tc>
        <w:tc>
          <w:tcPr>
            <w:tcW w:w="109" w:type="dxa"/>
            <w:tcBorders/>
            <w:shd w:fill="CCECFF" w:val="clear"/>
            <w:vAlign w:val="center"/>
          </w:tcPr>
          <w:p>
            <w:pPr>
              <w:pStyle w:val="TableContents"/>
              <w:bidi w:val="0"/>
              <w:spacing w:before="0" w:after="0"/>
              <w:ind w:left="0" w:right="0" w:hanging="0"/>
              <w:jc w:val="center"/>
              <w:rPr/>
            </w:pPr>
            <w:r>
              <w:rPr/>
              <w:t>​</w:t>
            </w:r>
          </w:p>
        </w:tc>
        <w:tc>
          <w:tcPr>
            <w:tcW w:w="1516" w:type="dxa"/>
            <w:tcBorders>
              <w:top w:val="single" w:sz="2" w:space="0" w:color="000000"/>
            </w:tcBorders>
            <w:shd w:fill="CCEC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790,957</w:t>
            </w:r>
          </w:p>
        </w:tc>
      </w:tr>
    </w:tbl>
    <w:tbl>
      <w:tblPr>
        <w:tblW w:w="399" w:type="dxa"/>
        <w:jc w:val="left"/>
        <w:tblInd w:w="0" w:type="dxa"/>
        <w:tblLayout w:type="fixed"/>
        <w:tblCellMar>
          <w:top w:w="28" w:type="dxa"/>
          <w:left w:w="28" w:type="dxa"/>
          <w:bottom w:w="28" w:type="dxa"/>
          <w:right w:w="28" w:type="dxa"/>
        </w:tblCellMar>
      </w:tblPr>
      <w:tblGrid>
        <w:gridCol w:w="124"/>
        <w:gridCol w:w="12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
              </w:rPr>
            </w:pPr>
            <w:r>
              <w:rPr>
                <w:rFonts w:ascii="Times New Roman;Times;serif" w:hAnsi="Times New Roman;Times;serif"/>
                <w:sz w:val="2"/>
              </w:rPr>
              <w:t>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2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ratified the appointment of KPMG LLP as the Company’s independent registered public accounting firm for the fiscal year ending December 31, 2023.</w:t>
            </w:r>
          </w:p>
        </w:tc>
      </w:tr>
    </w:tbl>
    <w:tbl>
      <w:tblPr>
        <w:tblW w:w="6528" w:type="dxa"/>
        <w:jc w:val="left"/>
        <w:tblInd w:w="0" w:type="dxa"/>
        <w:tblLayout w:type="fixed"/>
        <w:tblCellMar>
          <w:top w:w="0" w:type="dxa"/>
          <w:left w:w="0" w:type="dxa"/>
          <w:bottom w:w="0" w:type="dxa"/>
          <w:right w:w="0" w:type="dxa"/>
        </w:tblCellMar>
      </w:tblPr>
      <w:tblGrid>
        <w:gridCol w:w="2296"/>
        <w:gridCol w:w="326"/>
        <w:gridCol w:w="1081"/>
        <w:gridCol w:w="326"/>
        <w:gridCol w:w="826"/>
        <w:gridCol w:w="326"/>
        <w:gridCol w:w="721"/>
        <w:gridCol w:w="326"/>
        <w:gridCol w:w="109"/>
        <w:gridCol w:w="191"/>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57960" cy="175260"/>
                      <wp:effectExtent l="0" t="0" r="0" b="0"/>
                      <wp:wrapNone/>
                      <wp:docPr id="17" name="Frame17"/>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29210"/>
                      <wp:effectExtent l="0" t="0" r="0" b="0"/>
                      <wp:wrapNone/>
                      <wp:docPr id="18" name="Frame18"/>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24510" cy="29210"/>
                      <wp:effectExtent l="0" t="0" r="0" b="0"/>
                      <wp:wrapNone/>
                      <wp:docPr id="19" name="Frame19"/>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29210"/>
                      <wp:effectExtent l="0" t="0" r="0" b="0"/>
                      <wp:wrapNone/>
                      <wp:docPr id="20" name="Frame20"/>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57835" cy="29210"/>
                      <wp:effectExtent l="0" t="0" r="0" b="0"/>
                      <wp:wrapNone/>
                      <wp:docPr id="21" name="Frame21"/>
                      <a:graphic xmlns:a="http://schemas.openxmlformats.org/drawingml/2006/main">
                        <a:graphicData uri="http://schemas.microsoft.com/office/word/2010/wordprocessingShape">
                          <wps:wsp>
                            <wps:cNvSpPr txBox="1"/>
                            <wps:spPr>
                              <a:xfrm>
                                <a:off x="0" y="0"/>
                                <a:ext cx="457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29210"/>
                      <wp:effectExtent l="0" t="0" r="0" b="0"/>
                      <wp:wrapNone/>
                      <wp:docPr id="22" name="Frame2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29210"/>
                      <wp:effectExtent l="0" t="0" r="0" b="0"/>
                      <wp:wrapNone/>
                      <wp:docPr id="23" name="Frame23"/>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1285" cy="29210"/>
                      <wp:effectExtent l="0" t="0" r="0" b="0"/>
                      <wp:wrapNone/>
                      <wp:docPr id="24" name="Frame24"/>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Against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Abstain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Ratification of KPMG LLP</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27,881,070 </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518,184 </w:t>
            </w:r>
          </w:p>
        </w:tc>
        <w:tc>
          <w:tcPr>
            <w:tcW w:w="326" w:type="dxa"/>
            <w:tcBorders/>
            <w:shd w:fill="CCEEFF" w:val="clear"/>
            <w:vAlign w:val="center"/>
          </w:tcPr>
          <w:p>
            <w:pPr>
              <w:pStyle w:val="TableContents"/>
              <w:bidi w:val="0"/>
              <w:spacing w:before="0" w:after="0"/>
              <w:ind w:left="0" w:right="0" w:hanging="0"/>
              <w:jc w:val="right"/>
              <w:rPr/>
            </w:pPr>
            <w:r>
              <w:rPr/>
              <w:t>​</w:t>
            </w:r>
          </w:p>
        </w:tc>
        <w:tc>
          <w:tcPr>
            <w:tcW w:w="72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12,507 </w:t>
            </w:r>
          </w:p>
        </w:tc>
        <w:tc>
          <w:tcPr>
            <w:tcW w:w="3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0" w:name="_05718710_37e8_46e4_82bf_ef2b916556f6"/>
      <w:bookmarkEnd w:id="30"/>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147" w:type="dxa"/>
        <w:jc w:val="left"/>
        <w:tblInd w:w="0" w:type="dxa"/>
        <w:tblLayout w:type="fixed"/>
        <w:tblCellMar>
          <w:top w:w="0" w:type="dxa"/>
          <w:left w:w="0" w:type="dxa"/>
          <w:bottom w:w="0" w:type="dxa"/>
          <w:right w:w="0" w:type="dxa"/>
        </w:tblCellMar>
      </w:tblPr>
      <w:tblGrid>
        <w:gridCol w:w="601"/>
        <w:gridCol w:w="1246"/>
        <w:gridCol w:w="665"/>
        <w:gridCol w:w="2635"/>
      </w:tblGrid>
      <w:tr>
        <w:trPr/>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81635" cy="14605"/>
                      <wp:effectExtent l="0" t="0" r="0" b="0"/>
                      <wp:wrapNone/>
                      <wp:docPr id="25" name="Frame25"/>
                      <a:graphic xmlns:a="http://schemas.openxmlformats.org/drawingml/2006/main">
                        <a:graphicData uri="http://schemas.microsoft.com/office/word/2010/wordprocessingShape">
                          <wps:wsp>
                            <wps:cNvSpPr txBox="1"/>
                            <wps:spPr>
                              <a:xfrm>
                                <a:off x="0" y="0"/>
                                <a:ext cx="381635" cy="1460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7</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791210" cy="29210"/>
                      <wp:effectExtent l="0" t="0" r="0" b="0"/>
                      <wp:wrapNone/>
                      <wp:docPr id="26" name="Frame26"/>
                      <a:graphic xmlns:a="http://schemas.openxmlformats.org/drawingml/2006/main">
                        <a:graphicData uri="http://schemas.microsoft.com/office/word/2010/wordprocessingShape">
                          <wps:wsp>
                            <wps:cNvSpPr txBox="1"/>
                            <wps:spPr>
                              <a:xfrm>
                                <a:off x="0" y="0"/>
                                <a:ext cx="791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22275" cy="29210"/>
                      <wp:effectExtent l="0" t="0" r="0" b="0"/>
                      <wp:wrapNone/>
                      <wp:docPr id="27" name="Frame27"/>
                      <a:graphic xmlns:a="http://schemas.openxmlformats.org/drawingml/2006/main">
                        <a:graphicData uri="http://schemas.microsoft.com/office/word/2010/wordprocessingShape">
                          <wps:wsp>
                            <wps:cNvSpPr txBox="1"/>
                            <wps:spPr>
                              <a:xfrm>
                                <a:off x="0" y="0"/>
                                <a:ext cx="4222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673225" cy="29210"/>
                      <wp:effectExtent l="0" t="0" r="0" b="0"/>
                      <wp:wrapNone/>
                      <wp:docPr id="28" name="Frame28"/>
                      <a:graphic xmlns:a="http://schemas.openxmlformats.org/drawingml/2006/main">
                        <a:graphicData uri="http://schemas.microsoft.com/office/word/2010/wordprocessingShape">
                          <wps:wsp>
                            <wps:cNvSpPr txBox="1"/>
                            <wps:spPr>
                              <a:xfrm>
                                <a:off x="0" y="0"/>
                                <a:ext cx="16732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7" w:type="dxa"/>
            <w:gridSpan w:val="2"/>
            <w:tcBorders/>
            <w:vAlign w:val="center"/>
          </w:tcPr>
          <w:p>
            <w:pPr>
              <w:pStyle w:val="TableContents"/>
              <w:bidi w:val="0"/>
              <w:spacing w:before="0" w:after="0"/>
              <w:ind w:left="0" w:right="0" w:hanging="0"/>
              <w:jc w:val="both"/>
              <w:rPr/>
            </w:pPr>
            <w:r>
              <w:rPr/>
              <w:t>​</w:t>
            </w:r>
          </w:p>
        </w:tc>
        <w:tc>
          <w:tcPr>
            <w:tcW w:w="3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CANYON EDUCATION, INC.</w:t>
            </w:r>
          </w:p>
        </w:tc>
      </w:tr>
      <w:tr>
        <w:trPr/>
        <w:tc>
          <w:tcPr>
            <w:tcW w:w="1847" w:type="dxa"/>
            <w:gridSpan w:val="2"/>
            <w:tcBorders/>
            <w:vAlign w:val="center"/>
          </w:tcPr>
          <w:p>
            <w:pPr>
              <w:pStyle w:val="TableContents"/>
              <w:bidi w:val="0"/>
              <w:spacing w:before="0" w:after="0"/>
              <w:ind w:left="0" w:right="0" w:hanging="0"/>
              <w:jc w:val="left"/>
              <w:rPr/>
            </w:pPr>
            <w:r>
              <w:rPr/>
              <w:t>​</w:t>
            </w:r>
          </w:p>
        </w:tc>
        <w:tc>
          <w:tcPr>
            <w:tcW w:w="3300" w:type="dxa"/>
            <w:gridSpan w:val="2"/>
            <w:tcBorders/>
            <w:vAlign w:val="center"/>
          </w:tcPr>
          <w:p>
            <w:pPr>
              <w:pStyle w:val="TableContents"/>
              <w:bidi w:val="0"/>
              <w:spacing w:before="0" w:after="0"/>
              <w:ind w:left="0" w:right="0" w:hanging="0"/>
              <w:jc w:val="left"/>
              <w:rPr/>
            </w:pPr>
            <w:r>
              <w:rPr/>
              <w:t>​</w:t>
            </w:r>
          </w:p>
        </w:tc>
      </w:tr>
      <w:tr>
        <w:trPr/>
        <w:tc>
          <w:tcPr>
            <w:tcW w:w="1847" w:type="dxa"/>
            <w:gridSpan w:val="2"/>
            <w:tcBorders/>
            <w:vAlign w:val="center"/>
          </w:tcPr>
          <w:p>
            <w:pPr>
              <w:pStyle w:val="TableContents"/>
              <w:bidi w:val="0"/>
              <w:spacing w:before="0" w:after="0"/>
              <w:ind w:left="0" w:right="0" w:hanging="0"/>
              <w:jc w:val="left"/>
              <w:rPr/>
            </w:pPr>
            <w:r>
              <w:rPr/>
              <w:t>​</w:t>
            </w:r>
          </w:p>
        </w:tc>
        <w:tc>
          <w:tcPr>
            <w:tcW w:w="3300" w:type="dxa"/>
            <w:gridSpan w:val="2"/>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22, 2023</w:t>
            </w:r>
          </w:p>
        </w:tc>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847" w:type="dxa"/>
            <w:gridSpan w:val="2"/>
            <w:tcBorders/>
            <w:vAlign w:val="center"/>
          </w:tcPr>
          <w:p>
            <w:pPr>
              <w:pStyle w:val="TableContents"/>
              <w:bidi w:val="0"/>
              <w:spacing w:before="0" w:after="0"/>
              <w:ind w:left="0" w:right="0" w:hanging="0"/>
              <w:jc w:val="left"/>
              <w:rPr/>
            </w:pPr>
            <w:r>
              <w:rPr/>
              <w:t>​</w:t>
            </w:r>
          </w:p>
        </w:tc>
        <w:tc>
          <w:tcPr>
            <w:tcW w:w="3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847" w:type="dxa"/>
            <w:gridSpan w:val="2"/>
            <w:tcBorders/>
            <w:vAlign w:val="center"/>
          </w:tcPr>
          <w:p>
            <w:pPr>
              <w:pStyle w:val="TableContents"/>
              <w:bidi w:val="0"/>
              <w:spacing w:before="0" w:after="0"/>
              <w:ind w:left="0" w:right="0" w:hanging="0"/>
              <w:jc w:val="left"/>
              <w:rPr/>
            </w:pPr>
            <w:r>
              <w:rPr/>
              <w:t>​</w:t>
            </w:r>
          </w:p>
        </w:tc>
        <w:tc>
          <w:tcPr>
            <w:tcW w:w="3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7" w:type="dxa"/>
            <w:gridSpan w:val="2"/>
            <w:tcBorders/>
            <w:vAlign w:val="center"/>
          </w:tcPr>
          <w:p>
            <w:pPr>
              <w:pStyle w:val="TableContents"/>
              <w:bidi w:val="0"/>
              <w:spacing w:before="0" w:after="0"/>
              <w:ind w:left="0" w:right="0" w:hanging="0"/>
              <w:jc w:val="left"/>
              <w:rPr/>
            </w:pPr>
            <w:r>
              <w:rPr/>
              <w:t>​</w:t>
            </w:r>
          </w:p>
        </w:tc>
        <w:tc>
          <w:tcPr>
            <w:tcW w:w="3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3740</Characters>
  <CharactersWithSpaces>4506</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