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111125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12, 2024, Grand Canyon Education, Inc. (the “Company”) held its 2024 Annual Meeting of Stockholders (the “Annual Meeting”). The total number of shares of the Company’s common stock, par value of $0.01 per share, voted in person or by proxy at the Annual Meeting was 27,143,476, representing approximately 91.1% of the 29,784,803 shares that were outstanding and entitled to vote as of the record date. The following matters, which were described in the Company’s definitive Proxy Statement filed with the Securities and Exchange Commission on April 26, 2024, were voted upon at the Annual Meeting, and the number of votes cast for and against, as well as abstentions and broker non-votes, if applicable, with respect to each such matter is set forth below.</w:t>
      </w:r>
    </w:p>
    <w:p>
      <w:pPr>
        <w:spacing w:after="0" w:line="187" w:lineRule="exact"/>
        <w:rPr>
          <w:sz w:val="20"/>
          <w:szCs w:val="20"/>
          <w:color w:val="auto"/>
        </w:rPr>
      </w:pPr>
    </w:p>
    <w:p>
      <w:pPr>
        <w:jc w:val="both"/>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nominees listed below as Directors of the Company, each to serve until the Company’s 2025 Annual Meeting of Stockholders or until his or her respective successor is elected and qualified or until his or her earlier resignation or removal.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25,137,034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1,255,300</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52,589</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698,553</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Ward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25,500,883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891,459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698,553</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24,899,695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1,480,248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698,553</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24,638,014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1,754,329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698,553</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25,519,741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872,503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698,553</w:t>
            </w: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 Warren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25,849,258</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538,984</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698,553</w:t>
            </w:r>
          </w:p>
        </w:tc>
      </w:tr>
      <w:tr>
        <w:trPr>
          <w:trHeight w:val="414"/>
        </w:trPr>
        <w:tc>
          <w:tcPr>
            <w:tcW w:w="868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2)  The stockholders approved, on an advisory basis, the compensation of our named executive officers.</w:t>
            </w:r>
          </w:p>
        </w:tc>
        <w:tc>
          <w:tcPr>
            <w:tcW w:w="1240" w:type="dxa"/>
            <w:vAlign w:val="bottom"/>
          </w:tcPr>
          <w:p>
            <w:pPr>
              <w:spacing w:after="0"/>
              <w:rPr>
                <w:sz w:val="24"/>
                <w:szCs w:val="24"/>
                <w:color w:val="auto"/>
              </w:rPr>
            </w:pPr>
          </w:p>
        </w:tc>
      </w:tr>
      <w:tr>
        <w:trPr>
          <w:trHeight w:val="378"/>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10"/>
        </w:trPr>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of Officers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25,325,005</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1,066,884</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53,034</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698,553</w:t>
            </w:r>
          </w:p>
        </w:tc>
      </w:tr>
    </w:tbl>
    <w:p>
      <w:pPr>
        <w:spacing w:after="0" w:line="198"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KPMG LLP</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26,622,748</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468,569</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440" w:type="dxa"/>
            <w:vAlign w:val="bottom"/>
          </w:tcPr>
          <w:p>
            <w:pPr>
              <w:spacing w:after="0"/>
              <w:rPr>
                <w:sz w:val="18"/>
                <w:szCs w:val="18"/>
                <w:color w:val="auto"/>
              </w:rPr>
            </w:pPr>
          </w:p>
        </w:tc>
      </w:tr>
      <w:tr>
        <w:trPr>
          <w:trHeight w:val="1006"/>
        </w:trPr>
        <w:tc>
          <w:tcPr>
            <w:tcW w:w="5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2024</w:t>
            </w: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178"/>
        </w:trPr>
        <w:tc>
          <w:tcPr>
            <w:tcW w:w="3440" w:type="dxa"/>
            <w:vAlign w:val="bottom"/>
          </w:tcPr>
          <w:p>
            <w:pPr>
              <w:spacing w:after="0"/>
              <w:rPr>
                <w:sz w:val="15"/>
                <w:szCs w:val="15"/>
                <w:color w:val="auto"/>
              </w:rPr>
            </w:pPr>
          </w:p>
        </w:tc>
        <w:tc>
          <w:tcPr>
            <w:tcW w:w="2260" w:type="dxa"/>
            <w:vAlign w:val="bottom"/>
          </w:tcPr>
          <w:p>
            <w:pPr>
              <w:ind w:left="1800"/>
              <w:spacing w:after="0" w:line="177" w:lineRule="exact"/>
              <w:rPr>
                <w:sz w:val="20"/>
                <w:szCs w:val="20"/>
                <w:color w:val="auto"/>
              </w:rPr>
            </w:pPr>
            <w:r>
              <w:rPr>
                <w:rFonts w:ascii="Times New Roman" w:cs="Times New Roman" w:eastAsia="Times New Roman" w:hAnsi="Times New Roman"/>
                <w:sz w:val="18"/>
                <w:szCs w:val="18"/>
                <w:color w:val="auto"/>
                <w:w w:val="91"/>
              </w:rPr>
              <w:t>Daniel</w:t>
            </w:r>
          </w:p>
        </w:tc>
        <w:tc>
          <w:tcPr>
            <w:tcW w:w="422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 Bachus</w:t>
            </w:r>
          </w:p>
        </w:tc>
      </w:tr>
      <w:tr>
        <w:trPr>
          <w:trHeight w:val="216"/>
        </w:trPr>
        <w:tc>
          <w:tcPr>
            <w:tcW w:w="3440" w:type="dxa"/>
            <w:vAlign w:val="bottom"/>
          </w:tcPr>
          <w:p>
            <w:pPr>
              <w:spacing w:after="0"/>
              <w:rPr>
                <w:sz w:val="18"/>
                <w:szCs w:val="18"/>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06"/>
        </w:trPr>
        <w:tc>
          <w:tcPr>
            <w:tcW w:w="3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2024-06-14T15:23:38Z</dcterms:created>
  <dcterms:modified xsi:type="dcterms:W3CDTF">2024-06-14T15:23:38Z</dcterms:modified>
</cp:coreProperties>
</file>