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4"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10" w:right="240" w:hanging="406"/>
        <w:spacing w:after="0" w:line="352" w:lineRule="auto"/>
        <w:tabs>
          <w:tab w:leader="none" w:pos="41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AND EXCHANGE ACT OF 1934 For the quarterly period ended June 30, 2022</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10" w:hanging="410"/>
        <w:spacing w:after="0"/>
        <w:tabs>
          <w:tab w:leader="none" w:pos="41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10"/>
        <w:spacing w:after="0"/>
        <w:tabs>
          <w:tab w:leader="none" w:pos="407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9" w:lineRule="exact"/>
        <w:rPr>
          <w:sz w:val="24"/>
          <w:szCs w:val="24"/>
          <w:color w:val="auto"/>
        </w:rPr>
      </w:pPr>
    </w:p>
    <w:tbl>
      <w:tblPr>
        <w:tblLayout w:type="fixed"/>
        <w:tblInd w:w="1370" w:type="dxa"/>
        <w:tblCellMar>
          <w:top w:w="0" w:type="dxa"/>
          <w:left w:w="0" w:type="dxa"/>
          <w:bottom w:w="0" w:type="dxa"/>
          <w:right w:w="0" w:type="dxa"/>
        </w:tblCellMar>
      </w:tblPr>
      <w:tr>
        <w:trPr>
          <w:trHeight w:val="22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20-3356009</w:t>
            </w:r>
          </w:p>
        </w:tc>
      </w:tr>
      <w:tr>
        <w:trPr>
          <w:trHeight w:val="216"/>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11"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4"/>
                <w:szCs w:val="14"/>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10"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3376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6295" cy="8890"/>
                    </a:xfrm>
                    <a:prstGeom prst="rect">
                      <a:avLst/>
                    </a:prstGeom>
                    <a:noFill/>
                  </pic:spPr>
                </pic:pic>
              </a:graphicData>
            </a:graphic>
          </wp:anchor>
        </w:drawing>
      </w:r>
    </w:p>
    <w:p>
      <w:pPr>
        <w:ind w:left="10"/>
        <w:spacing w:after="0" w:line="188" w:lineRule="exact"/>
        <w:tabs>
          <w:tab w:leader="none" w:pos="581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ind w:left="10" w:right="4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10" w:right="52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76" w:lineRule="exact"/>
        <w:rPr>
          <w:sz w:val="24"/>
          <w:szCs w:val="24"/>
          <w:color w:val="auto"/>
        </w:rPr>
      </w:pPr>
    </w:p>
    <w:p>
      <w:pPr>
        <w:ind w:left="1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10" w:space="160"/>
            <w:col w:w="5180" w:space="720"/>
            <w:col w:w="2060" w:space="220"/>
            <w:col w:w="180"/>
          </w:cols>
          <w:pgMar w:left="830" w:top="665" w:right="839" w:bottom="1440" w:gutter="0" w:footer="0" w:header="0"/>
          <w:type w:val="continuous"/>
        </w:sectPr>
      </w:pPr>
    </w:p>
    <w:p>
      <w:pPr>
        <w:ind w:left="10"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50" w:right="12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August 2, 2022, was 31,962,995.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506095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86360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8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480" w:type="dxa"/>
            <w:vAlign w:val="bottom"/>
            <w:gridSpan w:val="14"/>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14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34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 Management’s Discussion and Analysis of Financial Condition and Results of Operations</w:t>
              </w:r>
            </w:hyperlink>
          </w:p>
        </w:tc>
        <w:tc>
          <w:tcPr>
            <w:tcW w:w="15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Item 3 Quantitative and Qualitative Disclosures About Market Risk</w:t>
              </w:r>
            </w:hyperlink>
          </w:p>
        </w:tc>
        <w:tc>
          <w:tcPr>
            <w:tcW w:w="362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14"/>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412"/>
        </w:trPr>
        <w:tc>
          <w:tcPr>
            <w:tcW w:w="18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1 Legal Proceedings</w:t>
              </w:r>
            </w:hyperlink>
          </w:p>
        </w:tc>
        <w:tc>
          <w:tcPr>
            <w:tcW w:w="1000" w:type="dxa"/>
            <w:vAlign w:val="bottom"/>
            <w:tcBorders>
              <w:top w:val="single" w:sz="8" w:color="0000EE"/>
            </w:tcBorders>
            <w:gridSpan w:val="4"/>
          </w:tcPr>
          <w:p>
            <w:pPr>
              <w:spacing w:after="0"/>
              <w:rPr>
                <w:sz w:val="24"/>
                <w:szCs w:val="24"/>
                <w:color w:val="auto"/>
              </w:rPr>
            </w:pPr>
          </w:p>
        </w:tc>
        <w:tc>
          <w:tcPr>
            <w:tcW w:w="564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1A Risk Factors</w:t>
              </w:r>
            </w:hyperlink>
          </w:p>
        </w:tc>
        <w:tc>
          <w:tcPr>
            <w:tcW w:w="694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3</w:t>
              </w:r>
            </w:hyperlink>
          </w:p>
        </w:tc>
        <w:tc>
          <w:tcPr>
            <w:tcW w:w="436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36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4</w:t>
              </w:r>
            </w:hyperlink>
          </w:p>
        </w:tc>
        <w:tc>
          <w:tcPr>
            <w:tcW w:w="2340" w:type="dxa"/>
            <w:vAlign w:val="bottom"/>
            <w:tcBorders>
              <w:top w:val="single" w:sz="8" w:color="0000EE"/>
            </w:tcBorders>
            <w:gridSpan w:val="7"/>
          </w:tcPr>
          <w:p>
            <w:pPr>
              <w:ind w:left="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566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5</w:t>
              </w:r>
            </w:hyperlink>
          </w:p>
        </w:tc>
        <w:tc>
          <w:tcPr>
            <w:tcW w:w="134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22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Item 6</w:t>
              </w:r>
            </w:hyperlink>
          </w:p>
        </w:tc>
        <w:tc>
          <w:tcPr>
            <w:tcW w:w="620" w:type="dxa"/>
            <w:vAlign w:val="bottom"/>
            <w:tcBorders>
              <w:bottom w:val="single" w:sz="8" w:color="0000EE"/>
            </w:tcBorders>
          </w:tcPr>
          <w:p>
            <w:pPr>
              <w:ind w:left="20"/>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SIGNATURES</w:t>
              </w:r>
            </w:hyperlink>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199,753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201,487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443,886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438,421</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65,727</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133,538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122,171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100,586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93,176</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18,663</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165,908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151,239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332,576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303,947</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111,310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134,474</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29,322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111,854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162,593</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35,020</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127,573</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6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0.80</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197"/>
        </w:trPr>
        <w:tc>
          <w:tcPr>
            <w:tcW w:w="52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45,490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33,295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45,810</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Diluted weighted average shares outstanding</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31,877</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45,582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33,381</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45,964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0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249,852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681,045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Right-of-use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160,766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787,303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1,222,745</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26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lease liability</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97,944</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less current portion</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180,665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177,698</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outstanding at June 30, 2022 and December 31, 2021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53,830 and 53,637 shares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w w:val="93"/>
              </w:rPr>
              <w:t>issued and 31,963 and 37,722 shares outstanding at June 30, 2022 and December 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2021, 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w w:val="90"/>
              </w:rPr>
              <w:t>Treasury stock, at cost, 21,867 and 15,915 shares of common stock at June 30, 2022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December 31, 2021, respectively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(1,635,223)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(1,107,211)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1,938,692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1,855,052</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1,045,047</w:t>
            </w:r>
          </w:p>
        </w:tc>
        <w:tc>
          <w:tcPr>
            <w:tcW w:w="0" w:type="dxa"/>
            <w:vAlign w:val="bottom"/>
          </w:tcPr>
          <w:p>
            <w:pPr>
              <w:spacing w:after="0"/>
              <w:rPr>
                <w:sz w:val="1"/>
                <w:szCs w:val="1"/>
                <w:color w:val="auto"/>
              </w:rPr>
            </w:pPr>
          </w:p>
        </w:tc>
      </w:tr>
      <w:tr>
        <w:trPr>
          <w:trHeight w:val="209"/>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787,303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1,222,745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66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166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$ 25,562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$ 49,461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$ 83,640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127,573</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Unrealized losses on available-for-sale securities, net of taxes of $24</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$22 for the three months ended June 30, 2022 and 2021,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respectively, and $123 and $57 for the six months ended June 30, 2022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2021, respectively</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9"/>
        </w:trPr>
        <w:tc>
          <w:tcPr>
            <w:tcW w:w="55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$ 25,487</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$ 49,396</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$ 83,242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127,388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14"/>
          </w:tcPr>
          <w:p>
            <w:pPr>
              <w:ind w:left="20"/>
              <w:spacing w:after="0"/>
              <w:rPr>
                <w:sz w:val="20"/>
                <w:szCs w:val="20"/>
                <w:color w:val="auto"/>
              </w:rPr>
            </w:pPr>
            <w:r>
              <w:rPr>
                <w:rFonts w:ascii="Arial" w:cs="Arial" w:eastAsia="Arial" w:hAnsi="Arial"/>
                <w:sz w:val="14"/>
                <w:szCs w:val="14"/>
                <w:b w:val="1"/>
                <w:bCs w:val="1"/>
                <w:color w:val="auto"/>
                <w:w w:val="97"/>
              </w:rPr>
              <w:t>Six Months Ended June 30, 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60" w:type="dxa"/>
            <w:vAlign w:val="bottom"/>
            <w:gridSpan w:val="9"/>
            <w:vMerge w:val="restart"/>
          </w:tcPr>
          <w:p>
            <w:pPr>
              <w:jc w:val="right"/>
              <w:ind w:right="55"/>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7"/>
            <w:vMerge w:val="restart"/>
          </w:tcPr>
          <w:p>
            <w:pPr>
              <w:jc w:val="right"/>
              <w:ind w:right="40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260" w:type="dxa"/>
            <w:vAlign w:val="bottom"/>
            <w:gridSpan w:val="9"/>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53,637</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1"/>
              </w:rPr>
              <w:t>536</w:t>
            </w:r>
          </w:p>
        </w:tc>
        <w:tc>
          <w:tcPr>
            <w:tcW w:w="680" w:type="dxa"/>
            <w:vAlign w:val="bottom"/>
            <w:gridSpan w:val="6"/>
            <w:vMerge w:val="restart"/>
            <w:shd w:val="clear" w:color="auto" w:fill="CCEEFF"/>
          </w:tcPr>
          <w:p>
            <w:pPr>
              <w:jc w:val="right"/>
              <w:spacing w:after="0"/>
              <w:rPr>
                <w:sz w:val="20"/>
                <w:szCs w:val="20"/>
                <w:color w:val="auto"/>
              </w:rPr>
            </w:pPr>
            <w:r>
              <w:rPr>
                <w:rFonts w:ascii="Arial" w:cs="Arial" w:eastAsia="Arial" w:hAnsi="Arial"/>
                <w:sz w:val="17"/>
                <w:szCs w:val="17"/>
                <w:color w:val="auto"/>
              </w:rPr>
              <w:t>15,915</w:t>
            </w:r>
          </w:p>
        </w:tc>
        <w:tc>
          <w:tcPr>
            <w:tcW w:w="80" w:type="dxa"/>
            <w:vAlign w:val="bottom"/>
            <w:shd w:val="clear" w:color="auto" w:fill="CCEEFF"/>
          </w:tcPr>
          <w:p>
            <w:pPr>
              <w:spacing w:after="0"/>
              <w:rPr>
                <w:sz w:val="15"/>
                <w:szCs w:val="15"/>
                <w:color w:val="auto"/>
              </w:rPr>
            </w:pPr>
          </w:p>
        </w:tc>
        <w:tc>
          <w:tcPr>
            <w:tcW w:w="940" w:type="dxa"/>
            <w:vAlign w:val="bottom"/>
            <w:gridSpan w:val="4"/>
            <w:vMerge w:val="restart"/>
            <w:shd w:val="clear" w:color="auto" w:fill="CCEEFF"/>
          </w:tcPr>
          <w:p>
            <w:pPr>
              <w:jc w:val="right"/>
              <w:spacing w:after="0"/>
              <w:rPr>
                <w:sz w:val="20"/>
                <w:szCs w:val="20"/>
                <w:color w:val="auto"/>
              </w:rPr>
            </w:pPr>
            <w:r>
              <w:rPr>
                <w:rFonts w:ascii="Arial" w:cs="Arial" w:eastAsia="Arial" w:hAnsi="Arial"/>
                <w:sz w:val="17"/>
                <w:szCs w:val="17"/>
                <w:color w:val="auto"/>
                <w:w w:val="90"/>
              </w:rPr>
              <w:t>$ (1,107,211)</w:t>
            </w:r>
          </w:p>
        </w:tc>
        <w:tc>
          <w:tcPr>
            <w:tcW w:w="6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$ 296,670</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800" w:type="dxa"/>
            <w:vAlign w:val="bottom"/>
            <w:gridSpan w:val="4"/>
            <w:vMerge w:val="restart"/>
            <w:shd w:val="clear" w:color="auto" w:fill="CCEEFF"/>
          </w:tcPr>
          <w:p>
            <w:pPr>
              <w:jc w:val="right"/>
              <w:spacing w:after="0"/>
              <w:rPr>
                <w:sz w:val="20"/>
                <w:szCs w:val="20"/>
                <w:color w:val="auto"/>
              </w:rPr>
            </w:pPr>
            <w:r>
              <w:rPr>
                <w:rFonts w:ascii="Arial" w:cs="Arial" w:eastAsia="Arial" w:hAnsi="Arial"/>
                <w:sz w:val="17"/>
                <w:szCs w:val="17"/>
                <w:color w:val="auto"/>
              </w:rPr>
              <w:t>—  $ 1,855,052</w:t>
            </w:r>
          </w:p>
        </w:tc>
        <w:tc>
          <w:tcPr>
            <w:tcW w:w="18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1,045,047</w:t>
            </w: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0" w:type="dxa"/>
            <w:vAlign w:val="bottom"/>
            <w:gridSpan w:val="2"/>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80" w:type="dxa"/>
            <w:vAlign w:val="bottom"/>
            <w:gridSpan w:val="6"/>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800" w:type="dxa"/>
            <w:vAlign w:val="bottom"/>
            <w:gridSpan w:val="4"/>
            <w:vMerge w:val="continue"/>
            <w:shd w:val="clear" w:color="auto" w:fill="CCEEFF"/>
          </w:tcPr>
          <w:p>
            <w:pPr>
              <w:spacing w:after="0"/>
              <w:rPr>
                <w:sz w:val="18"/>
                <w:szCs w:val="18"/>
                <w:color w:val="auto"/>
              </w:rPr>
            </w:pPr>
          </w:p>
        </w:tc>
        <w:tc>
          <w:tcPr>
            <w:tcW w:w="18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(323)</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58,078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57,755</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purchased</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for treasury</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4,575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(394,930)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(394,930)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Share-based compensation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(4,625)</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0" w:type="dxa"/>
            <w:vAlign w:val="bottom"/>
          </w:tcPr>
          <w:p>
            <w:pPr>
              <w:spacing w:after="0"/>
              <w:rPr>
                <w:sz w:val="1"/>
                <w:szCs w:val="1"/>
                <w:color w:val="auto"/>
              </w:rPr>
            </w:pPr>
          </w:p>
        </w:tc>
      </w:tr>
      <w:tr>
        <w:trPr>
          <w:trHeight w:val="196"/>
        </w:trPr>
        <w:tc>
          <w:tcPr>
            <w:tcW w:w="2140" w:type="dxa"/>
            <w:vAlign w:val="bottom"/>
          </w:tcPr>
          <w:p>
            <w:pPr>
              <w:spacing w:after="0" w:line="196" w:lineRule="exact"/>
              <w:rPr>
                <w:sz w:val="20"/>
                <w:szCs w:val="20"/>
                <w:color w:val="auto"/>
              </w:rPr>
            </w:pPr>
            <w:r>
              <w:rPr>
                <w:rFonts w:ascii="Arial" w:cs="Arial" w:eastAsia="Arial" w:hAnsi="Arial"/>
                <w:sz w:val="18"/>
                <w:szCs w:val="18"/>
                <w:color w:val="auto"/>
                <w:w w:val="98"/>
              </w:rPr>
              <w:t>Balance at March 31, 2022</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2"/>
              </w:rPr>
              <w:t>53,826</w:t>
            </w:r>
          </w:p>
        </w:tc>
        <w:tc>
          <w:tcPr>
            <w:tcW w:w="40" w:type="dxa"/>
            <w:vAlign w:val="bottom"/>
            <w:tcBorders>
              <w:top w:val="single" w:sz="8" w:color="auto"/>
            </w:tcBorders>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538</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w w:val="92"/>
              </w:rPr>
              <w:t>20,548</w:t>
            </w:r>
          </w:p>
        </w:tc>
        <w:tc>
          <w:tcPr>
            <w:tcW w:w="8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4"/>
              </w:rPr>
              <w:t>(1,506,766)</w:t>
            </w: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299,858</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1,913,130</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706,437</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25,562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25,487</w:t>
            </w: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Common stock purchased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for treasury</w:t>
            </w: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w w:val="89"/>
              </w:rPr>
              <w:t>1,319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(128,457)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(128,457)</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6"/>
              </w:rPr>
              <w:t>Share-based compensation</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3,171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3,171</w:t>
            </w:r>
          </w:p>
        </w:tc>
        <w:tc>
          <w:tcPr>
            <w:tcW w:w="0" w:type="dxa"/>
            <w:vAlign w:val="bottom"/>
          </w:tcPr>
          <w:p>
            <w:pPr>
              <w:spacing w:after="0"/>
              <w:rPr>
                <w:sz w:val="1"/>
                <w:szCs w:val="1"/>
                <w:color w:val="auto"/>
              </w:rPr>
            </w:pPr>
          </w:p>
        </w:tc>
      </w:tr>
      <w:tr>
        <w:trPr>
          <w:trHeight w:val="196"/>
        </w:trPr>
        <w:tc>
          <w:tcPr>
            <w:tcW w:w="2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June 30, 2022</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2"/>
              </w:rPr>
              <w:t>53,830</w:t>
            </w: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538</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2"/>
              </w:rPr>
              <w:t>21,867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4"/>
              </w:rPr>
              <w:t>(1,635,223)</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303,029</w:t>
            </w:r>
          </w:p>
        </w:tc>
        <w:tc>
          <w:tcPr>
            <w:tcW w:w="2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1,938,692</w:t>
            </w:r>
          </w:p>
        </w:tc>
        <w:tc>
          <w:tcPr>
            <w:tcW w:w="1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606,638</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13"/>
          </w:tcPr>
          <w:p>
            <w:pPr>
              <w:ind w:left="40"/>
              <w:spacing w:after="0"/>
              <w:rPr>
                <w:sz w:val="20"/>
                <w:szCs w:val="20"/>
                <w:color w:val="auto"/>
              </w:rPr>
            </w:pPr>
            <w:r>
              <w:rPr>
                <w:rFonts w:ascii="Arial" w:cs="Arial" w:eastAsia="Arial" w:hAnsi="Arial"/>
                <w:sz w:val="14"/>
                <w:szCs w:val="14"/>
                <w:b w:val="1"/>
                <w:bCs w:val="1"/>
                <w:color w:val="auto"/>
                <w:w w:val="92"/>
              </w:rPr>
              <w:t>Six Months Ended June 30, 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11"/>
            <w:vMerge w:val="restart"/>
          </w:tcPr>
          <w:p>
            <w:pPr>
              <w:jc w:val="right"/>
              <w:ind w:right="79"/>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7"/>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11"/>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0"/>
              </w:rPr>
              <w:t>Par Value</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4"/>
              </w:rPr>
              <w:t>Shares</w:t>
            </w: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8"/>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4"/>
              </w:rPr>
              <w:t>Balance at December 31, 2020</w:t>
            </w:r>
          </w:p>
        </w:tc>
        <w:tc>
          <w:tcPr>
            <w:tcW w:w="5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2"/>
              </w:rPr>
              <w:t>53,277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6,628</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(303,379)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$ 282,467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$ 1,594,708</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1,574,329</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gridSpan w:val="3"/>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gridSpan w:val="3"/>
          </w:tcPr>
          <w:p>
            <w:pPr>
              <w:jc w:val="right"/>
              <w:spacing w:after="0" w:line="183" w:lineRule="exact"/>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(120)</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78,112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77,992</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purchased for</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treasury</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(56,348)</w:t>
            </w:r>
          </w:p>
        </w:tc>
        <w:tc>
          <w:tcPr>
            <w:tcW w:w="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(63,348)</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Share-based compensation</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(5,994)</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176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2,678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196"/>
        </w:trPr>
        <w:tc>
          <w:tcPr>
            <w:tcW w:w="2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Balance at March 31, 2021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2"/>
              </w:rPr>
              <w:t>53,633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7,251</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(365,721)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$ 281,163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$ 1,672,820</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1,588,678</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gridSpan w:val="3"/>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gridSpan w:val="3"/>
          </w:tcPr>
          <w:p>
            <w:pPr>
              <w:jc w:val="right"/>
              <w:spacing w:after="0" w:line="183" w:lineRule="exact"/>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(65)</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49,461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49,396</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purchased for</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treasury</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(95,331)</w:t>
            </w:r>
          </w:p>
        </w:tc>
        <w:tc>
          <w:tcPr>
            <w:tcW w:w="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(98,331)</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w w:val="93"/>
              </w:rPr>
              <w:t>—</w:t>
            </w:r>
          </w:p>
        </w:tc>
        <w:tc>
          <w:tcPr>
            <w:tcW w:w="540" w:type="dxa"/>
            <w:vAlign w:val="bottom"/>
            <w:gridSpan w:val="4"/>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Share-based compensation</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2,940</w:t>
            </w:r>
          </w:p>
        </w:tc>
        <w:tc>
          <w:tcPr>
            <w:tcW w:w="0" w:type="dxa"/>
            <w:vAlign w:val="bottom"/>
          </w:tcPr>
          <w:p>
            <w:pPr>
              <w:spacing w:after="0"/>
              <w:rPr>
                <w:sz w:val="1"/>
                <w:szCs w:val="1"/>
                <w:color w:val="auto"/>
              </w:rPr>
            </w:pPr>
          </w:p>
        </w:tc>
      </w:tr>
      <w:tr>
        <w:trPr>
          <w:trHeight w:val="196"/>
        </w:trPr>
        <w:tc>
          <w:tcPr>
            <w:tcW w:w="2140" w:type="dxa"/>
            <w:vAlign w:val="bottom"/>
          </w:tcPr>
          <w:p>
            <w:pPr>
              <w:spacing w:after="0" w:line="196" w:lineRule="exact"/>
              <w:rPr>
                <w:sz w:val="20"/>
                <w:szCs w:val="20"/>
                <w:color w:val="auto"/>
              </w:rPr>
            </w:pPr>
            <w:r>
              <w:rPr>
                <w:rFonts w:ascii="Arial" w:cs="Arial" w:eastAsia="Arial" w:hAnsi="Arial"/>
                <w:sz w:val="18"/>
                <w:szCs w:val="18"/>
                <w:color w:val="auto"/>
              </w:rPr>
              <w:t>Balance at June 30, 2021</w:t>
            </w:r>
          </w:p>
        </w:tc>
        <w:tc>
          <w:tcPr>
            <w:tcW w:w="220" w:type="dxa"/>
            <w:vAlign w:val="bottom"/>
          </w:tcPr>
          <w:p>
            <w:pPr>
              <w:spacing w:after="0"/>
              <w:rPr>
                <w:sz w:val="17"/>
                <w:szCs w:val="17"/>
                <w:color w:val="auto"/>
              </w:rPr>
            </w:pPr>
          </w:p>
        </w:tc>
        <w:tc>
          <w:tcPr>
            <w:tcW w:w="52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w w:val="92"/>
              </w:rPr>
              <w:t>53,637</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rPr>
              <w:t>536</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8"/>
              </w:rPr>
              <w:t>8,241</w:t>
            </w: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 (461,052)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9"/>
              </w:rPr>
              <w:t>$ 281,103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80" w:type="dxa"/>
            <w:vAlign w:val="bottom"/>
          </w:tcPr>
          <w:p>
            <w:pPr>
              <w:spacing w:after="0"/>
              <w:rPr>
                <w:sz w:val="17"/>
                <w:szCs w:val="17"/>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9"/>
              </w:rPr>
              <w:t>$ 1,722,281</w:t>
            </w:r>
          </w:p>
        </w:tc>
        <w:tc>
          <w:tcPr>
            <w:tcW w:w="100" w:type="dxa"/>
            <w:vAlign w:val="bottom"/>
            <w:gridSpan w:val="2"/>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1,542,683</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83,640</w:t>
            </w:r>
          </w:p>
        </w:tc>
        <w:tc>
          <w:tcPr>
            <w:tcW w:w="40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127,573</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6,361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5,959</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11,352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10,821</w:t>
            </w: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4,210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4,210</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149"/>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44,336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47,312</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(3,975)</w:t>
            </w:r>
          </w:p>
        </w:tc>
        <w:tc>
          <w:tcPr>
            <w:tcW w:w="0" w:type="dxa"/>
            <w:vAlign w:val="bottom"/>
          </w:tcPr>
          <w:p>
            <w:pPr>
              <w:spacing w:after="0"/>
              <w:rPr>
                <w:sz w:val="1"/>
                <w:szCs w:val="1"/>
                <w:color w:val="auto"/>
              </w:rPr>
            </w:pPr>
          </w:p>
        </w:tc>
      </w:tr>
      <w:tr>
        <w:trPr>
          <w:trHeight w:val="148"/>
        </w:trPr>
        <w:tc>
          <w:tcPr>
            <w:tcW w:w="6720" w:type="dxa"/>
            <w:vAlign w:val="bottom"/>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6,653</w:t>
            </w:r>
          </w:p>
        </w:tc>
        <w:tc>
          <w:tcPr>
            <w:tcW w:w="0" w:type="dxa"/>
            <w:vAlign w:val="bottom"/>
          </w:tcPr>
          <w:p>
            <w:pPr>
              <w:spacing w:after="0"/>
              <w:rPr>
                <w:sz w:val="1"/>
                <w:szCs w:val="1"/>
                <w:color w:val="auto"/>
              </w:rPr>
            </w:pPr>
          </w:p>
        </w:tc>
      </w:tr>
      <w:tr>
        <w:trPr>
          <w:trHeight w:val="149"/>
        </w:trPr>
        <w:tc>
          <w:tcPr>
            <w:tcW w:w="6720" w:type="dxa"/>
            <w:vAlign w:val="bottom"/>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5,568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5,027</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(13,555)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(5,387)</w:t>
            </w:r>
          </w:p>
        </w:tc>
        <w:tc>
          <w:tcPr>
            <w:tcW w:w="0" w:type="dxa"/>
            <w:vAlign w:val="bottom"/>
          </w:tcPr>
          <w:p>
            <w:pPr>
              <w:spacing w:after="0"/>
              <w:rPr>
                <w:sz w:val="1"/>
                <w:szCs w:val="1"/>
                <w:color w:val="auto"/>
              </w:rPr>
            </w:pPr>
          </w:p>
        </w:tc>
      </w:tr>
      <w:tr>
        <w:trPr>
          <w:trHeight w:val="148"/>
        </w:trPr>
        <w:tc>
          <w:tcPr>
            <w:tcW w:w="672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11,948</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9,760</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146,089</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210,329</w:t>
            </w:r>
          </w:p>
        </w:tc>
        <w:tc>
          <w:tcPr>
            <w:tcW w:w="0" w:type="dxa"/>
            <w:vAlign w:val="bottom"/>
          </w:tcPr>
          <w:p>
            <w:pPr>
              <w:spacing w:after="0"/>
              <w:rPr>
                <w:sz w:val="1"/>
                <w:szCs w:val="1"/>
                <w:color w:val="auto"/>
              </w:rPr>
            </w:pPr>
          </w:p>
        </w:tc>
      </w:tr>
      <w:tr>
        <w:trPr>
          <w:trHeight w:val="142"/>
        </w:trPr>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(15,136)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(15,757)</w:t>
            </w: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Funding to GCU</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w:t>
            </w:r>
          </w:p>
        </w:tc>
        <w:tc>
          <w:tcPr>
            <w:tcW w:w="0" w:type="dxa"/>
            <w:vAlign w:val="bottom"/>
          </w:tcPr>
          <w:p>
            <w:pPr>
              <w:spacing w:after="0"/>
              <w:rPr>
                <w:sz w:val="1"/>
                <w:szCs w:val="1"/>
                <w:color w:val="auto"/>
              </w:rPr>
            </w:pPr>
          </w:p>
        </w:tc>
      </w:tr>
      <w:tr>
        <w:trPr>
          <w:trHeight w:val="149"/>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(91,361)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(51,223)</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26,994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17,166</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(79,617)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(240,085)</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financing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(16,572)</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borrowings from revolving line of credit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shares and shares withheld in lieu of income taxes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(528,012)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(167,673)</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2,680</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financing activities</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(528,012)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(146,565)</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decrease in cash and cash equivalents and restricted cash</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(461,540)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(176,321)</w:t>
            </w:r>
          </w:p>
        </w:tc>
        <w:tc>
          <w:tcPr>
            <w:tcW w:w="0" w:type="dxa"/>
            <w:vAlign w:val="bottom"/>
          </w:tcPr>
          <w:p>
            <w:pPr>
              <w:spacing w:after="0"/>
              <w:rPr>
                <w:sz w:val="1"/>
                <w:szCs w:val="1"/>
                <w:color w:val="auto"/>
              </w:rPr>
            </w:pPr>
          </w:p>
        </w:tc>
      </w:tr>
      <w:tr>
        <w:trPr>
          <w:trHeight w:val="148"/>
        </w:trPr>
        <w:tc>
          <w:tcPr>
            <w:tcW w:w="67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600,941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245,769</w:t>
            </w:r>
          </w:p>
        </w:tc>
        <w:tc>
          <w:tcPr>
            <w:tcW w:w="0" w:type="dxa"/>
            <w:vAlign w:val="bottom"/>
          </w:tcPr>
          <w:p>
            <w:pPr>
              <w:spacing w:after="0"/>
              <w:rPr>
                <w:sz w:val="1"/>
                <w:szCs w:val="1"/>
                <w:color w:val="auto"/>
              </w:rPr>
            </w:pPr>
          </w:p>
        </w:tc>
      </w:tr>
      <w:tr>
        <w:trPr>
          <w:trHeight w:val="142"/>
        </w:trPr>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139,401</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69,448</w:t>
            </w:r>
          </w:p>
        </w:tc>
        <w:tc>
          <w:tcPr>
            <w:tcW w:w="0" w:type="dxa"/>
            <w:vAlign w:val="bottom"/>
          </w:tcPr>
          <w:p>
            <w:pPr>
              <w:spacing w:after="0"/>
              <w:rPr>
                <w:sz w:val="1"/>
                <w:szCs w:val="1"/>
                <w:color w:val="auto"/>
              </w:rPr>
            </w:pPr>
          </w:p>
        </w:tc>
      </w:tr>
      <w:tr>
        <w:trPr>
          <w:trHeight w:val="142"/>
        </w:trPr>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4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149"/>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4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38,841</w:t>
            </w:r>
          </w:p>
        </w:tc>
        <w:tc>
          <w:tcPr>
            <w:tcW w:w="40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37,132</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4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1,654</w:t>
            </w:r>
          </w:p>
        </w:tc>
        <w:tc>
          <w:tcPr>
            <w:tcW w:w="40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ROU Asset and Liability recognition</w:t>
            </w:r>
          </w:p>
        </w:tc>
        <w:tc>
          <w:tcPr>
            <w:tcW w:w="4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4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nine colleges both online, on ground at its campus in Phoenix, Arizona and at three off-campus classroom and laboratory sites.</w:t>
      </w:r>
    </w:p>
    <w:p>
      <w:pPr>
        <w:spacing w:after="0" w:line="19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In January 2019, GCE began providing education services to numerous university partners across the United States, through our wholly owned subsidiary, Orbis Education, which we acquired, by merger on January 22, 2019 (the “Acquisition”).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June 30, 2022, GCE provides education services to 27 university partners across the United States.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unaudited interim consolidated financial statements of the Company have been prepared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accordance with U.S. generally accepted accounting principles and pursuant to the rules and regulations of the United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States Securities and Exchange Commission and the instructions to Form 10-Q and Article 10, consistent in all material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respects with those applied in its financial statements included in its Annual Report on Form 10-K for the fiscal year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2021. They do not include all of the information and footnotes required by U.S. generally accepted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accounting principles for complete financial statements. Such interim financial information is unaudited but reflects all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adjustments that in the opinion of management are necessary for the fair presentation of the interim periods presented.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Interim results are not necessarily indicative of results for a full year. These consolidated financial statements should be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read in conjunction with the Company’s audited financial statements and footnotes included in its Annual Report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 10-K for the fiscal year ended December 31, 2021 from which the December 31, 2021 balance sheet information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derived.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As of June 30, 2022 and 2021, the Company considered its investments in corporate bonds, commercial paper, municipal securities, asset backed securities, municipal bonds, and collateralized mortgage obligations as available-for-sale securities based on the Company’s intent for the respective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Amortization of premiums, accretion of discounts, interest and dividend income and realized gains and losses are included in interest and other income. As of December 31, 2021, the Company had no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On July 1, 2018, the Company consummated an Asset Purchase Agreement (the “Asset Purchase Agreement”) with GCU. In conjunction with the Asset Purchase Agreement, we received a secured note from GCU as consideration for the transferred assets in the initial principal amount of $870,097 (the “Secured Note”) which was repaid by GCU in the fourth quarter of 2021. In connection therewith, the Company and GCU entered into a long-term master services agreement (the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June 30, 2022 and December 31, 2021, $1,020 and $1,168, respectively, net of amortization, of deferred content assets are included in other assets, long-term in the Company’s consolidated balance sheets and amortization is included in technical and academic services where the costs originated.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fair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Amortizable Intangible Assets</w:t>
      </w:r>
    </w:p>
    <w:p>
      <w:pPr>
        <w:spacing w:after="0" w:line="225"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spacing w:after="0" w:line="181"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June 30, 2022.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On January 22, 2019, GCE acquired Orbis Education for $361,184 (inclusive of closing date adjustments and net of cash acquired). The Acquisition was accounted for in accordance with the acquisition method of accounting. Under this method the cost of the target is allocated to the identifiable assets acquired and liabilities assumed based on their estimated fair values at the date of acquisition. 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 The fair value of the assets acquired, less the liabilities assumed, exceeded the purchase price by $157,825 which was recorded as goodwill.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carrying value of cash and cash equivalents, accounts receivable, accounts payable, accrued compensation and benefits and accrued liabilities expenses approximate their fair value based on the liquidity or the short-term maturities of these instruments.</w:t>
      </w:r>
    </w:p>
    <w:p>
      <w:pPr>
        <w:spacing w:after="0" w:line="184"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inputs are quoted prices (unadjusted) in active markets for identical assets or liabilities.</w:t>
      </w:r>
    </w:p>
    <w:p>
      <w:pPr>
        <w:spacing w:after="0" w:line="225" w:lineRule="exact"/>
        <w:rPr>
          <w:sz w:val="20"/>
          <w:szCs w:val="20"/>
          <w:color w:val="auto"/>
        </w:rPr>
      </w:pPr>
    </w:p>
    <w:p>
      <w:pPr>
        <w:ind w:left="700" w:right="139"/>
        <w:spacing w:after="0" w:line="263" w:lineRule="auto"/>
        <w:rPr>
          <w:sz w:val="20"/>
          <w:szCs w:val="20"/>
          <w:color w:val="auto"/>
        </w:rPr>
      </w:pPr>
      <w:r>
        <w:rPr>
          <w:rFonts w:ascii="Arial" w:cs="Arial" w:eastAsia="Arial" w:hAnsi="Arial"/>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Investments are comprised of corporate bonds, commercial paper, municipal securities, asset backed securities, municipal bonds, and collateralized mortgage obligations.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459" w:firstLine="648"/>
        <w:spacing w:after="0" w:line="259" w:lineRule="auto"/>
        <w:rPr>
          <w:sz w:val="20"/>
          <w:szCs w:val="20"/>
          <w:color w:val="auto"/>
        </w:rPr>
      </w:pPr>
      <w:r>
        <w:rPr>
          <w:rFonts w:ascii="Arial" w:cs="Arial" w:eastAsia="Arial" w:hAnsi="Arial"/>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spacing w:after="0" w:line="187"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0"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June 30, 2022. The Company will continue to review and revise its allowance methodology based on its collection experience with its partners.</w:t>
      </w:r>
    </w:p>
    <w:p>
      <w:pPr>
        <w:spacing w:after="0" w:line="16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For our partners with unbilled revenue, revenue recognition occurs in advance of billings. Billings for some university partners do not occur until after the service period has commenced and final enrollment information is available. Our unbilled revenue of $7,912 and $3,841 as of June 30, 2022 and December 31, 2021,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The Company records its accounts receivable and previously had recorded its Secured Note (as defined above) receivable at the net amount expected to be collected. Our accounts receivable are derived through education services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 xml:space="preserve">provided to university partners. Our Secured Note receivable was derived through the sale of university-related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In the first quarter of 2020, the Company adopted ASU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Measurement of Credit Losses on Financial Instruments </w:t>
      </w:r>
      <w:r>
        <w:rPr>
          <w:rFonts w:ascii="Arial" w:cs="Arial" w:eastAsia="Arial" w:hAnsi="Arial"/>
          <w:sz w:val="17"/>
          <w:szCs w:val="17"/>
          <w:color w:val="auto"/>
        </w:rPr>
        <w:t>using a modified retrospective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This model requires 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statements. In the fourth quarter of 2021, the Secured Note receivable was paid off and the credit loss reserve of $5,000 was reversed. The Company will also continue to actively monitor the impact of the COVID-19 pandemic as well as other factors on expected credit losses.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259" w:firstLine="648"/>
        <w:spacing w:after="0" w:line="289" w:lineRule="auto"/>
        <w:rPr>
          <w:sz w:val="20"/>
          <w:szCs w:val="20"/>
          <w:color w:val="auto"/>
        </w:rPr>
      </w:pPr>
      <w:r>
        <w:rPr>
          <w:rFonts w:ascii="Arial" w:cs="Arial" w:eastAsia="Arial" w:hAnsi="Arial"/>
          <w:sz w:val="16"/>
          <w:szCs w:val="16"/>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also includes an allocation of depreciation, amortization, lease expense, and occupancy costs attributable to the provision of these services, primarily at the Company’s Phoenix, Arizona and Indianapolis, Indiana locations.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June 30, 2022 and December 31, 2021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June 30, 2022 and December 31, 2021, the Company had $138,519 and $600,130, respectively, in excess of the FDIC insured limit. The Company is also subject to credit risk for its accounts receivable balance. Our dependence on our most significant university partner, with 85.1% and 85.7% of total service revenue for the six-month periods ended June 30,</w:t>
      </w:r>
    </w:p>
    <w:p>
      <w:pPr>
        <w:spacing w:after="0" w:line="3" w:lineRule="exact"/>
        <w:rPr>
          <w:sz w:val="20"/>
          <w:szCs w:val="20"/>
          <w:color w:val="auto"/>
        </w:rPr>
      </w:pPr>
    </w:p>
    <w:p>
      <w:pPr>
        <w:ind w:left="60" w:right="299"/>
        <w:spacing w:after="0" w:line="260" w:lineRule="auto"/>
        <w:rPr>
          <w:sz w:val="20"/>
          <w:szCs w:val="20"/>
          <w:color w:val="auto"/>
        </w:rPr>
      </w:pPr>
      <w:r>
        <w:rPr>
          <w:rFonts w:ascii="Arial" w:cs="Arial" w:eastAsia="Arial" w:hAnsi="Arial"/>
          <w:sz w:val="18"/>
          <w:szCs w:val="18"/>
          <w:color w:val="auto"/>
        </w:rPr>
        <w:t>2022 and 2021, respectively, subjects us to the risk that declines in our customer’s operations would result in a sustained reduction in service revenue for the Company.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As of June 30, 2022, the Company had investments of $63,867, classified as available-for-sale securities. As of December 31, 2021, the Company had no investments.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2022, the Company had available-for-sale investments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As of June 30, 2022</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6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Estimated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(Losses)</w:t>
            </w:r>
          </w:p>
        </w:tc>
        <w:tc>
          <w:tcPr>
            <w:tcW w:w="140" w:type="dxa"/>
            <w:vAlign w:val="bottom"/>
          </w:tcPr>
          <w:p>
            <w:pPr>
              <w:spacing w:after="0"/>
              <w:rPr>
                <w:sz w:val="14"/>
                <w:szCs w:val="14"/>
                <w:color w:val="auto"/>
              </w:rPr>
            </w:pPr>
          </w:p>
        </w:tc>
        <w:tc>
          <w:tcPr>
            <w:tcW w:w="86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31,563</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32,304</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For the six months ended June 30, 2022, the net unrealized losses were $398,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Available-for-sale securities maturing as of December 31:</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year)</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49,667</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5,376</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r>
      <w:tr>
        <w:trPr>
          <w:trHeight w:val="209"/>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63,867</w:t>
            </w:r>
          </w:p>
        </w:tc>
      </w:tr>
      <w:tr>
        <w:trPr>
          <w:trHeight w:val="20"/>
        </w:trPr>
        <w:tc>
          <w:tcPr>
            <w:tcW w:w="7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Net Income Per Common Share</w:t>
      </w:r>
    </w:p>
    <w:p>
      <w:pPr>
        <w:spacing w:after="0" w:line="229"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138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31,800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45,490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33,295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45,810</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 and restricted stock</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31,877</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45,582</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33,381</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in accordance with the treasury stock method. For the three-month periods ended June 30, 2022 and 2021, approximately nil and 1, respectively, and for the six-month periods ended June 30, 2022 and 2021, approximately 103 and 2,</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respectively, of the Company’s restricted stock awards outstanding were excluded from the calculation of diluted earnings per share as their inclusion would have been anti-dilutive. These restricted stock awards could be dilutive in the future.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Allowance for Credit Losses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Charged to</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Deductions/</w:t>
            </w: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520" w:type="dxa"/>
            <w:vAlign w:val="bottom"/>
            <w:gridSpan w:val="4"/>
          </w:tcPr>
          <w:p>
            <w:pPr>
              <w:ind w:left="1580"/>
              <w:spacing w:after="0" w:line="149" w:lineRule="exact"/>
              <w:rPr>
                <w:sz w:val="20"/>
                <w:szCs w:val="20"/>
                <w:color w:val="auto"/>
              </w:rPr>
            </w:pPr>
            <w:r>
              <w:rPr>
                <w:rFonts w:ascii="Arial" w:cs="Arial" w:eastAsia="Arial" w:hAnsi="Arial"/>
                <w:sz w:val="14"/>
                <w:szCs w:val="14"/>
                <w:b w:val="1"/>
                <w:bCs w:val="1"/>
                <w:color w:val="auto"/>
              </w:rPr>
              <w:t>Beginning of</w:t>
            </w:r>
          </w:p>
        </w:tc>
        <w:tc>
          <w:tcPr>
            <w:tcW w:w="8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Period (1)</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Expense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Transfers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1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Six months ended June 30, 2022</w:t>
            </w:r>
          </w:p>
        </w:tc>
        <w:tc>
          <w:tcPr>
            <w:tcW w:w="17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2021</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14141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represents the cumulative effect of the adoption of ASU No. 2016-13 on the Secured Note.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20" w:lineRule="exact"/>
        <w:rPr>
          <w:rFonts w:ascii="Arial" w:cs="Arial" w:eastAsia="Arial" w:hAnsi="Arial"/>
          <w:sz w:val="18"/>
          <w:szCs w:val="18"/>
          <w:color w:val="auto"/>
        </w:rPr>
      </w:pPr>
    </w:p>
    <w:p>
      <w:pPr>
        <w:ind w:left="240" w:hanging="190"/>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69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Land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17,161</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17,921</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55,083</w:t>
            </w: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r>
      <w:tr>
        <w:trPr>
          <w:trHeight w:val="210"/>
        </w:trPr>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266,446</w:t>
            </w: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(138,203)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(130,326)</w:t>
            </w:r>
          </w:p>
        </w:tc>
      </w:tr>
      <w:tr>
        <w:trPr>
          <w:trHeight w:val="210"/>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139,632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136,120</w:t>
            </w: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Amortizable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23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79"/>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89"/>
              </w:rPr>
              <w:t>16</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143,124</w:t>
            </w:r>
          </w:p>
        </w:tc>
      </w:tr>
      <w:tr>
        <w:trPr>
          <w:trHeight w:val="209"/>
        </w:trPr>
        <w:tc>
          <w:tcPr>
            <w:tcW w:w="7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181,009</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The Company has operating leases for off-campus classroom and laboratory sites, office space, office equipment, and optical fiber communication lines. These leases have remaining lease terms that range from two months to 10 years and three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$4,807 and $4,862 for the six-month periods ended June 30, 2022 and 2021, respectively.</w:t>
      </w:r>
    </w:p>
    <w:p>
      <w:pPr>
        <w:spacing w:after="0" w:line="177"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As of June 30, 2022, the Company had $28,619 of non-cancelable operating lease commitments for five off-campus classroom and laboratory sites and an office equipment lease that had not yet commenced. The Company’s weighted-average remaining lease term relating to its operating leases is 7.52 years, with a weighted-average discount rate of 3.04%. As of June 30, 2022, the Company had no financing leases.</w:t>
      </w:r>
    </w:p>
    <w:p>
      <w:pPr>
        <w:spacing w:after="0" w:line="187"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June 30, 2022, by year and in the aggregate,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5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5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9,132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2025</w:t>
            </w: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8,145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26,294</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64,892</w:t>
            </w:r>
          </w:p>
        </w:tc>
      </w:tr>
      <w:tr>
        <w:trPr>
          <w:trHeight w:val="21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58,053</w:t>
            </w: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Notes Payable and Other Noncurrent Liabilities</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Company upon its receipt of the paydown of $500,000 on the Secured Note in October 2021 repaid all amounts due under the outstanding term loan and revolving credit facilities, terminated the credit agreement and expensed all remaining capitalized loan cost of $1,028 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391" w:lineRule="exact"/>
        <w:rPr>
          <w:sz w:val="20"/>
          <w:szCs w:val="20"/>
          <w:color w:val="auto"/>
        </w:rPr>
      </w:pPr>
    </w:p>
    <w:p>
      <w:pPr>
        <w:ind w:left="700" w:right="6579" w:hanging="650"/>
        <w:spacing w:after="0" w:line="603" w:lineRule="auto"/>
        <w:tabs>
          <w:tab w:leader="none" w:pos="31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Incentive Plan</w:t>
      </w:r>
    </w:p>
    <w:p>
      <w:pPr>
        <w:spacing w:after="0" w:line="1"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The Company makes equity incentive grants pursuant to our 2017 Equity Incentive Plan (the “2017 Plan”) under which a maximum of 3,000 shares may be granted. As of June 30, 2022, 1,221 shares were available for grants under the 2017 Plan.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During the six months ended June 30, 2022, the Company granted 189 shares of common stock with a service vesting condition to certain of its executives, officers and employees. The restricted shares have voting rights and vest in five annual installments of 20%, with the first installment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six months ended June 30, 2022, the Company withheld 52 shares of common stock in lieu of taxes at a cost of $4,625 on the restricted stock vesting dates. In June 2022, following the annual stockholders meeting, the Company granted 4 shares of common stock to the non-employee members of the Company’s Board of Directors. The restricted shares granted to these directors have voting rights and vest on the earlier of (a) the one year anniversary of the date of grant or (b) immediately prior to the following year’s annual stockholders meeting.</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activity related to restricted stock granted under the Company’s Incentive Plan since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is as follows:</w:t>
      </w:r>
    </w:p>
    <w:tbl>
      <w:tblPr>
        <w:tblLayout w:type="fixed"/>
        <w:tblInd w:w="40" w:type="dxa"/>
        <w:tblCellMar>
          <w:top w:w="0" w:type="dxa"/>
          <w:left w:w="0" w:type="dxa"/>
          <w:bottom w:w="0" w:type="dxa"/>
          <w:right w:w="0" w:type="dxa"/>
        </w:tblCellMar>
      </w:tblPr>
      <w:tr>
        <w:trPr>
          <w:trHeight w:val="148"/>
        </w:trPr>
        <w:tc>
          <w:tcPr>
            <w:tcW w:w="3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2021</w:t>
            </w:r>
          </w:p>
        </w:tc>
        <w:tc>
          <w:tcPr>
            <w:tcW w:w="3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Granted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Forfeited, canceled or expired</w:t>
            </w:r>
          </w:p>
        </w:tc>
        <w:tc>
          <w:tcPr>
            <w:tcW w:w="394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June 30, 2022</w:t>
            </w:r>
          </w:p>
        </w:tc>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120" w:type="dxa"/>
            <w:vAlign w:val="bottom"/>
            <w:vMerge w:val="restart"/>
          </w:tcPr>
          <w:p>
            <w:pPr>
              <w:jc w:val="right"/>
              <w:ind w:right="2090"/>
              <w:spacing w:after="0"/>
              <w:rPr>
                <w:sz w:val="20"/>
                <w:szCs w:val="20"/>
                <w:color w:val="auto"/>
              </w:rPr>
            </w:pPr>
            <w:r>
              <w:rPr>
                <w:rFonts w:ascii="Arial" w:cs="Arial" w:eastAsia="Arial" w:hAnsi="Arial"/>
                <w:sz w:val="18"/>
                <w:szCs w:val="18"/>
                <w:color w:val="auto"/>
              </w:rPr>
              <w:t>18</w:t>
            </w: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During the six months ended June 30, 2022, no options were granted. As of December 31, 2021, all options have been exercised or expired.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2022 and 2021 related to restricted stock granted: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r>
      <w:tr>
        <w:trPr>
          <w:trHeight w:val="209"/>
        </w:trPr>
        <w:tc>
          <w:tcPr>
            <w:tcW w:w="61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effect of share-based compensation</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r>
      <w:tr>
        <w:trPr>
          <w:trHeight w:val="209"/>
        </w:trPr>
        <w:tc>
          <w:tcPr>
            <w:tcW w:w="6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r>
      <w:tr>
        <w:trPr>
          <w:trHeight w:val="20"/>
        </w:trPr>
        <w:tc>
          <w:tcPr>
            <w:tcW w:w="6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Treasury Stock</w:t>
      </w:r>
    </w:p>
    <w:p>
      <w:pPr>
        <w:spacing w:after="0" w:line="229"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The Board of Directors has authorized under its existing stock repurchase program, an aggregate authorization for share repurchases since the initiation of our program of $1,645,000. The expiration date on the repurchase authorization is December 31, 2022.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2" w:lineRule="exact"/>
        <w:rPr>
          <w:sz w:val="20"/>
          <w:szCs w:val="20"/>
          <w:color w:val="auto"/>
        </w:rPr>
      </w:pPr>
    </w:p>
    <w:p>
      <w:pPr>
        <w:ind w:left="60" w:right="139" w:firstLine="648"/>
        <w:spacing w:after="0" w:line="267" w:lineRule="auto"/>
        <w:rPr>
          <w:sz w:val="20"/>
          <w:szCs w:val="20"/>
          <w:color w:val="auto"/>
        </w:rPr>
      </w:pPr>
      <w:r>
        <w:rPr>
          <w:rFonts w:ascii="Arial" w:cs="Arial" w:eastAsia="Arial" w:hAnsi="Arial"/>
          <w:sz w:val="17"/>
          <w:szCs w:val="17"/>
          <w:color w:val="auto"/>
        </w:rPr>
        <w:t>On March 10, 2021, the Company entered into an accelerated share repurchase (“ASR”) agreement with Morgan Stanley &amp; Co. LLC (“Morgan Stanley”) to repurchase up to $35,000 of its outstanding shares of common stock as part of the Company’s share repurchase program. Under the ASR agreement, the Company received initial delivery of approximately 276 shares of common stock, representing approximately 80% of the number of shares of common stock initially underlying the ASR agreement based on the closing price of the common stock of $101.49, on March 9, 2021. At inception of the ASR agreement, the Company recognized the initial delivery of shares as treasury stock of $28,000 and recognized the remaining amount underlying the ASR agreement as a reduction of additional paid in capital of $7,000. The total number of shares that the Company repurchased under the ASR program was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May 4, 2021 with additional delivery of 46 shares of common stock. At settlement of the ASR agreement, the Company recognized an increase to additional paid in capital and a decrease in treasury stock of $7,000 related to the remaining delivery of shares. The ASR agreement resulted in total of 322 shares repurchased at an average cost of $108.76.</w:t>
      </w:r>
    </w:p>
    <w:p>
      <w:pPr>
        <w:spacing w:after="0" w:line="18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On May 14, 2021, the Company entered into an ASR agreement with Morgan Stanley to repurchase up to $50,000 of its outstanding shares of common stock as part of the Company’s share repurchase program. Under the ASR agreement, the Company received initial delivery on May 17, 2021 of approximately 418 shares of common stock, representing approximately 80% of the number of shares of common stock initially underlying the ASR agreement based on the closing price of the common stock of $95.63, on May 14, 2021. At inception of the ASR agreement, the Company recognized the initial delivery of shares as treasury stock of $40,000, and recognized the remaining amount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underlying the ASR agreement as a reduction to additional paid in capital of $10,000. The total number of shares that the Company repurchased under the ASR program was based on the volume-weighted average price of the common stock during the term of the ASR agreement, less a discount, and subject to potential adjustments pursuant to the terms and conditions of the ASR agreement. The final settlement of the shares repurchases under the ASR agreement was completed on August 13, 2021 with additional delivery of 139 shares of common stock. At settlement of the ASR agreement, the Company recognized an increase to additional paid in capital and a decrease in treasury stock of $10,000 related to the remaining delivery of shares. The ASR agreement resulted in a total of 558 shares repurchased at an average cost of $89.68.</w:t>
      </w:r>
    </w:p>
    <w:p>
      <w:pPr>
        <w:spacing w:after="0" w:line="192"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During the six months ended June 30, 2022 the Company repurchased 5,894 shares of common stock, at an aggregate cost of $523,387. As of June 30, 2022, there remained $72,046 available under its current share repurchase authorization. Shares repurchased in lieu of taxes are not included in the repurchase plan totals as they were approved in conjunction with the restricted share awards.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ind w:left="60" w:right="279" w:firstLine="648"/>
        <w:spacing w:after="0" w:line="263" w:lineRule="auto"/>
        <w:rPr>
          <w:sz w:val="20"/>
          <w:szCs w:val="20"/>
          <w:color w:val="auto"/>
        </w:rPr>
      </w:pPr>
      <w:r>
        <w:rPr>
          <w:rFonts w:ascii="Arial" w:cs="Arial" w:eastAsia="Arial" w:hAnsi="Arial"/>
          <w:sz w:val="18"/>
          <w:szCs w:val="18"/>
          <w:color w:val="auto"/>
        </w:rPr>
        <w:t>Related party transactions include transaction between the Company and certain of its affiliates. The following transactions were in the normal course of operations and were measured at the exchange amount, which is the amount of consideration established and agreed to by the parties.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and for the six months ended June 30, 2022 and 2021, related party transactions consisted of the following:</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Affiliates</w:t>
      </w:r>
    </w:p>
    <w:p>
      <w:pPr>
        <w:spacing w:after="0" w:line="229"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i w:val="1"/>
          <w:iCs w:val="1"/>
          <w:color w:val="auto"/>
        </w:rPr>
        <w:t xml:space="preserve">GCE Community Fund (“GCECF”) </w:t>
      </w:r>
      <w:r>
        <w:rPr>
          <w:rFonts w:ascii="Arial" w:cs="Arial" w:eastAsia="Arial" w:hAnsi="Arial"/>
          <w:sz w:val="16"/>
          <w:szCs w:val="16"/>
          <w:color w:val="auto"/>
        </w:rPr>
        <w:t>– GCECF was initially formed in 2014. GCECF makes grants for charitable,</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educational, literary, religious or scientific purposes within the meaning of Section 501(c )(3) of the Internal Revenue Code, including for such purposes as the making of distributions to organizations that qualify as exempt organization under Section 501(c )(3) of the Code. The Company’s CEO and Chairman serves as the president of GCECF. All of the board seats are taken by Company executives. The Company is not the primary beneficiary of GCECF, and accordingly, the Company does not consolidate GCECF’s statement of activities with its financial results. The Company contributed $200 for the six months ended June 30, 2022, of which no amounts were owed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spacing w:after="0" w:line="168"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Currently, one of the most significant factors that could cause actual outcomes to differ materially from our forward-looking statements is the continuing, and potential future, adverse effects of the COVID-19 pandemic, and federal, state and/or local regulatory guidelines and private business actions to control it, on the global economy and the financial markets, the higher education industry in which we operate, our university partners, and, ultimately, on our financial condition, operating results and cash flows. The extent to which the COVID-19 pandemic will continue to impact us, and our university partners will depend on future developments, including the scope, severity and duration of the pandemic, and the resulting economic impacts and potential changes in behavior, among others, all of which are highly uncertain and cannot be predicted with confidence. Important factors that could cause our actual performance or results to differ materially from those expressed in or suggested by the forward-looking statements, and which may be further heightened by the COVID-19 pandemic, include, but are not limited to:</w:t>
      </w:r>
    </w:p>
    <w:p>
      <w:pPr>
        <w:spacing w:after="0" w:line="182" w:lineRule="exact"/>
        <w:rPr>
          <w:sz w:val="20"/>
          <w:szCs w:val="20"/>
          <w:color w:val="auto"/>
        </w:rPr>
      </w:pPr>
    </w:p>
    <w:p>
      <w:pPr>
        <w:ind w:left="720" w:right="619" w:hanging="31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harm to our business, results of operations, and financial condition, and harm to our university partners resulting from epidemics, pandemics, including the COVID-19 outbreak, or public health crises;</w:t>
      </w:r>
    </w:p>
    <w:p>
      <w:pPr>
        <w:spacing w:after="0" w:line="123" w:lineRule="exact"/>
        <w:rPr>
          <w:rFonts w:ascii="Arial" w:cs="Arial" w:eastAsia="Arial" w:hAnsi="Arial"/>
          <w:sz w:val="16"/>
          <w:szCs w:val="16"/>
          <w:color w:val="auto"/>
        </w:rPr>
      </w:pPr>
    </w:p>
    <w:p>
      <w:pPr>
        <w:ind w:left="720" w:right="9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720" w:right="59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48" w:lineRule="exact"/>
        <w:rPr>
          <w:rFonts w:ascii="Arial" w:cs="Arial" w:eastAsia="Arial" w:hAnsi="Arial"/>
          <w:sz w:val="16"/>
          <w:szCs w:val="16"/>
          <w:color w:val="auto"/>
        </w:rPr>
      </w:pPr>
    </w:p>
    <w:p>
      <w:pPr>
        <w:ind w:left="720" w:right="15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48"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3" w:lineRule="exact"/>
        <w:rPr>
          <w:rFonts w:ascii="Arial" w:cs="Arial" w:eastAsia="Arial" w:hAnsi="Arial"/>
          <w:sz w:val="18"/>
          <w:szCs w:val="18"/>
          <w:color w:val="auto"/>
        </w:rPr>
      </w:pPr>
    </w:p>
    <w:p>
      <w:pPr>
        <w:ind w:left="720" w:right="29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partners;</w:t>
      </w:r>
    </w:p>
    <w:p>
      <w:pPr>
        <w:spacing w:after="0" w:line="183" w:lineRule="exact"/>
        <w:rPr>
          <w:rFonts w:ascii="Arial" w:cs="Arial" w:eastAsia="Arial" w:hAnsi="Arial"/>
          <w:sz w:val="18"/>
          <w:szCs w:val="18"/>
          <w:color w:val="auto"/>
        </w:rPr>
      </w:pPr>
    </w:p>
    <w:p>
      <w:pPr>
        <w:ind w:left="720" w:right="5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tax payments and tax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the competitive environment for marketing the programs of our university partners;</w:t>
      </w:r>
    </w:p>
    <w:p>
      <w:pPr>
        <w:spacing w:after="0" w:line="236" w:lineRule="exact"/>
        <w:rPr>
          <w:rFonts w:ascii="Arial" w:cs="Arial" w:eastAsia="Arial" w:hAnsi="Arial"/>
          <w:sz w:val="17"/>
          <w:szCs w:val="17"/>
          <w:color w:val="auto"/>
        </w:rPr>
      </w:pPr>
    </w:p>
    <w:p>
      <w:pPr>
        <w:ind w:left="720" w:right="3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and</w:t>
      </w:r>
    </w:p>
    <w:p>
      <w:pPr>
        <w:spacing w:after="0" w:line="238"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“2021 Form 10-K”) filed with the Securities and Exchange Commission (“SEC”) for the fiscal year ended December 31, 2021, as updated in our subsequent reports filed with the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dedicated to serving colleges and universities. GCE has developed significant technological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 and at two off-campus classroom and laboratory sites.</w:t>
      </w:r>
    </w:p>
    <w:p>
      <w:pPr>
        <w:spacing w:after="0" w:line="171"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In January 2019, GCE began providing education services to numerous university partners across the United States, through our wholly owned subsidiary, Orbis Education, which we acquired on January 22, 2019.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June 30, 2022, GCE provides education services to 27 university partners across the United States.</w:t>
      </w:r>
    </w:p>
    <w:p>
      <w:pPr>
        <w:spacing w:after="0" w:line="181"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231F20"/>
        </w:rPr>
        <w:t>Since March 2020, the world has been, and continues to be, impacted by the COVID-19 pandemic. This contagious outbreak, which has continued to spread, and the related adverse public health developments that have occurred at various times since March 2020, including orders to shelter-in-place, travel restrictions and mandated non-essential business closures, have adversely affected workforces, organizations, customers, economies and financial markets globally. It has also disrupted the normal operations of many businesses, including ours, and that of our university partners.</w:t>
      </w:r>
    </w:p>
    <w:p>
      <w:pPr>
        <w:spacing w:after="0" w:line="161"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231F20"/>
        </w:rPr>
        <w:t>Pursuant to the Master Services Agreement, GCE provides education services to GCU in return for 60% of GCU’s tuition and fee revenues, which includes fee revenues from room, board, and other ancillary businesses including a student-run golf course. GCU has four types of students: traditional ground university students, who attend class on its campus in Phoenix, Arizona and of which approximately 70% have historically lived on campus in university owned residence halls; professional studies students, who are working adult students who attend class one night a week on the Phoenix campus; online students who attend class fully online; and students who are studying in hybrid programs in which the ground component takes place at off-campus classroom and laboratory sites.</w:t>
      </w:r>
    </w:p>
    <w:p>
      <w:pPr>
        <w:spacing w:after="0" w:line="177"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231F20"/>
        </w:rPr>
        <w:t>The COVID-19 outbreak, as well as measures taken to contain its spread, has impacted GCU’s students and its business in a number of ways. A full description of those impacts is described in our 2021 Form 10-K. Below is an explanation of those impacts from the COVID-19 pandemic, that had an effect on GCU’s tuition and non-tuition revenue during 2021 and the first six months of 2022 and, consequently, the service revenues we earned under the Master Services Agreement:</w:t>
      </w:r>
    </w:p>
    <w:p>
      <w:pPr>
        <w:spacing w:after="0" w:line="188" w:lineRule="exact"/>
        <w:rPr>
          <w:sz w:val="20"/>
          <w:szCs w:val="20"/>
          <w:color w:val="auto"/>
        </w:rPr>
      </w:pPr>
    </w:p>
    <w:p>
      <w:pPr>
        <w:ind w:left="720" w:right="159" w:hanging="319"/>
        <w:spacing w:after="0" w:line="293" w:lineRule="auto"/>
        <w:tabs>
          <w:tab w:leader="none" w:pos="72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Room, board and certain fee income was negatively impacted in the Spring semester of 2021 for GCU’s traditional students as the first week of the Spring 2021 semester was completed in an online modality to provide greater flexibility for students returning to campus after the holidays. Face-to-face instruction for the semester commenced on January 11, 2021 and ended April 1, 2021 for approximately 80% of classes, followed by two weeks of online instruction. Approximately 3,500 traditional ground students elected to complete the Spring 2021 semester entirely in the online modality. GCU’s ground traditional students residing on campus 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399"/>
        <w:spacing w:after="0" w:line="263" w:lineRule="auto"/>
        <w:rPr>
          <w:sz w:val="20"/>
          <w:szCs w:val="20"/>
          <w:color w:val="auto"/>
        </w:rPr>
      </w:pPr>
      <w:r>
        <w:rPr>
          <w:rFonts w:ascii="Arial" w:cs="Arial" w:eastAsia="Arial" w:hAnsi="Arial"/>
          <w:sz w:val="18"/>
          <w:szCs w:val="18"/>
          <w:color w:val="231F20"/>
        </w:rPr>
        <w:t>GCU’s residence halls returned to historical levels in the Spring semester of 2022 and the entire semester was conducted face-to-face. Thus, GCU experienced a significant year over year increase in these revenues in the first half of 2022 and thus the service revenues earned by GCE;</w:t>
      </w:r>
    </w:p>
    <w:p>
      <w:pPr>
        <w:spacing w:after="0" w:line="184" w:lineRule="exact"/>
        <w:rPr>
          <w:sz w:val="20"/>
          <w:szCs w:val="20"/>
          <w:color w:val="auto"/>
        </w:rPr>
      </w:pPr>
    </w:p>
    <w:p>
      <w:pPr>
        <w:ind w:left="720" w:right="79" w:hanging="319"/>
        <w:spacing w:after="0" w:line="285" w:lineRule="auto"/>
        <w:tabs>
          <w:tab w:leader="none" w:pos="72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During the second quarter of 2020, GCU’s online enrollment growth accelerated significantly into the high single digits. The increased level of online enrollment at that time resulted from a combination of factors including an acceleration of new students starting programs, a higher-than-expected number of students returning to the university that had taken a break from their program (“re-enters”) and a lower-than-expected number of students deciding to drop out of or take a break from their program. We believe these trends were primarily caused by the shutdowns precipitated by the COVID-19 outbreak as greater numbers of working adults decided to return to school to finish undergraduate degree programs that they had previously started or to start new graduate degree programs during this time. These trends generally continued through the first quarter of 2021. Beginning in the second quarter of 2021, online enrollment growth rates as compared to the prior year period began to slow as both new enrollments and re-enters were down year over year, the numbers of students dropping out of school or taking periodic breaks in their program returned to historical levels and students completing their programs increased significantly on a year over year basis. These trends continued through the rest of 2021 and thus the year over year online growth rate continued to decline. The decline in new enrollments as compared to the prior year beginning in the second quarter of 2021 was also the result of recruitment challenges caused by the reduced access to schools, hospitals, and businesses where our potential students work. We believe that as the year over year comparables return to historical levels and schools, hospitals and businesses fully reopen, our online enrollment growth rate will begin to re-accelerate; and</w:t>
      </w:r>
    </w:p>
    <w:p>
      <w:pPr>
        <w:spacing w:after="0" w:line="173" w:lineRule="exact"/>
        <w:rPr>
          <w:rFonts w:ascii="Arial" w:cs="Arial" w:eastAsia="Arial" w:hAnsi="Arial"/>
          <w:sz w:val="16"/>
          <w:szCs w:val="16"/>
          <w:color w:val="231F20"/>
        </w:rPr>
      </w:pPr>
    </w:p>
    <w:p>
      <w:pPr>
        <w:ind w:left="720" w:right="119" w:hanging="319"/>
        <w:spacing w:after="0" w:line="257"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Professional studies students have declined significantly since the onset of the COVID-19 outbreak. Professional studies students at that time were converted to the online learning environment; since then, most have completed their programs while no new cohorts have been started until very recently. Now that the university has approved the recruitment of new professional studies cohorts, we anticipate that the number of these students will begin to grow.</w:t>
      </w:r>
    </w:p>
    <w:p>
      <w:pPr>
        <w:spacing w:after="0" w:line="188"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changes described above at GCU have impacted or will impact GCE’s service revenue under the Master Services Agreement. In addition, due to the limited operating expenses that we incur to deliver those services, there has been or will be a direct reduction in our operating profit and operating margin.</w:t>
      </w:r>
    </w:p>
    <w:p>
      <w:pPr>
        <w:spacing w:after="0" w:line="184"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231F20"/>
        </w:rPr>
        <w:t xml:space="preserve">GCE also provides services to </w:t>
      </w:r>
      <w:r>
        <w:rPr>
          <w:rFonts w:ascii="Arial" w:cs="Arial" w:eastAsia="Arial" w:hAnsi="Arial"/>
          <w:sz w:val="16"/>
          <w:szCs w:val="16"/>
          <w:color w:val="000000"/>
        </w:rPr>
        <w:t>numerous university partners across the United States, including GCU, at off-campus classroom and laboratory sites. The majority of these university partners’ students are studying in the Accelerated Bachelor of Science in Nursing (“ABSN”) program which is offered in a 12-16-month format in three or four academic semesters. Beginning with the Summer 2021 semester we experienced a decline in revenue per student from students in these programs caused primarily by some students delaying their scheduled clinical courses due to vaccine mandates at hospital partners and we started to see a reduction in our off-site classroom and laboratory student enrollment growth rate due primarily to delays in the opening of scheduled new sites and requests by some of our university or hospital partners or their state regulatory boards to reduce cohort sizes due to concerns over potential clinical faculty availability caused by nursing and other healthcare employee shortages. This is especially true with one of our university partner’s Occupational Therapy Assistants (“OTA”) program in which enrollment declined 34.0% between June 30, 2021 and 2022 as the university partner stopped admitting new students for most of 2021 due to clinical placement backlog. None of our ABSN partners have stopped admitting new students but some locations that were scheduled to open in 2021 and 2022 have been pushed back and some existing partners have reduced incoming cohort sizes due to the concern that there are not enough nurses to serve as clinical faculty.</w:t>
      </w:r>
    </w:p>
    <w:p>
      <w:pPr>
        <w:spacing w:after="0" w:line="171"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No other changes are currently anticipated with our other university partners that would have a material impact on GCE’s service revenue, operating profit and operating margins. However, if one of our university partners were to close an off-campus classroom and laboratory site or take some other action that adversely impacted program enrollment, such an event would reduce the service revenues earned by GCE.</w:t>
      </w:r>
    </w:p>
    <w:p>
      <w:pPr>
        <w:spacing w:after="0" w:line="187" w:lineRule="exact"/>
        <w:rPr>
          <w:sz w:val="20"/>
          <w:szCs w:val="20"/>
          <w:color w:val="auto"/>
        </w:rPr>
      </w:pPr>
    </w:p>
    <w:p>
      <w:pPr>
        <w:ind w:left="60" w:right="99" w:firstLine="648"/>
        <w:spacing w:after="0" w:line="308" w:lineRule="auto"/>
        <w:rPr>
          <w:sz w:val="20"/>
          <w:szCs w:val="20"/>
          <w:color w:val="auto"/>
        </w:rPr>
      </w:pPr>
      <w:r>
        <w:rPr>
          <w:rFonts w:ascii="Arial" w:cs="Arial" w:eastAsia="Arial" w:hAnsi="Arial"/>
          <w:sz w:val="17"/>
          <w:szCs w:val="17"/>
          <w:color w:val="212529"/>
        </w:rPr>
        <w:t>Beginning at the time of the COVID-19 outbreak a large percentage of our workforce began to work remotely and is expected to continue doing so for the foreseeable future. This degree of remote working could increase risks in</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212529"/>
        </w:rPr>
        <w:t>the areas of internal control, cyber security and the use of remote technology, and thereby result in interruptions or disruptions in normal operational processes.</w:t>
      </w:r>
    </w:p>
    <w:p>
      <w:pPr>
        <w:spacing w:after="0" w:line="170"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critical accounting policies are disclosed in the 2021 Form 10-K for the fiscal year ended December 31, 2021.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During the six months ended June 30, 2022, there were no significant changes in our critical accounting policies.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sets forth certain income statement data as a percentage of net revenue for each of the periods indicated. Amortization of intangible assets has been excluded from the table below:</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16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5"/>
              </w:rPr>
              <w:t>Six Months Ended</w:t>
            </w:r>
          </w:p>
        </w:tc>
      </w:tr>
      <w:tr>
        <w:trPr>
          <w:trHeight w:val="171"/>
        </w:trPr>
        <w:tc>
          <w:tcPr>
            <w:tcW w:w="5460" w:type="dxa"/>
            <w:vAlign w:val="bottom"/>
          </w:tcPr>
          <w:p>
            <w:pPr>
              <w:spacing w:after="0"/>
              <w:rPr>
                <w:sz w:val="14"/>
                <w:szCs w:val="14"/>
                <w:color w:val="auto"/>
              </w:rPr>
            </w:pPr>
          </w:p>
        </w:tc>
        <w:tc>
          <w:tcPr>
            <w:tcW w:w="94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4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2021</w:t>
            </w:r>
          </w:p>
        </w:tc>
        <w:tc>
          <w:tcPr>
            <w:tcW w:w="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19.1 %</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16.7 %</w:t>
            </w:r>
          </w:p>
        </w:tc>
        <w:tc>
          <w:tcPr>
            <w:tcW w:w="1640" w:type="dxa"/>
            <w:vAlign w:val="bottom"/>
            <w:gridSpan w:val="4"/>
          </w:tcPr>
          <w:p>
            <w:pPr>
              <w:jc w:val="right"/>
              <w:ind w:right="240"/>
              <w:spacing w:after="0"/>
              <w:rPr>
                <w:sz w:val="20"/>
                <w:szCs w:val="20"/>
                <w:color w:val="auto"/>
              </w:rPr>
            </w:pPr>
            <w:r>
              <w:rPr>
                <w:rFonts w:ascii="Arial" w:cs="Arial" w:eastAsia="Arial" w:hAnsi="Arial"/>
                <w:sz w:val="18"/>
                <w:szCs w:val="18"/>
                <w:color w:val="auto"/>
              </w:rPr>
              <w:t>16.8 %   15.0 %</w:t>
            </w: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0" w:type="dxa"/>
            <w:vAlign w:val="bottom"/>
            <w:shd w:val="clear" w:color="auto" w:fill="CCEEFF"/>
          </w:tcPr>
          <w:p>
            <w:pPr>
              <w:spacing w:after="0"/>
              <w:rPr>
                <w:sz w:val="18"/>
                <w:szCs w:val="18"/>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58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22.6</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18"/>
                <w:szCs w:val="18"/>
                <w:color w:val="auto"/>
              </w:rPr>
            </w:pP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June 30, 2021</w:t>
      </w:r>
    </w:p>
    <w:p>
      <w:pPr>
        <w:spacing w:after="0" w:line="225" w:lineRule="exact"/>
        <w:rPr>
          <w:sz w:val="20"/>
          <w:szCs w:val="20"/>
          <w:color w:val="auto"/>
        </w:rPr>
      </w:pPr>
    </w:p>
    <w:p>
      <w:pPr>
        <w:ind w:left="60" w:right="99" w:firstLine="648"/>
        <w:spacing w:after="0" w:line="276"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three months ended June 30, 2022 was $199.8 million,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$1.7 million, or 0.9%, as compared to service revenue of $201.5 million for the three months ended June 30, 2021. The decrease year over year in service revenue was primarily due to a decrease in online enrollments at GCU of 7.5% (see - </w:t>
      </w:r>
      <w:r>
        <w:rPr>
          <w:rFonts w:ascii="Arial" w:cs="Arial" w:eastAsia="Arial" w:hAnsi="Arial"/>
          <w:sz w:val="16"/>
          <w:szCs w:val="16"/>
          <w:i w:val="1"/>
          <w:iCs w:val="1"/>
          <w:color w:val="auto"/>
        </w:rPr>
        <w:t xml:space="preserve">Impact of COVID-19 </w:t>
      </w:r>
      <w:r>
        <w:rPr>
          <w:rFonts w:ascii="Arial" w:cs="Arial" w:eastAsia="Arial" w:hAnsi="Arial"/>
          <w:sz w:val="16"/>
          <w:szCs w:val="16"/>
          <w:color w:val="auto"/>
        </w:rPr>
        <w:t>above) and to a lesser extent, students in a university partner’s OTA program of 34% (see -</w:t>
      </w:r>
      <w:r>
        <w:rPr>
          <w:rFonts w:ascii="Arial" w:cs="Arial" w:eastAsia="Arial" w:hAnsi="Arial"/>
          <w:sz w:val="16"/>
          <w:szCs w:val="16"/>
          <w:i w:val="1"/>
          <w:iCs w:val="1"/>
          <w:color w:val="auto"/>
        </w:rPr>
        <w:t xml:space="preserve"> Impact of COVID-19 </w:t>
      </w:r>
      <w:r>
        <w:rPr>
          <w:rFonts w:ascii="Arial" w:cs="Arial" w:eastAsia="Arial" w:hAnsi="Arial"/>
          <w:sz w:val="16"/>
          <w:szCs w:val="16"/>
          <w:color w:val="auto"/>
        </w:rPr>
        <w:t>above) partially offset by increases in GCU traditional campus enrollments, university partners enrollments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ABSN programs and revenue per student year over year. Additionally, GCU’s traditional campus Spring semester moved forward one day and Summer semester moved back six days compared to the second quarter of 2021, which reduced service revenues earned in the second quarter by $1.3 million. The increase in revenue per student between years is primarily due to the service revenue impact of the increased room, board and other ancillary revenues at GCU in the second quarter of 2022 as compared to the prior year period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although the impact of this growth is not as significant in the 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and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quarters of each year as it is in the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and 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quarters as the majority of GCU’s traditional ground university students do not attend courses during the summer months, and the increase in students at off-campus classroom and laboratory sites. Service revenue per student for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Partner enrollments totaled 96,029 at June 30, 2022 as compared to 101,808 at June 30, 2021. University partner enrollments at our off-campus classroom and laboratory sites were 4,120, a decrease of 2.1% over enrollments at June 30, 2021, which includes 324 GCU students at June 30,</w:t>
      </w:r>
    </w:p>
    <w:p>
      <w:pPr>
        <w:spacing w:after="0" w:line="1" w:lineRule="exact"/>
        <w:rPr>
          <w:sz w:val="20"/>
          <w:szCs w:val="20"/>
          <w:color w:val="auto"/>
        </w:rPr>
      </w:pPr>
    </w:p>
    <w:p>
      <w:pPr>
        <w:ind w:left="60" w:right="219"/>
        <w:spacing w:after="0" w:line="268" w:lineRule="auto"/>
        <w:rPr>
          <w:sz w:val="20"/>
          <w:szCs w:val="20"/>
          <w:color w:val="auto"/>
        </w:rPr>
      </w:pPr>
      <w:r>
        <w:rPr>
          <w:rFonts w:ascii="Arial" w:cs="Arial" w:eastAsia="Arial" w:hAnsi="Arial"/>
          <w:sz w:val="17"/>
          <w:szCs w:val="17"/>
          <w:color w:val="auto"/>
        </w:rPr>
        <w:t xml:space="preserve">2022. This growth rate has slowed over the past year primarily due to the 34.0% decline in OTA students. Year over year ABSN students grew 1.2% at June 30, 2022. As is discussed above in </w:t>
      </w:r>
      <w:r>
        <w:rPr>
          <w:rFonts w:ascii="Arial" w:cs="Arial" w:eastAsia="Arial" w:hAnsi="Arial"/>
          <w:sz w:val="17"/>
          <w:szCs w:val="17"/>
          <w:i w:val="1"/>
          <w:iCs w:val="1"/>
          <w:color w:val="auto"/>
        </w:rPr>
        <w:t>Impact of COVID-19,</w:t>
      </w:r>
      <w:r>
        <w:rPr>
          <w:rFonts w:ascii="Arial" w:cs="Arial" w:eastAsia="Arial" w:hAnsi="Arial"/>
          <w:sz w:val="17"/>
          <w:szCs w:val="17"/>
          <w:color w:val="auto"/>
        </w:rPr>
        <w:t xml:space="preserve"> none of our ABSN partners have stopped admitting new students due to clinical faculty challenges that began during the pandemic, however some locations that were scheduled to open in 2021 and 2022 have been pushed back and some existing partners have reduced incoming cohort sizes which has slowed the growth. In addition, in a joint decision between us and one of our university partners, two ABSN off-campus classroom and laboratory sites were closed at the beginning of this year to allow the university partner to focus its resources closer to its home location. Excluding the prior year enrollments from locations that have been closed in the past twelve months, ABSN students</w:t>
      </w:r>
    </w:p>
    <w:p>
      <w:pPr>
        <w:sectPr>
          <w:pgSz w:w="11900" w:h="16838" w:orient="portrait"/>
          <w:cols w:equalWidth="0" w:num="1">
            <w:col w:w="9019"/>
          </w:cols>
          <w:pgMar w:left="1440" w:top="51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grew by 6.6% year over year. We did open three new off-campus classroom and laboratory sites in the first half of 2022 increasing the total number of these sites to 32 at June 30, 2022 and we anticipate opening four more this Fall and six to eight more in 2023 which should re-accelerate the ABSN student enrollment growth. Enrollments at GCU declined to 92,233 at June 30, 2022, a decrease of 5.7% over enrollments at June 30, 2021 primarily due to the decrease in GCU online enrollments between years. Enrollments for GCU ground students were 7,309 at June 30, 2022 up from 6,202 at June 30, 2021 primarily due to a 24.0% increase in traditional ground students taking summer school courses between years. GCU enrollment declines between March 31 and June 30 of each year as ground enrollment at GCU at June 30 of each year only includes traditional-aged students taking summer school classes, which is a small percentage of GCU’s traditional-aged student body. The Spring semester for GCU’s traditional-aged student body ends near the end of April each year.</w:t>
      </w:r>
    </w:p>
    <w:p>
      <w:pPr>
        <w:spacing w:after="0" w:line="166"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2022 were $38.2 million, an increase of $4.5 million, or 13.4%, as compared to technology and academic services expenses of $33.7 million for the three months ended June 30, 2021. This increase was primarily due to increases in employee compensation and related expenses, including share-based compensation and benefit expenses and in other technology and academic costs of $4.2 million and $0.3 million, respectively. These increases were primarily due to increased headcount to support our 27 university partners, and their increased enrollment growth, tenure-based salary adjustments, an increase in benefit costs and the increased number of off-campus classroom and laboratory sites year over year. Our technology and academic services expenses as a percentage of revenue increased 2.4% to 19.1% for the</w:t>
      </w:r>
    </w:p>
    <w:p>
      <w:pPr>
        <w:spacing w:after="0" w:line="1"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three months ended June 30, 2022, from 16.7% for the three months ended June 30, 2021. This increase was primarily due to partnership agreements with university partners that have off-campus classroom and laboratory sites requiring a higher level of technology and academic services than our agreement with GCU. We anticipate that technology and academic services expenses as a percentage of revenue will continue to increase in the future as we open more off-campus classroom and laboratory sites.</w:t>
      </w:r>
    </w:p>
    <w:p>
      <w:pPr>
        <w:spacing w:after="0" w:line="191" w:lineRule="exact"/>
        <w:rPr>
          <w:sz w:val="20"/>
          <w:szCs w:val="20"/>
          <w:color w:val="auto"/>
        </w:rPr>
      </w:pPr>
    </w:p>
    <w:p>
      <w:pPr>
        <w:ind w:left="60" w:right="59" w:firstLine="648"/>
        <w:spacing w:after="0" w:line="283"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2022 were $66.0 million, an increase of $5.1 million, or 8.4%, as compared to counseling services and support expenses of $60.9 million for the three months ended June 30, 2021. This increase was primarily attributable to increases in other counseling services and support expenses, employee compensation and related expenses including share-based compensation and benefit expenses, and occupancy and depreciation expenses of $2.4 million, $2.4 million, and $0.3 million, respectively. The increase in other counseling services and support expenses is primarily the result of increased travel costs for our 27 university partners as compared to the COVID-19 impacted second quarter of 2021, during which significantly lower travel costs were incurred. The increases in employee compensation and related expenses were primarily due to increased headcount to support our university partners, and their planned increases in enrollment, tenure-based salary adjustments, an increase in benefit costs and the increased number of off-campus classroom and laboratory sites open year over year. Our counseling services and support expenses as a percentage of revenue increased 2.9% to</w:t>
      </w:r>
    </w:p>
    <w:p>
      <w:pPr>
        <w:spacing w:after="0" w:line="4" w:lineRule="exact"/>
        <w:rPr>
          <w:sz w:val="20"/>
          <w:szCs w:val="20"/>
          <w:color w:val="auto"/>
        </w:rPr>
      </w:pPr>
    </w:p>
    <w:p>
      <w:pPr>
        <w:ind w:left="60" w:right="299"/>
        <w:spacing w:after="0" w:line="271" w:lineRule="auto"/>
        <w:rPr>
          <w:sz w:val="20"/>
          <w:szCs w:val="20"/>
          <w:color w:val="auto"/>
        </w:rPr>
      </w:pPr>
      <w:r>
        <w:rPr>
          <w:rFonts w:ascii="Arial" w:cs="Arial" w:eastAsia="Arial" w:hAnsi="Arial"/>
          <w:sz w:val="17"/>
          <w:szCs w:val="17"/>
          <w:color w:val="auto"/>
        </w:rPr>
        <w:t>33.1% for the three months ended June 30, 2022, from 30.2% for the three months ended June 30, 2021 primarily due to the significant increase year over year in travel and benefit costs and the increased headcount. We anticipate that counseling services and support expense as a percentage of revenue will continue to be higher in 2022 than in 2021 as travel expenses return to pre-COVID-19 levels and we grow our employee base and their compensation to meet our university partners’ growth expectations and retain our employees.</w:t>
      </w:r>
    </w:p>
    <w:p>
      <w:pPr>
        <w:spacing w:after="0" w:line="178"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were $49.7 million, an increase of $4.3 million, or 9.4%, as compared to marketing and communication expenses of $45.4 million for the three months ended June 30, 2021. This increase was primarily attributable to the increased cost to market our university partners’ programs and to the marketing of new university partners and new locations which resulted in increased advertising of $3.4 million and increased employee compensation, including share-based compensation and benefit expenses of $0.9 million. Our marketing and communication expenses as a percentage of revenue increased by</w:t>
      </w:r>
    </w:p>
    <w:p>
      <w:pPr>
        <w:spacing w:after="0" w:line="4"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2.3% to 24.9% for the three months ended June 30, 2022, from 22.6% for the three months ended June 30, 2021, primarily due to the increase in the number of new university partners and their growth expectations and increased off-campus classroom and laboratory sites opened and sites planned to open in the next 12 months.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for the three months ended June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were $9.9 million, an increase of $0.8 million, or 8.5%, as compared to general and administrative expenses of $9.1 million for the three months ended June 30, 2021. This increase was primarily attributable to an increase in other general and administrative expenses, professional fees, and employee compensation, including share-based compensation and benefit expenses of $0.4 million, $0.2 million and $0.2 million, respectively. Our increase in other general and administrative expenses is primarily related to an increase in travel costs and charitable contributions between years. The increased professional fees is primarily increased legal and audit fees between years. The increase in employee compensation and related expenses is primarily related to tenure adjustments and higher benefit costs between years. Our general and administrative expenses as a percentage of revenue increased by 0.4% to 4.9% for the three months ended June 30, 2022, from 4.5% for the three months ended June 30, 2021.</w:t>
      </w:r>
    </w:p>
    <w:p>
      <w:pPr>
        <w:spacing w:after="0" w:line="185"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three months ended June 30,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were $2.1 million for both periods. As a result of the acquisition of our wholly owned subsidiary, Orbis Education, certain identifiable intangible assets were created (primarily customer relationships) that will be amortized over their expected lives.</w:t>
      </w:r>
    </w:p>
    <w:p>
      <w:pPr>
        <w:spacing w:after="0" w:line="187"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the Secured Note for the three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was $14.8 million. GCE recognized interest income on the Secured Note including borrowings made for capital expenditures, at an interest rate of 6%. GCU repaid all amounts owed on the Secured Note in the fourth quarter of 2021. As the Secured Note receivable was paid off in 2021 there was no interest income earned on the Secured Note in the second quarter of 2022 and there will be none in future periods.</w:t>
      </w:r>
    </w:p>
    <w:p>
      <w:pPr>
        <w:spacing w:after="0" w:line="188"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$0.8 million for the three months ended June 30, 2021. The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repaid and terminated in early November 2021.</w:t>
      </w:r>
    </w:p>
    <w:p>
      <w:pPr>
        <w:spacing w:after="0" w:line="170"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i w:val="1"/>
          <w:iCs w:val="1"/>
          <w:color w:val="auto"/>
        </w:rPr>
        <w:t>Investment interest and other</w:t>
      </w:r>
      <w:r>
        <w:rPr>
          <w:rFonts w:ascii="Arial" w:cs="Arial" w:eastAsia="Arial" w:hAnsi="Arial"/>
          <w:sz w:val="16"/>
          <w:szCs w:val="16"/>
          <w:color w:val="auto"/>
        </w:rPr>
        <w:t>. Investment interest and other for the three months ended June 30, 2022 was $0.3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investment interest and other for the three months ended June 30, 2021 was $0.2 million.</w:t>
      </w:r>
    </w:p>
    <w:p>
      <w:pPr>
        <w:spacing w:after="0" w:line="124"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June 30, 2022 was $8.6 million,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$6.4 million, or 42.7%, as compared to income tax expense of $15.0 million for the three months ended June 30, 2021. This decrease was the result of a decrease in our taxable income partially offset by an increase in our effective tax rate between periods. Our effective tax rate was 25.2% during the second quarter of 2022 compared to 23.3% during the second quarter of 2021. In the second quarter of 2022, the effective tax rate was unfavorably impacted by an increase in the state income tax rate.</w:t>
      </w:r>
    </w:p>
    <w:p>
      <w:pPr>
        <w:spacing w:after="0" w:line="192" w:lineRule="exact"/>
        <w:rPr>
          <w:sz w:val="20"/>
          <w:szCs w:val="20"/>
          <w:color w:val="auto"/>
        </w:rPr>
      </w:pPr>
    </w:p>
    <w:p>
      <w:pPr>
        <w:jc w:val="both"/>
        <w:ind w:left="60" w:right="41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June 30, 2022 was $25.6 million, a decrease of $23.9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48.3%, as compared to $49.5 million for the three months ended June 30, 2021, due to the factors discussed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2021</w:t>
      </w:r>
    </w:p>
    <w:p>
      <w:pPr>
        <w:spacing w:after="0" w:line="225"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six months ended June 30, 2022 was $443.9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$5.5 million, or 1.2%, as compared to service revenue of $438.4 million for the six months ended June 30, 2021. The increase year over year in service revenue was primarily due to increases in GCU traditional campus enrollments, university partners enrollments in ABSN programs and revenue per student year over year partially offset by a decrease in online enrollments at GCU of 7.5%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and to a lesser extent, students in a university partner’s OTA program of 34%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Additionally, GCU’s traditional campus Summer semester moved back six days compared to the six months ended June 30, 2021, which reduced service revenues earned in the six months ended June 30, 2022 by $0.5 million. The increase in revenue per student between years is primarily due to the service revenue impact of the increased room, board and other ancillary revenues at GCU in the first half of 2022 as compared to the prior year period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and the increase in students at off-campus classroom and laboratory sites. Service revenue per student for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87" w:lineRule="auto"/>
        <w:rPr>
          <w:sz w:val="20"/>
          <w:szCs w:val="20"/>
          <w:color w:val="auto"/>
        </w:rPr>
      </w:pPr>
      <w:r>
        <w:rPr>
          <w:rFonts w:ascii="Arial" w:cs="Arial" w:eastAsia="Arial" w:hAnsi="Arial"/>
          <w:sz w:val="16"/>
          <w:szCs w:val="16"/>
          <w:color w:val="auto"/>
        </w:rPr>
        <w:t>and the majority of their students take more credits on average per semester. Partner enrollments totaled 96,029 at June 30, 2022 as compared to 101,808 at June 30, 2021. University partner enrollments at our off-campus classroom and laboratory sites were 4,120, a decrease of 2.1% over enrollments at June 30, 2021, which includes 324 GCU students at June 30,</w:t>
      </w:r>
    </w:p>
    <w:p>
      <w:pPr>
        <w:spacing w:after="0" w:line="2"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 xml:space="preserve">2022. This growth rate has slowed over the past year primarily due to the 34.0% decline in OTA students. Year over year ABSN students grew 1.2% at June 30, 2022. As is discussed above in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none of our ABSN partners have stopped admitting new students due to clinical faculty challenges that began during the pandemic, however some locations that were scheduled to open in 2021 and 2022 have been pushed back and some existing partners have reduced incoming cohort sizes which has slowed the growth. In addition, in a joint decision between us and one of our university partners, two ABSN off-campus classroom and laboratory sites were closed at the beginning of this year to allow the university partner to focus its resources closer to its home location. Excluding the prior year enrollments from locations that have been closed in the past twelve months, ABSN students grew by 6.6% year over year. We did open three new off-campus classroom and laboratory sites in the first half of 2022 increasing the total number of these sites to 32 at June 30, 2022 and anticipate opening four more this Fall and six to eight more in 2023 which should re-accelerate the ABSN student enrollment growth. Enrollments at GCU declined to 92,233 at June 30, 2022, a decrease of 5.7% over enrollments at June 30, 2021 primarily due to the decrease in GCU online enrollments between years. Enrollments for GCU ground students were 7,309 at June 30, 2022 up from 6,202 at June 30, 2021 primarily due to a 24.0% increase in traditional ground students taking summer school courses between years. GCU enrollment declines between March 31 and June 30 of each year as ground enrollment at GCU at June 30 of each year only includes traditional-aged students taking summer school classes, which is a small percentage of GCU’s traditional-aged student body. The Spring semester for GCU’s traditional-aged student body ends near the end of April each year.</w:t>
      </w:r>
    </w:p>
    <w:p>
      <w:pPr>
        <w:spacing w:after="0" w:line="172"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six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2022 were $74.5 million, an increase of $8.8 million, or 13.3%, as compared to technology and academic services expenses of $65.7 million for the six months ended June 30, 2021. This increase was primarily due to increases in employee compensation and related expenses, including share-based compensation and benefit expenses, in other technology and academic costs and in occupancy and depreciation including lease expenses of $7.0 million, $1.6 million and $0.2 million, respectively. These increases were primarily due to increased headcount to support our 27 university partners, and their increased enrollment growth, tenure-based salary adjustments, an increase in benefit costs and the increased number of off-campus classroom and laboratory sites year over year. Our technology and academic services expenses as a percentage of revenue increased 1.8% to 16.8% for the six months ended June 30, 2022, from 15.0% for the six months ended June 30, 2021. This increase was primarily due to partnership agreements with university partners that have off-campus classroom and laboratory sites requiring a higher level of technology and academic services than our agreement with GCU partially offset by the increased Spring and Summer 2022 semester ground traditional campus revenues at GCU. We anticipate that technology and academic services expenses as a percentage of revenue will continue to increase in the future as we open more off-campus classroom and laboratory sites.</w:t>
      </w:r>
    </w:p>
    <w:p>
      <w:pPr>
        <w:spacing w:after="0" w:line="171" w:lineRule="exact"/>
        <w:rPr>
          <w:sz w:val="20"/>
          <w:szCs w:val="20"/>
          <w:color w:val="auto"/>
        </w:rPr>
      </w:pPr>
    </w:p>
    <w:p>
      <w:pPr>
        <w:ind w:left="60" w:right="99" w:firstLine="648"/>
        <w:spacing w:after="0" w:line="283"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were $133.5 million, an increase of $11.3 million, or 9.3%, as compared to counseling services and support expenses of $122.2 million for the six months ended June 30, 2021. This increase was primarily attributable to increases in other counseling services and support expenses, employee compensation and related expenses including share-based compensation and benefit expenses, and occupancy and depreciation expenses of $7.1 million, $3.7 million and $0.5 million, respectively. The increase in other counseling services and support expenses is primarily the result of increased travel costs for our 27 university partners as compared to the COVID-19 impacted first half of 2021, during which significantly lower travel costs were incurred. The increases in employee compensation and related expenses were primarily due to increased headcount to support our university partners, and their planned increased enrollment growth, tenure-based salary adjustments, an increase in benefit costs and the increased number of off-campus classroom and laboratory sites open year over year. Our counseling services and support expenses as a percentage of revenue increased</w:t>
      </w:r>
    </w:p>
    <w:p>
      <w:pPr>
        <w:spacing w:after="0" w:line="4"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2.2% to 30.1% for the six months ended June 30, 2022, from 27.9% for the six months ended June 30, 2021 primarily due to significant increase year over year in travel and benefit costs and the increased headcount, partially offset by our ability to leverage our counseling services and support expense across an increasing revenue base primarily due to the increased Spring and Summer 2022 semester ground traditional campus revenues at GCU. We anticipate that counseling services and support expense as a percentage of revenue will continue to be higher in 2022 than in 2021 as travel expenses return to pre-COVID-19 levels and we grow our employee base and their compensation to meet our university partners’ growth expectations and retain our employees.</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i w:val="1"/>
          <w:iCs w:val="1"/>
          <w:color w:val="auto"/>
        </w:rPr>
        <w:t>Marketing and communication</w:t>
      </w:r>
      <w:r>
        <w:rPr>
          <w:rFonts w:ascii="Arial" w:cs="Arial" w:eastAsia="Arial" w:hAnsi="Arial"/>
          <w:sz w:val="17"/>
          <w:szCs w:val="17"/>
          <w:color w:val="auto"/>
        </w:rPr>
        <w:t>. Our marketing and communication expenses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2022 were $100.6 million, an increase of $7.4 million, or 8.0%, as compared to marketing and communication expenses of $93.2 million for the six months ended June 30, 2021. This increase was primarily attributable to the increased cost to market our university partners’ programs and to the marketing of new university partners and new locations which resulted in increased advertising, employee compensation, including share-based compensation and benefit expenses, and other communications expenses of $5.7 million, $1.6 million and $0.1 million, respectively. Our marketing and communication expenses as a percentage of revenue increased by 1.4% to 22.7% for the six months ended June 30, 2022, from 21.3% for the six months ended June 30, 2021, primarily due to the increase in the number of new university partners and their growth expectations and increased off-campus classroom and laboratory sites opened and sites planned to open in the next 12 months.</w:t>
      </w:r>
    </w:p>
    <w:p>
      <w:pPr>
        <w:spacing w:after="0" w:line="18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for the six months ended June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were $19.7 million, an increase of $1.0 million, or 5.8%, as compared to general and administrative expenses of $18.7 million for the six months ended June 30, 2021. This increase was primarily attributable to an increase in professional fees, other general and administrative expenses, and employee compensation, including share-based compensation, and related benefit expenses of $0.5 million, $0.4 million, and $0.1 million, respectively. The increase in professional fees is primarily due to increased legal and audit fees between years. Our increase in other general and administrative expenses is primarily related to an increase in travel costs and charitable contributions between years. The increase in employee compensation and related expenses is primarily related to higher benefit costs and tenure adjustments. Our general and administrative expenses as a percentage of revenue increased by 0.1% to 4.4% for the six months ended June 30, 2022, from 4.3% for the six months ended June 30, 2021.</w:t>
      </w:r>
    </w:p>
    <w:p>
      <w:pPr>
        <w:spacing w:after="0" w:line="185"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six months ended June 30,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were $4.2 million for both periods. As a result of the acquisition of our wholly owned subsidiary, Orbis Education, certain identifiable intangible assets were created (primarily customer relationships) that will be amortized over their expected lives.</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the Secured Note for the six months ended June 30, 2021 was</w:t>
      </w:r>
      <w:r>
        <w:rPr>
          <w:rFonts w:ascii="Arial" w:cs="Arial" w:eastAsia="Arial" w:hAnsi="Arial"/>
          <w:sz w:val="18"/>
          <w:szCs w:val="18"/>
          <w:i w:val="1"/>
          <w:iCs w:val="1"/>
          <w:color w:val="auto"/>
        </w:rPr>
        <w:t xml:space="preserve"> </w:t>
      </w:r>
      <w:r>
        <w:rPr>
          <w:rFonts w:ascii="Arial" w:cs="Arial" w:eastAsia="Arial" w:hAnsi="Arial"/>
          <w:sz w:val="18"/>
          <w:szCs w:val="18"/>
          <w:color w:val="auto"/>
        </w:rPr>
        <w:t>$29.3 million. GCE recognized interest income on the Secured Note including borrowings made for capital expenditures, at an interest rate of 6%. GCU repaid all amounts owed on the Secured Note in the fourth quarter of 2021. As the Secured Note receivable was paid off in 2021 there was no interest income earned on the Secured Note in the six months ended June 30, 2022 and there will be none in future periods.</w:t>
      </w:r>
    </w:p>
    <w:p>
      <w:pPr>
        <w:spacing w:after="0" w:line="188"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$1.6 million for the six months ended June 30, 2021. The credit facility was</w:t>
      </w:r>
      <w:r>
        <w:rPr>
          <w:rFonts w:ascii="Arial" w:cs="Arial" w:eastAsia="Arial" w:hAnsi="Arial"/>
          <w:sz w:val="18"/>
          <w:szCs w:val="18"/>
          <w:i w:val="1"/>
          <w:iCs w:val="1"/>
          <w:color w:val="auto"/>
        </w:rPr>
        <w:t xml:space="preserve"> </w:t>
      </w:r>
      <w:r>
        <w:rPr>
          <w:rFonts w:ascii="Arial" w:cs="Arial" w:eastAsia="Arial" w:hAnsi="Arial"/>
          <w:sz w:val="18"/>
          <w:szCs w:val="18"/>
          <w:color w:val="auto"/>
        </w:rPr>
        <w:t>repaid and terminated in early November 2021.</w:t>
      </w:r>
    </w:p>
    <w:p>
      <w:pPr>
        <w:spacing w:after="0" w:line="170" w:lineRule="exact"/>
        <w:rPr>
          <w:sz w:val="20"/>
          <w:szCs w:val="20"/>
          <w:color w:val="auto"/>
        </w:rPr>
      </w:pPr>
    </w:p>
    <w:p>
      <w:pPr>
        <w:ind w:left="60" w:right="479" w:firstLine="648"/>
        <w:spacing w:after="0" w:line="342" w:lineRule="auto"/>
        <w:rPr>
          <w:sz w:val="20"/>
          <w:szCs w:val="20"/>
          <w:color w:val="auto"/>
        </w:rPr>
      </w:pPr>
      <w:r>
        <w:rPr>
          <w:rFonts w:ascii="Arial" w:cs="Arial" w:eastAsia="Arial" w:hAnsi="Arial"/>
          <w:sz w:val="16"/>
          <w:szCs w:val="16"/>
          <w:i w:val="1"/>
          <w:iCs w:val="1"/>
          <w:color w:val="auto"/>
        </w:rPr>
        <w:t>Investment interest and other</w:t>
      </w:r>
      <w:r>
        <w:rPr>
          <w:rFonts w:ascii="Arial" w:cs="Arial" w:eastAsia="Arial" w:hAnsi="Arial"/>
          <w:sz w:val="16"/>
          <w:szCs w:val="16"/>
          <w:color w:val="auto"/>
        </w:rPr>
        <w:t>. Investment interest and other for the six months ended June 30, 2022 was $0.5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investment interest and other for the six months ended June 30, 2021 was $0.4 million.</w:t>
      </w:r>
    </w:p>
    <w:p>
      <w:pPr>
        <w:spacing w:after="0" w:line="124"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six months ended June 30, 2022 was $28.2 million,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$6.8 million, or 19.4%, as compared to income tax expense of $35.0 million for the six months ended June 30, 2021. This decrease was the result of a decrease in our taxable income partially offset by an increase in our effective tax rate between periods. Our effective tax rate was 25.2% during the six months ended June 30, 2022 compared to 21.5% during the six months ended June 30, 2021. In the first half of 2021, the effective tax rate was significantly impacted by excess tax benefits of $4.4 million as a result of exercises of the remaining stock options held by employees prior to their expiration. Excess tax benefits totaled only $0.1 million in the first half of 2022. In the first half of 2022, the effective tax rate was also unfavorably impacted by an increase in the state income tax rate.</w:t>
      </w:r>
    </w:p>
    <w:p>
      <w:pPr>
        <w:spacing w:after="0" w:line="178"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2022 was $83.6 million, a decrease of $44.0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34.4%, as compared to $127.6 million for the six months ended June 30, 2021, due to the factors discussed above.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As of June 30,  As of December 31,</w:t>
            </w: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86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7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203,268</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Our liquidity position, as measured by cash and cash equivalents and investments decreased by $397.7 million between December 31, 2021 and June 30, 2022, which was largely attributable to share repurchases during the six months ended June 30, 2022 of $528.0 million, partially offset by cash provided by operating activities of $146.1 million. Our unrestricted cash and cash equivalents and investments were $203.3 million at June 30, 2022 and $600.9 million at December 31, 2021.</w:t>
      </w:r>
    </w:p>
    <w:p>
      <w:pPr>
        <w:spacing w:after="0" w:line="188" w:lineRule="exact"/>
        <w:rPr>
          <w:sz w:val="20"/>
          <w:szCs w:val="20"/>
          <w:color w:val="auto"/>
        </w:rPr>
      </w:pPr>
    </w:p>
    <w:p>
      <w:pPr>
        <w:jc w:val="both"/>
        <w:ind w:left="60" w:right="339" w:firstLine="648"/>
        <w:spacing w:after="0" w:line="311"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84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$ 146,089</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5"/>
              </w:rPr>
              <w:t>210,329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decrease in cash generated from operating activities between the six months ended June 30, 2022 and the six months ended June 30, 2021 was primarily due to a decrease in net income and changes in working capital balances, primarily accounts payable and income tax receivable.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84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(79,617)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Investing activities consumed $79.6 million of cash in the six months ended June 30, 2022 compared to $240.1 million in the six months ended June 30, 2021.</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firstLine="648"/>
        <w:spacing w:after="0" w:line="279" w:lineRule="auto"/>
        <w:rPr>
          <w:sz w:val="20"/>
          <w:szCs w:val="20"/>
          <w:color w:val="auto"/>
        </w:rPr>
      </w:pPr>
      <w:r>
        <w:rPr>
          <w:rFonts w:ascii="Arial" w:cs="Arial" w:eastAsia="Arial" w:hAnsi="Arial"/>
          <w:sz w:val="17"/>
          <w:szCs w:val="17"/>
          <w:color w:val="auto"/>
        </w:rPr>
        <w:t>In the first six months of 2022 cash used in investing activities consisted of the purchase of available-for-sale securities, net of proceeds from the sale of investments of $64.4 million with the excess cash flows generated from the recent repayment of the Secured Note by GCU in the fourth quarter of 2021. In 2021 purchases of investments, net of proceeds from the sale of investments totaled $34.1 million.</w:t>
      </w:r>
    </w:p>
    <w:p>
      <w:pPr>
        <w:spacing w:after="0" w:line="171"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the first six months of 2022 and 2021 cash used in investing activities also included the purchases of capital expenditures totaling $15.1 million and $15.8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$35.0 million per year for capital expenditures.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Funding to GCU during the first six months of 2021 totaled $190.0 million, which was repaid in July 2021.</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86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(528,012)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Financing activities consumed $528.0 million of cash in the six months ended June 30, 2022 compared to $146.6 million in the six months ended June 30, 2021.</w:t>
      </w:r>
    </w:p>
    <w:p>
      <w:pPr>
        <w:spacing w:after="0" w:line="170"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During the six months ended June 30, 2022 and 2021, $523.4 million and $151.7 million, respectively was used to purchase treasury stock in accordance with GCE’s share repurchase program, and in 2021 $10.0 million was paid to Morgan Stanley under our accelerated share repurchase (“ASR”) agreement for shares that would be settled no later than September 9, 2021. In 2022 and 2021, $4.6 million and $6.0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spacing w:after="0" w:line="178"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In 2021, principal payments on notes payable and capital leases totaled $16.6 million, partially offset by proceeds from the exercise of stock options of $2.7 million and borrowings on our line of credit of $35.0 million.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Our Board of Directors has authorized under its existing stock repurchase program, an aggregate authorization for share repurchases since the initiation of the program of $1,645.0 million. The current expiration date on the repurchase authorization by our Board of Directors is December 31, 2022. Repurchases occur at the Company’s discretion and the Company may modify, suspend or discontinue the repurchase authorization at any time.</w:t>
      </w:r>
    </w:p>
    <w:p>
      <w:pPr>
        <w:spacing w:after="0" w:line="157"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184"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We repurchased 5,894,337 shares of common stock in the six months ended June 30, 2022. At June 30, 2022, there remains $72.0 million available under our share repurchase authorization.</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As of June 30, 2022, we have no derivative financial instruments or derivative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We invest cash in excess of current operating requirements in money market instruments and commercial paper at multiple financial institutions.</w:t>
      </w:r>
    </w:p>
    <w:p>
      <w:pPr>
        <w:spacing w:after="0" w:line="184"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by investing excess funds in cash equivalents, BBB or higher rated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bonds, commercial paper,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June 30, 2022, a 10% increase or decrease in interest rates would not have a material impact on our future earnings, fair values, or cash flows.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June 30, 2022,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17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Our Board of Directors has authorized under its existing stock repurchase program, an aggregate authorization for share repurchases since the initiation of the program of $1,645.0 million. The current expiration date on the repurchase authorization by our Board of Directors is December 31, 2022.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64" w:lineRule="exact"/>
        <w:rPr>
          <w:sz w:val="20"/>
          <w:szCs w:val="20"/>
          <w:color w:val="auto"/>
        </w:rPr>
      </w:pPr>
    </w:p>
    <w:p>
      <w:pPr>
        <w:ind w:left="60" w:right="799" w:firstLine="648"/>
        <w:spacing w:after="0" w:line="342" w:lineRule="auto"/>
        <w:rPr>
          <w:sz w:val="20"/>
          <w:szCs w:val="20"/>
          <w:color w:val="auto"/>
        </w:rPr>
      </w:pPr>
      <w:r>
        <w:rPr>
          <w:rFonts w:ascii="Arial" w:cs="Arial" w:eastAsia="Arial" w:hAnsi="Arial"/>
          <w:sz w:val="16"/>
          <w:szCs w:val="16"/>
          <w:color w:val="auto"/>
        </w:rPr>
        <w:t>During the six months ended June 30, 2022, 5,894,337 shares of common stock were repurchased by the Company. At June 30, 2022, there remains $72.0 million available under our share repurchase authorization.</w:t>
      </w:r>
    </w:p>
    <w:p>
      <w:pPr>
        <w:spacing w:after="0" w:line="124"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2022:</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Value of Shares</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8"/>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vMerge w:val="continue"/>
          </w:tcPr>
          <w:p>
            <w:pPr>
              <w:spacing w:after="0"/>
              <w:rPr>
                <w:sz w:val="12"/>
                <w:szCs w:val="12"/>
                <w:color w:val="auto"/>
              </w:rPr>
            </w:pPr>
          </w:p>
        </w:tc>
        <w:tc>
          <w:tcPr>
            <w:tcW w:w="94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Price Paid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April 1, 2022 – April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912,264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99.46</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912,264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109,800,000</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2022 – May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387,163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93.04</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73,800,000</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June 1, 2022 – June 30, 2022</w:t>
            </w:r>
          </w:p>
        </w:tc>
        <w:tc>
          <w:tcPr>
            <w:tcW w:w="1120" w:type="dxa"/>
            <w:vAlign w:val="bottom"/>
          </w:tcPr>
          <w:p>
            <w:pPr>
              <w:jc w:val="right"/>
              <w:spacing w:after="0"/>
              <w:rPr>
                <w:sz w:val="20"/>
                <w:szCs w:val="20"/>
                <w:color w:val="auto"/>
              </w:rPr>
            </w:pPr>
            <w:r>
              <w:rPr>
                <w:rFonts w:ascii="Arial" w:cs="Arial" w:eastAsia="Arial" w:hAnsi="Arial"/>
                <w:sz w:val="18"/>
                <w:szCs w:val="18"/>
                <w:color w:val="auto"/>
              </w:rPr>
              <w:t>19,862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85.90</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19,862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72,000,000</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1,319,289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97.37</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1,319,289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72,000,000</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Tax Withholdings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2022 – April 30,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May 1, 2022 – May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2022 – June 30,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Arial" w:cs="Arial" w:eastAsia="Arial" w:hAnsi="Arial"/>
                <w:sz w:val="18"/>
                <w:szCs w:val="18"/>
                <w:b w:val="1"/>
                <w:bCs w:val="1"/>
                <w:color w:val="auto"/>
                <w:w w:val="98"/>
              </w:rPr>
              <w:t>Item 3.</w:t>
            </w:r>
          </w:p>
        </w:tc>
        <w:tc>
          <w:tcPr>
            <w:tcW w:w="8320" w:type="dxa"/>
            <w:vAlign w:val="bottom"/>
          </w:tcPr>
          <w:p>
            <w:pPr>
              <w:ind w:left="80"/>
              <w:spacing w:after="0"/>
              <w:rPr>
                <w:sz w:val="20"/>
                <w:szCs w:val="20"/>
                <w:color w:val="auto"/>
              </w:rPr>
            </w:pPr>
            <w:r>
              <w:rPr>
                <w:rFonts w:ascii="Arial" w:cs="Arial" w:eastAsia="Arial" w:hAnsi="Arial"/>
                <w:sz w:val="18"/>
                <w:szCs w:val="18"/>
                <w:b w:val="1"/>
                <w:bCs w:val="1"/>
                <w:color w:val="auto"/>
              </w:rPr>
              <w:t>Defaults Upon Senior Securities</w:t>
            </w:r>
          </w:p>
        </w:tc>
      </w:tr>
      <w:tr>
        <w:trPr>
          <w:trHeight w:val="432"/>
        </w:trPr>
        <w:tc>
          <w:tcPr>
            <w:tcW w:w="60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color w:val="auto"/>
              </w:rPr>
              <w:t>None.</w:t>
            </w:r>
          </w:p>
        </w:tc>
      </w:tr>
      <w:tr>
        <w:trPr>
          <w:trHeight w:val="432"/>
        </w:trPr>
        <w:tc>
          <w:tcPr>
            <w:tcW w:w="600" w:type="dxa"/>
            <w:vAlign w:val="bottom"/>
          </w:tcPr>
          <w:p>
            <w:pPr>
              <w:ind w:left="20"/>
              <w:spacing w:after="0"/>
              <w:rPr>
                <w:sz w:val="20"/>
                <w:szCs w:val="20"/>
                <w:color w:val="auto"/>
              </w:rPr>
            </w:pPr>
            <w:r>
              <w:rPr>
                <w:rFonts w:ascii="Arial" w:cs="Arial" w:eastAsia="Arial" w:hAnsi="Arial"/>
                <w:sz w:val="18"/>
                <w:szCs w:val="18"/>
                <w:b w:val="1"/>
                <w:bCs w:val="1"/>
                <w:color w:val="auto"/>
                <w:w w:val="98"/>
              </w:rPr>
              <w:t>Item 4.</w:t>
            </w:r>
          </w:p>
        </w:tc>
        <w:tc>
          <w:tcPr>
            <w:tcW w:w="8320" w:type="dxa"/>
            <w:vAlign w:val="bottom"/>
          </w:tcPr>
          <w:p>
            <w:pPr>
              <w:ind w:left="80"/>
              <w:spacing w:after="0"/>
              <w:rPr>
                <w:sz w:val="20"/>
                <w:szCs w:val="20"/>
                <w:color w:val="auto"/>
              </w:rPr>
            </w:pPr>
            <w:r>
              <w:rPr>
                <w:rFonts w:ascii="Arial" w:cs="Arial" w:eastAsia="Arial" w:hAnsi="Arial"/>
                <w:sz w:val="18"/>
                <w:szCs w:val="18"/>
                <w:b w:val="1"/>
                <w:bCs w:val="1"/>
                <w:color w:val="auto"/>
              </w:rPr>
              <w:t>Mine Safety Disclosures</w:t>
            </w:r>
          </w:p>
        </w:tc>
      </w:tr>
      <w:tr>
        <w:trPr>
          <w:trHeight w:val="432"/>
        </w:trPr>
        <w:tc>
          <w:tcPr>
            <w:tcW w:w="60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color w:val="auto"/>
              </w:rPr>
              <w:t>None.</w:t>
            </w:r>
          </w:p>
        </w:tc>
      </w:tr>
      <w:tr>
        <w:trPr>
          <w:trHeight w:val="432"/>
        </w:trPr>
        <w:tc>
          <w:tcPr>
            <w:tcW w:w="600" w:type="dxa"/>
            <w:vAlign w:val="bottom"/>
          </w:tcPr>
          <w:p>
            <w:pPr>
              <w:ind w:left="20"/>
              <w:spacing w:after="0"/>
              <w:rPr>
                <w:sz w:val="20"/>
                <w:szCs w:val="20"/>
                <w:color w:val="auto"/>
              </w:rPr>
            </w:pPr>
            <w:r>
              <w:rPr>
                <w:rFonts w:ascii="Arial" w:cs="Arial" w:eastAsia="Arial" w:hAnsi="Arial"/>
                <w:sz w:val="18"/>
                <w:szCs w:val="18"/>
                <w:b w:val="1"/>
                <w:bCs w:val="1"/>
                <w:color w:val="auto"/>
                <w:w w:val="98"/>
              </w:rPr>
              <w:t>Item 5.</w:t>
            </w:r>
          </w:p>
        </w:tc>
        <w:tc>
          <w:tcPr>
            <w:tcW w:w="8320" w:type="dxa"/>
            <w:vAlign w:val="bottom"/>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60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color w:val="auto"/>
              </w:rPr>
              <w:t>None.</w:t>
            </w:r>
          </w:p>
        </w:tc>
      </w:tr>
      <w:tr>
        <w:trPr>
          <w:trHeight w:val="648"/>
        </w:trPr>
        <w:tc>
          <w:tcPr>
            <w:tcW w:w="600" w:type="dxa"/>
            <w:vAlign w:val="bottom"/>
          </w:tcPr>
          <w:p>
            <w:pPr>
              <w:spacing w:after="0"/>
              <w:rPr>
                <w:sz w:val="24"/>
                <w:szCs w:val="24"/>
                <w:color w:val="auto"/>
              </w:rPr>
            </w:pPr>
          </w:p>
        </w:tc>
        <w:tc>
          <w:tcPr>
            <w:tcW w:w="8320" w:type="dxa"/>
            <w:vAlign w:val="bottom"/>
          </w:tcPr>
          <w:p>
            <w:pPr>
              <w:ind w:left="3780"/>
              <w:spacing w:after="0"/>
              <w:rPr>
                <w:sz w:val="20"/>
                <w:szCs w:val="20"/>
                <w:color w:val="auto"/>
              </w:rPr>
            </w:pPr>
            <w:r>
              <w:rPr>
                <w:rFonts w:ascii="Arial" w:cs="Arial" w:eastAsia="Arial" w:hAnsi="Arial"/>
                <w:sz w:val="18"/>
                <w:szCs w:val="18"/>
                <w:color w:val="auto"/>
              </w:rPr>
              <w:t>33</w:t>
            </w:r>
          </w:p>
        </w:tc>
      </w:tr>
      <w:tr>
        <w:trPr>
          <w:trHeight w:val="560"/>
        </w:trPr>
        <w:tc>
          <w:tcPr>
            <w:tcW w:w="60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80" w:type="dxa"/>
            <w:vAlign w:val="bottom"/>
          </w:tcPr>
          <w:p>
            <w:pPr>
              <w:spacing w:after="0"/>
              <w:rPr>
                <w:sz w:val="20"/>
                <w:szCs w:val="20"/>
                <w:color w:val="auto"/>
              </w:rPr>
            </w:pPr>
          </w:p>
        </w:tc>
        <w:tc>
          <w:tcPr>
            <w:tcW w:w="4820" w:type="dxa"/>
            <w:vAlign w:val="bottom"/>
            <w:gridSpan w:val="14"/>
          </w:tcPr>
          <w:p>
            <w:pPr>
              <w:spacing w:after="0"/>
              <w:rPr>
                <w:sz w:val="20"/>
                <w:szCs w:val="20"/>
                <w:color w:val="auto"/>
              </w:rPr>
            </w:pPr>
            <w:r>
              <w:rPr>
                <w:rFonts w:ascii="Arial" w:cs="Arial" w:eastAsia="Arial" w:hAnsi="Arial"/>
                <w:sz w:val="18"/>
                <w:szCs w:val="18"/>
                <w:b w:val="1"/>
                <w:bCs w:val="1"/>
                <w:color w:val="auto"/>
              </w:rPr>
              <w:t>Exhibits</w:t>
            </w:r>
          </w:p>
        </w:tc>
        <w:tc>
          <w:tcPr>
            <w:tcW w:w="34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00" w:type="dxa"/>
            <w:vAlign w:val="bottom"/>
            <w:gridSpan w:val="15"/>
          </w:tcPr>
          <w:p>
            <w:pPr>
              <w:ind w:left="60"/>
              <w:spacing w:after="0"/>
              <w:rPr>
                <w:sz w:val="20"/>
                <w:szCs w:val="20"/>
                <w:color w:val="auto"/>
              </w:rPr>
            </w:pPr>
            <w:r>
              <w:rPr>
                <w:rFonts w:ascii="Arial" w:cs="Arial" w:eastAsia="Arial" w:hAnsi="Arial"/>
                <w:sz w:val="18"/>
                <w:szCs w:val="18"/>
                <w:color w:val="auto"/>
              </w:rPr>
              <w:t>(a)  Exhibits</w:t>
            </w:r>
          </w:p>
        </w:tc>
        <w:tc>
          <w:tcPr>
            <w:tcW w:w="3420" w:type="dxa"/>
            <w:vAlign w:val="bottom"/>
          </w:tcPr>
          <w:p>
            <w:pPr>
              <w:spacing w:after="0"/>
              <w:rPr>
                <w:sz w:val="24"/>
                <w:szCs w:val="24"/>
                <w:color w:val="auto"/>
              </w:rPr>
            </w:pPr>
          </w:p>
        </w:tc>
      </w:tr>
      <w:tr>
        <w:trPr>
          <w:trHeight w:val="270"/>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4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c>
          <w:tcPr>
            <w:tcW w:w="3420" w:type="dxa"/>
            <w:vAlign w:val="bottom"/>
          </w:tcPr>
          <w:p>
            <w:pPr>
              <w:spacing w:after="0"/>
              <w:rPr>
                <w:sz w:val="20"/>
                <w:szCs w:val="20"/>
                <w:color w:val="auto"/>
              </w:rPr>
            </w:pPr>
            <w:r>
              <w:rPr>
                <w:rFonts w:ascii="Arial" w:cs="Arial" w:eastAsia="Arial" w:hAnsi="Arial"/>
                <w:sz w:val="14"/>
                <w:szCs w:val="14"/>
                <w:b w:val="1"/>
                <w:bCs w:val="1"/>
                <w:color w:val="auto"/>
              </w:rPr>
              <w:t>Method of Filing</w:t>
            </w:r>
          </w:p>
        </w:tc>
      </w:tr>
      <w:tr>
        <w:trPr>
          <w:trHeight w:val="169"/>
        </w:trPr>
        <w:tc>
          <w:tcPr>
            <w:tcW w:w="20" w:type="dxa"/>
            <w:vAlign w:val="bottom"/>
          </w:tcPr>
          <w:p>
            <w:pPr>
              <w:spacing w:after="0"/>
              <w:rPr>
                <w:sz w:val="14"/>
                <w:szCs w:val="14"/>
                <w:color w:val="auto"/>
              </w:rPr>
            </w:pPr>
          </w:p>
        </w:tc>
        <w:tc>
          <w:tcPr>
            <w:tcW w:w="5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500" w:type="dxa"/>
            <w:vAlign w:val="bottom"/>
            <w:tcBorders>
              <w:top w:val="single" w:sz="8" w:color="auto"/>
            </w:tcBorders>
            <w:gridSpan w:val="12"/>
          </w:tcPr>
          <w:p>
            <w:pPr>
              <w:spacing w:after="0" w:line="169" w:lineRule="exact"/>
              <w:rPr>
                <w:rFonts w:ascii="Arial" w:cs="Arial" w:eastAsia="Arial" w:hAnsi="Arial"/>
                <w:sz w:val="18"/>
                <w:szCs w:val="18"/>
                <w:color w:val="0000EE"/>
              </w:rPr>
            </w:pPr>
            <w:hyperlink r:id="rId48">
              <w:r>
                <w:rPr>
                  <w:rFonts w:ascii="Arial" w:cs="Arial" w:eastAsia="Arial" w:hAnsi="Arial"/>
                  <w:sz w:val="18"/>
                  <w:szCs w:val="18"/>
                  <w:color w:val="0000EE"/>
                </w:rPr>
                <w:t>Amended and Restated Certificate of Incorporation.</w:t>
              </w:r>
            </w:hyperlink>
          </w:p>
        </w:tc>
        <w:tc>
          <w:tcPr>
            <w:tcW w:w="140" w:type="dxa"/>
            <w:vAlign w:val="bottom"/>
          </w:tcPr>
          <w:p>
            <w:pPr>
              <w:spacing w:after="0"/>
              <w:rPr>
                <w:sz w:val="14"/>
                <w:szCs w:val="14"/>
                <w:color w:val="auto"/>
              </w:rPr>
            </w:pPr>
          </w:p>
        </w:tc>
        <w:tc>
          <w:tcPr>
            <w:tcW w:w="34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w w:val="93"/>
              </w:rPr>
              <w:t>Incorporated by reference to Exhibit 3.1 to the</w:t>
            </w: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Company’s Annual Report on Form 10-K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with the SEC on February 20, 2019.</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3"/>
          </w:tcPr>
          <w:p>
            <w:pPr>
              <w:spacing w:after="0"/>
              <w:rPr>
                <w:rFonts w:ascii="Arial" w:cs="Arial" w:eastAsia="Arial" w:hAnsi="Arial"/>
                <w:sz w:val="18"/>
                <w:szCs w:val="18"/>
                <w:color w:val="0000EE"/>
              </w:rPr>
            </w:pPr>
            <w:hyperlink r:id="rId49">
              <w:r>
                <w:rPr>
                  <w:rFonts w:ascii="Arial" w:cs="Arial" w:eastAsia="Arial" w:hAnsi="Arial"/>
                  <w:sz w:val="18"/>
                  <w:szCs w:val="18"/>
                  <w:color w:val="0000EE"/>
                </w:rPr>
                <w:t>Third Amended and Restated Bylaws.</w:t>
              </w:r>
            </w:hyperlink>
          </w:p>
        </w:tc>
        <w:tc>
          <w:tcPr>
            <w:tcW w:w="3420" w:type="dxa"/>
            <w:vAlign w:val="bottom"/>
          </w:tcPr>
          <w:p>
            <w:pPr>
              <w:spacing w:after="0"/>
              <w:rPr>
                <w:sz w:val="20"/>
                <w:szCs w:val="20"/>
                <w:color w:val="auto"/>
              </w:rPr>
            </w:pPr>
            <w:r>
              <w:rPr>
                <w:rFonts w:ascii="Arial" w:cs="Arial" w:eastAsia="Arial" w:hAnsi="Arial"/>
                <w:sz w:val="18"/>
                <w:szCs w:val="18"/>
                <w:color w:val="auto"/>
                <w:w w:val="93"/>
              </w:rPr>
              <w:t>Incorporated by reference to Exhibit 3.1 to the</w:t>
            </w: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Company’s Current Report on Form 8-K filed</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with the SEC on October 29, 2014.</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3"/>
          </w:tcPr>
          <w:p>
            <w:pPr>
              <w:spacing w:after="0"/>
              <w:rPr>
                <w:rFonts w:ascii="Arial" w:cs="Arial" w:eastAsia="Arial" w:hAnsi="Arial"/>
                <w:sz w:val="18"/>
                <w:szCs w:val="18"/>
                <w:color w:val="0000EE"/>
              </w:rPr>
            </w:pPr>
            <w:hyperlink r:id="rId50">
              <w:r>
                <w:rPr>
                  <w:rFonts w:ascii="Arial" w:cs="Arial" w:eastAsia="Arial" w:hAnsi="Arial"/>
                  <w:sz w:val="18"/>
                  <w:szCs w:val="18"/>
                  <w:color w:val="0000EE"/>
                </w:rPr>
                <w:t>Specimen of Stock Certificate.</w:t>
              </w:r>
            </w:hyperlink>
          </w:p>
        </w:tc>
        <w:tc>
          <w:tcPr>
            <w:tcW w:w="342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Amendment No. 2 to the Company’s</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Registration Statement on Form S-1 filed with</w:t>
            </w: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SEC on September 29, 2008.</w:t>
            </w:r>
          </w:p>
        </w:tc>
      </w:tr>
      <w:tr>
        <w:trPr>
          <w:trHeight w:val="39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Principal Executive Officer pursuant to</w:t>
              </w:r>
            </w:hyperlink>
          </w:p>
        </w:tc>
        <w:tc>
          <w:tcPr>
            <w:tcW w:w="680" w:type="dxa"/>
            <w:vAlign w:val="bottom"/>
            <w:gridSpan w:val="5"/>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Rules 13a-14(a) and 15d-14(a), as adopted pursuant to</w:t>
              </w:r>
            </w:hyperlink>
          </w:p>
        </w:tc>
        <w:tc>
          <w:tcPr>
            <w:tcW w:w="740" w:type="dxa"/>
            <w:vAlign w:val="bottom"/>
            <w:gridSpan w:val="7"/>
          </w:tcPr>
          <w:p>
            <w:pPr>
              <w:spacing w:after="0"/>
              <w:rPr>
                <w:sz w:val="17"/>
                <w:szCs w:val="17"/>
                <w:color w:val="auto"/>
              </w:rPr>
            </w:pPr>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Section 302 of the Sarbanes-Oxley Act of 2002.</w:t>
              </w:r>
            </w:hyperlink>
          </w:p>
        </w:tc>
        <w:tc>
          <w:tcPr>
            <w:tcW w:w="1200" w:type="dxa"/>
            <w:vAlign w:val="bottom"/>
            <w:gridSpan w:val="9"/>
          </w:tcPr>
          <w:p>
            <w:pPr>
              <w:spacing w:after="0"/>
              <w:rPr>
                <w:sz w:val="17"/>
                <w:szCs w:val="17"/>
                <w:color w:val="auto"/>
              </w:rPr>
            </w:pPr>
          </w:p>
        </w:tc>
        <w:tc>
          <w:tcPr>
            <w:tcW w:w="3420" w:type="dxa"/>
            <w:vAlign w:val="bottom"/>
          </w:tcPr>
          <w:p>
            <w:pPr>
              <w:spacing w:after="0"/>
              <w:rPr>
                <w:sz w:val="17"/>
                <w:szCs w:val="17"/>
                <w:color w:val="auto"/>
              </w:rPr>
            </w:pPr>
          </w:p>
        </w:tc>
      </w:tr>
      <w:tr>
        <w:trPr>
          <w:trHeight w:val="412"/>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Certification of Principal Financial Officer pursuant to</w:t>
              </w:r>
            </w:hyperlink>
          </w:p>
        </w:tc>
        <w:tc>
          <w:tcPr>
            <w:tcW w:w="720" w:type="dxa"/>
            <w:vAlign w:val="bottom"/>
            <w:gridSpan w:val="6"/>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Rules 13a-14(a) and 15d-14(a), as adopted pursuant to</w:t>
              </w:r>
            </w:hyperlink>
          </w:p>
        </w:tc>
        <w:tc>
          <w:tcPr>
            <w:tcW w:w="740" w:type="dxa"/>
            <w:vAlign w:val="bottom"/>
            <w:gridSpan w:val="7"/>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Section 302 of the Sarbanes-Oxley Act of 2002.</w:t>
              </w:r>
            </w:hyperlink>
          </w:p>
        </w:tc>
        <w:tc>
          <w:tcPr>
            <w:tcW w:w="1200" w:type="dxa"/>
            <w:vAlign w:val="bottom"/>
            <w:gridSpan w:val="9"/>
          </w:tcPr>
          <w:p>
            <w:pPr>
              <w:spacing w:after="0"/>
              <w:rPr>
                <w:sz w:val="17"/>
                <w:szCs w:val="17"/>
                <w:color w:val="auto"/>
              </w:rPr>
            </w:pPr>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344"/>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Certification of Principal Executive Officer pursuant to 18</w:t>
              </w:r>
            </w:hyperlink>
          </w:p>
        </w:tc>
        <w:tc>
          <w:tcPr>
            <w:tcW w:w="460" w:type="dxa"/>
            <w:vAlign w:val="bottom"/>
            <w:gridSpan w:val="3"/>
          </w:tcPr>
          <w:p>
            <w:pPr>
              <w:spacing w:after="0"/>
              <w:rPr>
                <w:sz w:val="24"/>
                <w:szCs w:val="24"/>
                <w:color w:val="auto"/>
              </w:rPr>
            </w:pPr>
          </w:p>
        </w:tc>
        <w:tc>
          <w:tcPr>
            <w:tcW w:w="34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U.S.C. Section 1350, as adopted pursuant to Section 906 of</w:t>
              </w:r>
            </w:hyperlink>
          </w:p>
        </w:tc>
        <w:tc>
          <w:tcPr>
            <w:tcW w:w="38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gridSpan w:val="1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the Sarbanes-Oxley Act of 2002. ††</w:t>
              </w:r>
            </w:hyperlink>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20"/>
        </w:trPr>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Certification of Principal Financial Officer pursuant to 18</w:t>
              </w:r>
            </w:hyperlink>
          </w:p>
        </w:tc>
        <w:tc>
          <w:tcPr>
            <w:tcW w:w="3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120" w:type="dxa"/>
            <w:vAlign w:val="bottom"/>
            <w:gridSpan w:val="9"/>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U.S.C. Section 1350, as adopted pursuant to Section 906 of</w:t>
              </w:r>
            </w:hyperlink>
          </w:p>
        </w:tc>
        <w:tc>
          <w:tcPr>
            <w:tcW w:w="38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gridSpan w:val="1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the Sarbanes-Oxley Act of 2002. ††</w:t>
              </w:r>
            </w:hyperlink>
          </w:p>
        </w:tc>
        <w:tc>
          <w:tcPr>
            <w:tcW w:w="34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right="3639" w:hanging="824"/>
        <w:spacing w:after="0" w:line="285"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June 30, 2022, formatted in Inline XBRL: (i) Consolidated Income Statements, (ii) Consolidated Statements of Comprehensive Income, (iii) Consolidated Balance Sheets, (iv) Consolidated</w:t>
      </w:r>
    </w:p>
    <w:tbl>
      <w:tblPr>
        <w:tblLayout w:type="fixed"/>
        <w:tblInd w:w="6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4800" w:type="dxa"/>
            <w:vAlign w:val="bottom"/>
          </w:tcPr>
          <w:p>
            <w:pPr>
              <w:ind w:left="280"/>
              <w:spacing w:after="0" w:line="204" w:lineRule="exact"/>
              <w:rPr>
                <w:sz w:val="20"/>
                <w:szCs w:val="20"/>
                <w:color w:val="auto"/>
              </w:rPr>
            </w:pPr>
            <w:r>
              <w:rPr>
                <w:rFonts w:ascii="Arial" w:cs="Arial" w:eastAsia="Arial" w:hAnsi="Arial"/>
                <w:sz w:val="18"/>
                <w:szCs w:val="18"/>
                <w:color w:val="auto"/>
              </w:rPr>
              <w:t>Statements of Stockholders’ Equity, (v) Consolidated</w:t>
            </w:r>
          </w:p>
        </w:tc>
        <w:tc>
          <w:tcPr>
            <w:tcW w:w="122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w w:val="97"/>
              </w:rPr>
              <w:t>Statements of Cash Flows, and (vi) Notes to Consolidated</w:t>
            </w:r>
          </w:p>
        </w:tc>
        <w:tc>
          <w:tcPr>
            <w:tcW w:w="1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w w:val="95"/>
              </w:rPr>
              <w:t>Financial Statements tagged as blocks of text and including</w:t>
            </w:r>
          </w:p>
        </w:tc>
        <w:tc>
          <w:tcPr>
            <w:tcW w:w="1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detailed tags.</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350"/>
        </w:trPr>
        <w:tc>
          <w:tcPr>
            <w:tcW w:w="540" w:type="dxa"/>
            <w:vAlign w:val="bottom"/>
          </w:tcPr>
          <w:p>
            <w:pPr>
              <w:jc w:val="right"/>
              <w:ind w:right="190"/>
              <w:spacing w:after="0"/>
              <w:rPr>
                <w:sz w:val="20"/>
                <w:szCs w:val="20"/>
                <w:color w:val="auto"/>
              </w:rPr>
            </w:pPr>
            <w:r>
              <w:rPr>
                <w:rFonts w:ascii="Arial" w:cs="Arial" w:eastAsia="Arial" w:hAnsi="Arial"/>
                <w:sz w:val="18"/>
                <w:szCs w:val="18"/>
                <w:color w:val="auto"/>
                <w:w w:val="79"/>
              </w:rPr>
              <w:t>104</w:t>
            </w:r>
          </w:p>
        </w:tc>
        <w:tc>
          <w:tcPr>
            <w:tcW w:w="4800" w:type="dxa"/>
            <w:vAlign w:val="bottom"/>
          </w:tcPr>
          <w:p>
            <w:pPr>
              <w:ind w:left="280"/>
              <w:spacing w:after="0"/>
              <w:rPr>
                <w:sz w:val="20"/>
                <w:szCs w:val="20"/>
                <w:color w:val="auto"/>
              </w:rPr>
            </w:pPr>
            <w:r>
              <w:rPr>
                <w:rFonts w:ascii="Arial" w:cs="Arial" w:eastAsia="Arial" w:hAnsi="Arial"/>
                <w:sz w:val="18"/>
                <w:szCs w:val="18"/>
                <w:color w:val="auto"/>
                <w:w w:val="99"/>
              </w:rPr>
              <w:t>The cover page from the Company’s Quarterly Report on</w:t>
            </w:r>
          </w:p>
        </w:tc>
        <w:tc>
          <w:tcPr>
            <w:tcW w:w="122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w w:val="92"/>
              </w:rPr>
              <w:t>Form 10-Q for the quarter ended June 30, 2022, formatted in</w:t>
            </w:r>
          </w:p>
        </w:tc>
        <w:tc>
          <w:tcPr>
            <w:tcW w:w="1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800" w:type="dxa"/>
            <w:vAlign w:val="bottom"/>
          </w:tcPr>
          <w:p>
            <w:pPr>
              <w:ind w:left="280"/>
              <w:spacing w:after="0"/>
              <w:rPr>
                <w:sz w:val="20"/>
                <w:szCs w:val="20"/>
                <w:color w:val="auto"/>
              </w:rPr>
            </w:pPr>
            <w:r>
              <w:rPr>
                <w:rFonts w:ascii="Arial" w:cs="Arial" w:eastAsia="Arial" w:hAnsi="Arial"/>
                <w:sz w:val="18"/>
                <w:szCs w:val="18"/>
                <w:color w:val="auto"/>
              </w:rPr>
              <w:t>Inline XBRL (included as Exhibit 101).</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2" w:lineRule="exact"/>
        <w:rPr>
          <w:sz w:val="20"/>
          <w:szCs w:val="20"/>
          <w:color w:val="auto"/>
        </w:rPr>
      </w:pPr>
    </w:p>
    <w:p>
      <w:pPr>
        <w:ind w:left="380" w:right="199" w:hanging="330"/>
        <w:spacing w:after="0" w:line="259" w:lineRule="auto"/>
        <w:tabs>
          <w:tab w:leader="none" w:pos="3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SIGNATURES</w:t>
      </w:r>
    </w:p>
    <w:p>
      <w:pPr>
        <w:spacing w:after="0" w:line="23" w:lineRule="exact"/>
        <w:rPr>
          <w:sz w:val="20"/>
          <w:szCs w:val="20"/>
          <w:color w:val="auto"/>
        </w:rPr>
      </w:pPr>
    </w:p>
    <w:p>
      <w:pPr>
        <w:ind w:left="60" w:right="199" w:firstLine="648"/>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4, 2022</w:t>
            </w: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By: /s/ Daniel E. Bachus</w:t>
            </w:r>
          </w:p>
        </w:tc>
      </w:tr>
      <w:tr>
        <w:trPr>
          <w:trHeight w:val="20"/>
        </w:trPr>
        <w:tc>
          <w:tcPr>
            <w:tcW w:w="3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82"/>
        </w:trPr>
        <w:tc>
          <w:tcPr>
            <w:tcW w:w="3040" w:type="dxa"/>
            <w:vAlign w:val="bottom"/>
          </w:tcPr>
          <w:p>
            <w:pPr>
              <w:spacing w:after="0"/>
              <w:rPr>
                <w:sz w:val="15"/>
                <w:szCs w:val="15"/>
                <w:color w:val="auto"/>
              </w:rPr>
            </w:pPr>
          </w:p>
        </w:tc>
        <w:tc>
          <w:tcPr>
            <w:tcW w:w="5860" w:type="dxa"/>
            <w:vAlign w:val="bottom"/>
            <w:gridSpan w:val="2"/>
          </w:tcPr>
          <w:p>
            <w:pPr>
              <w:ind w:left="150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3040" w:type="dxa"/>
            <w:vAlign w:val="bottom"/>
          </w:tcPr>
          <w:p>
            <w:pPr>
              <w:spacing w:after="0"/>
              <w:rPr>
                <w:sz w:val="18"/>
                <w:szCs w:val="18"/>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Chief Financial Officer</w:t>
            </w:r>
          </w:p>
        </w:tc>
      </w:tr>
      <w:tr>
        <w:trPr>
          <w:trHeight w:val="230"/>
        </w:trPr>
        <w:tc>
          <w:tcPr>
            <w:tcW w:w="3040" w:type="dxa"/>
            <w:vAlign w:val="bottom"/>
          </w:tcPr>
          <w:p>
            <w:pPr>
              <w:spacing w:after="0"/>
              <w:rPr>
                <w:sz w:val="20"/>
                <w:szCs w:val="20"/>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900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20" w:hanging="188"/>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June 30, 2022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August 4, 2022</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6" w:name="page37"/>
    <w:bookmarkEnd w:id="36"/>
    <w:p>
      <w:pPr>
        <w:ind w:left="900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20" w:hanging="188"/>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June 30, 2022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August 4, 2022</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2022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2022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lvl w:ilvl="1">
      <w:lvlJc w:val="left"/>
      <w:lvlText w:val="(%2)"/>
      <w:numFmt w:val="decimal"/>
      <w:start w:val="1"/>
    </w:lvl>
  </w:abstractNum>
  <w:abstractNum w:abstractNumId="3">
    <w:nsid w:val="12200854"/>
    <w:multiLevelType w:val="hybridMultilevel"/>
    <w:lvl w:ilvl="0">
      <w:lvlJc w:val="left"/>
      <w:lvlText w:val="%1."/>
      <w:numFmt w:val="decimal"/>
      <w:start w:val="6"/>
    </w:lvl>
    <w:lvl w:ilvl="1">
      <w:lvlJc w:val="left"/>
      <w:lvlText w:val="%2"/>
      <w:numFmt w:val="decimal"/>
      <w:start w:val="1"/>
    </w:lvl>
  </w:abstractNum>
  <w:abstractNum w:abstractNumId="4">
    <w:nsid w:val="4DB127F8"/>
    <w:multiLevelType w:val="hybridMultilevel"/>
    <w:lvl w:ilvl="0">
      <w:lvlJc w:val="left"/>
      <w:lvlText w:val="%1."/>
      <w:numFmt w:val="decimal"/>
      <w:start w:val="1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48" Type="http://schemas.openxmlformats.org/officeDocument/2006/relationships/hyperlink" Target="http://www.sec.gov/Archives/edgar/data/1434588/000155837019000782/lope-20181231ex31395dfc9.htm" TargetMode="External"/><Relationship Id="rId49" Type="http://schemas.openxmlformats.org/officeDocument/2006/relationships/hyperlink" Target="http://www.sec.gov/Archives/edgar/data/1434588/000119312514387149/d812440dex31.htm" TargetMode="External"/><Relationship Id="rId50"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2022-08-04T15:38:04Z</dcterms:created>
  <dcterms:modified xsi:type="dcterms:W3CDTF">2022-08-04T15:38:04Z</dcterms:modified>
</cp:coreProperties>
</file>