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Grand Canyon Education,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per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38526M 106</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Brent D. Richardson</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3300 West Camelback Road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602-639-7500</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January 12, 2012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45" w:lineRule="exact"/>
        <w:rPr>
          <w:sz w:val="24"/>
          <w:szCs w:val="24"/>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5"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95"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0" w:type="dxa"/>
            <w:vAlign w:val="bottom"/>
          </w:tcPr>
          <w:p>
            <w:pPr>
              <w:ind w:left="3480"/>
              <w:spacing w:after="0"/>
              <w:rPr>
                <w:sz w:val="20"/>
                <w:szCs w:val="20"/>
                <w:color w:val="auto"/>
              </w:rPr>
            </w:pPr>
            <w:r>
              <w:rPr>
                <w:rFonts w:ascii="Arial" w:cs="Arial" w:eastAsia="Arial" w:hAnsi="Arial"/>
                <w:sz w:val="18"/>
                <w:szCs w:val="18"/>
                <w:color w:val="auto"/>
              </w:rPr>
              <w:t>SCHEDULE 13D</w:t>
            </w:r>
          </w:p>
        </w:tc>
        <w:tc>
          <w:tcPr>
            <w:tcW w:w="4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600" w:type="dxa"/>
            <w:vAlign w:val="bottom"/>
            <w:gridSpan w:val="5"/>
          </w:tcPr>
          <w:p>
            <w:pPr>
              <w:spacing w:after="0"/>
              <w:rPr>
                <w:sz w:val="20"/>
                <w:szCs w:val="20"/>
                <w:color w:val="auto"/>
              </w:rPr>
            </w:pPr>
            <w:r>
              <w:rPr>
                <w:rFonts w:ascii="Arial" w:cs="Arial" w:eastAsia="Arial" w:hAnsi="Arial"/>
                <w:sz w:val="18"/>
                <w:szCs w:val="18"/>
                <w:color w:val="auto"/>
              </w:rPr>
              <w:t>CUSIP No. 38526M 106</w:t>
            </w:r>
          </w:p>
        </w:tc>
        <w:tc>
          <w:tcPr>
            <w:tcW w:w="4840" w:type="dxa"/>
            <w:vAlign w:val="bottom"/>
          </w:tcPr>
          <w:p>
            <w:pPr>
              <w:ind w:left="3580"/>
              <w:spacing w:after="0"/>
              <w:rPr>
                <w:sz w:val="20"/>
                <w:szCs w:val="20"/>
                <w:color w:val="auto"/>
              </w:rPr>
            </w:pPr>
            <w:r>
              <w:rPr>
                <w:rFonts w:ascii="Arial" w:cs="Arial" w:eastAsia="Arial" w:hAnsi="Arial"/>
                <w:sz w:val="18"/>
                <w:szCs w:val="18"/>
                <w:color w:val="auto"/>
                <w:w w:val="82"/>
              </w:rPr>
              <w:t>Page 2 of 3 Pages</w:t>
            </w:r>
          </w:p>
        </w:tc>
        <w:tc>
          <w:tcPr>
            <w:tcW w:w="0" w:type="dxa"/>
            <w:vAlign w:val="bottom"/>
          </w:tcPr>
          <w:p>
            <w:pPr>
              <w:spacing w:after="0"/>
              <w:rPr>
                <w:sz w:val="1"/>
                <w:szCs w:val="1"/>
                <w:color w:val="auto"/>
              </w:rPr>
            </w:pPr>
          </w:p>
        </w:tc>
      </w:tr>
      <w:tr>
        <w:trPr>
          <w:trHeight w:val="151"/>
        </w:trPr>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120" w:type="dxa"/>
            <w:vAlign w:val="bottom"/>
            <w:tcBorders>
              <w:bottom w:val="single" w:sz="8" w:color="auto"/>
            </w:tcBorders>
            <w:gridSpan w:val="3"/>
          </w:tcPr>
          <w:p>
            <w:pPr>
              <w:spacing w:after="0"/>
              <w:rPr>
                <w:sz w:val="13"/>
                <w:szCs w:val="13"/>
                <w:color w:val="auto"/>
              </w:rPr>
            </w:pPr>
          </w:p>
        </w:tc>
        <w:tc>
          <w:tcPr>
            <w:tcW w:w="4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8"/>
                <w:szCs w:val="18"/>
                <w:color w:val="auto"/>
              </w:rPr>
            </w:pPr>
          </w:p>
        </w:tc>
        <w:tc>
          <w:tcPr>
            <w:tcW w:w="6120" w:type="dxa"/>
            <w:vAlign w:val="bottom"/>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Brent D. Richardson</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jc w:val="right"/>
              <w:spacing w:after="0" w:line="176"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5"/>
                <w:szCs w:val="15"/>
                <w:color w:val="auto"/>
              </w:rPr>
            </w:pPr>
          </w:p>
        </w:tc>
        <w:tc>
          <w:tcPr>
            <w:tcW w:w="6120" w:type="dxa"/>
            <w:vAlign w:val="bottom"/>
            <w:gridSpan w:val="3"/>
          </w:tcPr>
          <w:p>
            <w:pPr>
              <w:ind w:left="8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4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(b)</w:t>
            </w:r>
          </w:p>
        </w:tc>
        <w:tc>
          <w:tcPr>
            <w:tcW w:w="5000" w:type="dxa"/>
            <w:vAlign w:val="bottom"/>
          </w:tcPr>
          <w:p>
            <w:pPr>
              <w:jc w:val="center"/>
              <w:ind w:right="4652"/>
              <w:spacing w:after="0" w:line="181" w:lineRule="exact"/>
              <w:rPr>
                <w:sz w:val="20"/>
                <w:szCs w:val="20"/>
                <w:color w:val="auto"/>
              </w:rPr>
            </w:pPr>
            <w:r>
              <w:rPr>
                <w:rFonts w:ascii="MS PGothic" w:cs="MS PGothic" w:eastAsia="MS PGothic" w:hAnsi="MS PGothic"/>
                <w:sz w:val="18"/>
                <w:szCs w:val="18"/>
                <w:color w:val="auto"/>
                <w:w w:val="77"/>
              </w:rPr>
              <w:t>☐</w:t>
            </w:r>
          </w:p>
        </w:tc>
        <w:tc>
          <w:tcPr>
            <w:tcW w:w="4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40" w:type="dxa"/>
            <w:vAlign w:val="bottom"/>
            <w:tcBorders>
              <w:left w:val="single" w:sz="8" w:color="auto"/>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rPr>
                <w:sz w:val="12"/>
                <w:szCs w:val="12"/>
                <w:color w:val="auto"/>
              </w:rPr>
            </w:pPr>
          </w:p>
        </w:tc>
        <w:tc>
          <w:tcPr>
            <w:tcW w:w="5000" w:type="dxa"/>
            <w:vAlign w:val="bottom"/>
            <w:tcBorders>
              <w:bottom w:val="single" w:sz="8" w:color="auto"/>
            </w:tcBorders>
          </w:tcPr>
          <w:p>
            <w:pPr>
              <w:spacing w:after="0"/>
              <w:rPr>
                <w:sz w:val="12"/>
                <w:szCs w:val="12"/>
                <w:color w:val="auto"/>
              </w:rPr>
            </w:pPr>
          </w:p>
        </w:tc>
        <w:tc>
          <w:tcPr>
            <w:tcW w:w="4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w w:val="91"/>
              </w:rPr>
              <w:t>SEC use only</w:t>
            </w:r>
          </w:p>
        </w:tc>
        <w:tc>
          <w:tcPr>
            <w:tcW w:w="5000" w:type="dxa"/>
            <w:vAlign w:val="bottom"/>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6120" w:type="dxa"/>
            <w:vAlign w:val="bottom"/>
            <w:tcBorders>
              <w:bottom w:val="single" w:sz="8" w:color="auto"/>
            </w:tcBorders>
            <w:gridSpan w:val="3"/>
          </w:tcPr>
          <w:p>
            <w:pPr>
              <w:spacing w:after="0"/>
              <w:rPr>
                <w:sz w:val="13"/>
                <w:szCs w:val="13"/>
                <w:color w:val="auto"/>
              </w:rPr>
            </w:pPr>
          </w:p>
        </w:tc>
        <w:tc>
          <w:tcPr>
            <w:tcW w:w="4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6120" w:type="dxa"/>
            <w:vAlign w:val="bottom"/>
            <w:gridSpan w:val="3"/>
          </w:tcPr>
          <w:p>
            <w:pPr>
              <w:ind w:left="80"/>
              <w:spacing w:after="0"/>
              <w:rPr>
                <w:sz w:val="20"/>
                <w:szCs w:val="20"/>
                <w:color w:val="auto"/>
              </w:rPr>
            </w:pPr>
            <w:r>
              <w:rPr>
                <w:rFonts w:ascii="Arial" w:cs="Arial" w:eastAsia="Arial" w:hAnsi="Arial"/>
                <w:sz w:val="18"/>
                <w:szCs w:val="18"/>
                <w:color w:val="auto"/>
              </w:rPr>
              <w:t>Source of funds (see instructions)</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6120" w:type="dxa"/>
            <w:vAlign w:val="bottom"/>
            <w:tcBorders>
              <w:bottom w:val="single" w:sz="8" w:color="auto"/>
            </w:tcBorders>
            <w:gridSpan w:val="3"/>
          </w:tcPr>
          <w:p>
            <w:pPr>
              <w:spacing w:after="0"/>
              <w:rPr>
                <w:sz w:val="13"/>
                <w:szCs w:val="13"/>
                <w:color w:val="auto"/>
              </w:rPr>
            </w:pPr>
          </w:p>
        </w:tc>
        <w:tc>
          <w:tcPr>
            <w:tcW w:w="4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18"/>
                <w:szCs w:val="18"/>
                <w:color w:val="auto"/>
              </w:rPr>
            </w:pPr>
          </w:p>
        </w:tc>
        <w:tc>
          <w:tcPr>
            <w:tcW w:w="6120" w:type="dxa"/>
            <w:vAlign w:val="bottom"/>
            <w:gridSpan w:val="3"/>
          </w:tcPr>
          <w:p>
            <w:pPr>
              <w:ind w:left="80"/>
              <w:spacing w:after="0"/>
              <w:rPr>
                <w:sz w:val="20"/>
                <w:szCs w:val="20"/>
                <w:color w:val="auto"/>
              </w:rPr>
            </w:pPr>
            <w:r>
              <w:rPr>
                <w:rFonts w:ascii="Arial" w:cs="Arial" w:eastAsia="Arial" w:hAnsi="Arial"/>
                <w:sz w:val="18"/>
                <w:szCs w:val="18"/>
                <w:color w:val="auto"/>
                <w:w w:val="93"/>
              </w:rPr>
              <w:t>Check if disclosure of legal proceedings is required pursuant to Items 2(d) or 2(e)</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8"/>
                <w:szCs w:val="18"/>
                <w:color w:val="auto"/>
              </w:rPr>
            </w:pPr>
          </w:p>
        </w:tc>
        <w:tc>
          <w:tcPr>
            <w:tcW w:w="612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United States</w:t>
            </w: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0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460" w:type="dxa"/>
            <w:vAlign w:val="bottom"/>
            <w:tcBorders>
              <w:right w:val="single" w:sz="8" w:color="auto"/>
            </w:tcBorders>
          </w:tcPr>
          <w:p>
            <w:pPr>
              <w:spacing w:after="0"/>
              <w:rPr>
                <w:sz w:val="24"/>
                <w:szCs w:val="24"/>
                <w:color w:val="auto"/>
              </w:rPr>
            </w:pPr>
          </w:p>
        </w:tc>
        <w:tc>
          <w:tcPr>
            <w:tcW w:w="5000" w:type="dxa"/>
            <w:vAlign w:val="bottom"/>
          </w:tcPr>
          <w:p>
            <w:pPr>
              <w:ind w:left="80"/>
              <w:spacing w:after="0"/>
              <w:rPr>
                <w:sz w:val="20"/>
                <w:szCs w:val="20"/>
                <w:color w:val="auto"/>
              </w:rPr>
            </w:pPr>
            <w:r>
              <w:rPr>
                <w:rFonts w:ascii="Arial" w:cs="Arial" w:eastAsia="Arial" w:hAnsi="Arial"/>
                <w:sz w:val="18"/>
                <w:szCs w:val="18"/>
                <w:color w:val="auto"/>
              </w:rPr>
              <w:t>2,023,504 (See Item 5)</w:t>
            </w:r>
          </w:p>
        </w:tc>
        <w:tc>
          <w:tcPr>
            <w:tcW w:w="4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140" w:type="dxa"/>
            <w:vAlign w:val="bottom"/>
            <w:tcBorders>
              <w:left w:val="single" w:sz="8" w:color="auto"/>
              <w:right w:val="single" w:sz="8" w:color="auto"/>
            </w:tcBorders>
            <w:gridSpan w:val="3"/>
            <w:vMerge w:val="restart"/>
          </w:tcPr>
          <w:p>
            <w:pPr>
              <w:jc w:val="center"/>
              <w:ind w:left="12"/>
              <w:spacing w:after="0"/>
              <w:rPr>
                <w:sz w:val="20"/>
                <w:szCs w:val="20"/>
                <w:color w:val="auto"/>
              </w:rPr>
            </w:pPr>
            <w:r>
              <w:rPr>
                <w:rFonts w:ascii="Arial" w:cs="Arial" w:eastAsia="Arial" w:hAnsi="Arial"/>
                <w:sz w:val="18"/>
                <w:szCs w:val="18"/>
                <w:color w:val="auto"/>
                <w:w w:val="81"/>
              </w:rPr>
              <w:t>shares</w:t>
            </w:r>
          </w:p>
        </w:tc>
        <w:tc>
          <w:tcPr>
            <w:tcW w:w="460" w:type="dxa"/>
            <w:vAlign w:val="bottom"/>
            <w:tcBorders>
              <w:bottom w:val="single" w:sz="8" w:color="auto"/>
              <w:right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c>
          <w:tcPr>
            <w:tcW w:w="4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gridSpan w:val="3"/>
            <w:vMerge w:val="continue"/>
          </w:tcPr>
          <w:p>
            <w:pPr>
              <w:spacing w:after="0"/>
              <w:rPr>
                <w:sz w:val="13"/>
                <w:szCs w:val="13"/>
                <w:color w:val="auto"/>
              </w:rPr>
            </w:pPr>
          </w:p>
        </w:tc>
        <w:tc>
          <w:tcPr>
            <w:tcW w:w="46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500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4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beneficially</w:t>
            </w:r>
          </w:p>
        </w:tc>
        <w:tc>
          <w:tcPr>
            <w:tcW w:w="460" w:type="dxa"/>
            <w:vAlign w:val="bottom"/>
            <w:tcBorders>
              <w:right w:val="single" w:sz="8" w:color="auto"/>
            </w:tcBorders>
          </w:tcPr>
          <w:p>
            <w:pPr>
              <w:spacing w:after="0"/>
              <w:rPr>
                <w:sz w:val="18"/>
                <w:szCs w:val="18"/>
                <w:color w:val="auto"/>
              </w:rPr>
            </w:pPr>
          </w:p>
        </w:tc>
        <w:tc>
          <w:tcPr>
            <w:tcW w:w="5000" w:type="dxa"/>
            <w:vAlign w:val="bottom"/>
            <w:vMerge w:val="restart"/>
          </w:tcPr>
          <w:p>
            <w:pPr>
              <w:jc w:val="center"/>
              <w:ind w:right="4652"/>
              <w:spacing w:after="0"/>
              <w:rPr>
                <w:sz w:val="20"/>
                <w:szCs w:val="20"/>
                <w:color w:val="auto"/>
              </w:rPr>
            </w:pPr>
            <w:r>
              <w:rPr>
                <w:rFonts w:ascii="Arial" w:cs="Arial" w:eastAsia="Arial" w:hAnsi="Arial"/>
                <w:sz w:val="18"/>
                <w:szCs w:val="18"/>
                <w:color w:val="auto"/>
                <w:w w:val="99"/>
              </w:rPr>
              <w:t>0</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owned by</w:t>
            </w:r>
          </w:p>
        </w:tc>
        <w:tc>
          <w:tcPr>
            <w:tcW w:w="46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tcBorders>
            <w:vMerge w:val="continue"/>
          </w:tcPr>
          <w:p>
            <w:pPr>
              <w:spacing w:after="0"/>
              <w:rPr>
                <w:sz w:val="19"/>
                <w:szCs w:val="19"/>
                <w:color w:val="auto"/>
              </w:rPr>
            </w:pPr>
          </w:p>
        </w:tc>
        <w:tc>
          <w:tcPr>
            <w:tcW w:w="4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right w:val="single" w:sz="8" w:color="auto"/>
            </w:tcBorders>
          </w:tcPr>
          <w:p>
            <w:pPr>
              <w:jc w:val="center"/>
              <w:ind w:right="252"/>
              <w:spacing w:after="0" w:line="190" w:lineRule="exact"/>
              <w:rPr>
                <w:sz w:val="20"/>
                <w:szCs w:val="20"/>
                <w:color w:val="auto"/>
              </w:rPr>
            </w:pPr>
            <w:r>
              <w:rPr>
                <w:rFonts w:ascii="Arial" w:cs="Arial" w:eastAsia="Arial" w:hAnsi="Arial"/>
                <w:sz w:val="18"/>
                <w:szCs w:val="18"/>
                <w:color w:val="auto"/>
                <w:w w:val="81"/>
              </w:rPr>
              <w:t>each</w:t>
            </w:r>
          </w:p>
        </w:tc>
        <w:tc>
          <w:tcPr>
            <w:tcW w:w="46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500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4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460" w:type="dxa"/>
            <w:vAlign w:val="bottom"/>
            <w:tcBorders>
              <w:right w:val="single" w:sz="8" w:color="auto"/>
            </w:tcBorders>
          </w:tcPr>
          <w:p>
            <w:pPr>
              <w:spacing w:after="0"/>
              <w:rPr>
                <w:sz w:val="18"/>
                <w:szCs w:val="18"/>
                <w:color w:val="auto"/>
              </w:rPr>
            </w:pPr>
          </w:p>
        </w:tc>
        <w:tc>
          <w:tcPr>
            <w:tcW w:w="5000" w:type="dxa"/>
            <w:vAlign w:val="bottom"/>
            <w:vMerge w:val="restart"/>
          </w:tcPr>
          <w:p>
            <w:pPr>
              <w:ind w:left="80"/>
              <w:spacing w:after="0"/>
              <w:rPr>
                <w:sz w:val="20"/>
                <w:szCs w:val="20"/>
                <w:color w:val="auto"/>
              </w:rPr>
            </w:pPr>
            <w:r>
              <w:rPr>
                <w:rFonts w:ascii="Arial" w:cs="Arial" w:eastAsia="Arial" w:hAnsi="Arial"/>
                <w:sz w:val="18"/>
                <w:szCs w:val="18"/>
                <w:color w:val="auto"/>
              </w:rPr>
              <w:t>2,023,504 (See Item 5)</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gridSpan w:val="3"/>
          </w:tcPr>
          <w:p>
            <w:pPr>
              <w:jc w:val="center"/>
              <w:ind w:left="32"/>
              <w:spacing w:after="0" w:line="184" w:lineRule="exact"/>
              <w:rPr>
                <w:sz w:val="20"/>
                <w:szCs w:val="20"/>
                <w:color w:val="auto"/>
              </w:rPr>
            </w:pPr>
            <w:r>
              <w:rPr>
                <w:rFonts w:ascii="Arial" w:cs="Arial" w:eastAsia="Arial" w:hAnsi="Arial"/>
                <w:sz w:val="18"/>
                <w:szCs w:val="18"/>
                <w:color w:val="auto"/>
                <w:w w:val="83"/>
              </w:rPr>
              <w:t>person</w:t>
            </w:r>
          </w:p>
        </w:tc>
        <w:tc>
          <w:tcPr>
            <w:tcW w:w="460" w:type="dxa"/>
            <w:vAlign w:val="bottom"/>
            <w:tcBorders>
              <w:bottom w:val="single" w:sz="8" w:color="auto"/>
              <w:right w:val="single" w:sz="8" w:color="auto"/>
            </w:tcBorders>
          </w:tcPr>
          <w:p>
            <w:pPr>
              <w:spacing w:after="0"/>
              <w:rPr>
                <w:sz w:val="15"/>
                <w:szCs w:val="15"/>
                <w:color w:val="auto"/>
              </w:rPr>
            </w:pPr>
          </w:p>
        </w:tc>
        <w:tc>
          <w:tcPr>
            <w:tcW w:w="5000" w:type="dxa"/>
            <w:vAlign w:val="bottom"/>
            <w:tcBorders>
              <w:bottom w:val="single" w:sz="8" w:color="auto"/>
            </w:tcBorders>
            <w:vMerge w:val="continue"/>
          </w:tcPr>
          <w:p>
            <w:pPr>
              <w:spacing w:after="0"/>
              <w:rPr>
                <w:sz w:val="15"/>
                <w:szCs w:val="15"/>
                <w:color w:val="auto"/>
              </w:rPr>
            </w:pPr>
          </w:p>
        </w:tc>
        <w:tc>
          <w:tcPr>
            <w:tcW w:w="4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40" w:type="dxa"/>
            <w:vAlign w:val="bottom"/>
            <w:tcBorders>
              <w:left w:val="single" w:sz="8" w:color="auto"/>
            </w:tcBorders>
          </w:tcPr>
          <w:p>
            <w:pPr>
              <w:spacing w:after="0"/>
              <w:rPr>
                <w:sz w:val="20"/>
                <w:szCs w:val="20"/>
                <w:color w:val="auto"/>
              </w:rPr>
            </w:pPr>
          </w:p>
        </w:tc>
        <w:tc>
          <w:tcPr>
            <w:tcW w:w="700" w:type="dxa"/>
            <w:vAlign w:val="bottom"/>
            <w:tcBorders>
              <w:right w:val="single" w:sz="8" w:color="auto"/>
            </w:tcBorders>
            <w:gridSpan w:val="2"/>
          </w:tcPr>
          <w:p>
            <w:pPr>
              <w:jc w:val="center"/>
              <w:ind w:right="252"/>
              <w:spacing w:after="0"/>
              <w:rPr>
                <w:sz w:val="20"/>
                <w:szCs w:val="20"/>
                <w:color w:val="auto"/>
              </w:rPr>
            </w:pPr>
            <w:r>
              <w:rPr>
                <w:rFonts w:ascii="Arial" w:cs="Arial" w:eastAsia="Arial" w:hAnsi="Arial"/>
                <w:sz w:val="18"/>
                <w:szCs w:val="18"/>
                <w:color w:val="auto"/>
                <w:w w:val="97"/>
              </w:rPr>
              <w:t>with:</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0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4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5000" w:type="dxa"/>
            <w:vAlign w:val="bottom"/>
            <w:tcBorders>
              <w:bottom w:val="single" w:sz="8" w:color="auto"/>
            </w:tcBorders>
          </w:tcPr>
          <w:p>
            <w:pPr>
              <w:jc w:val="center"/>
              <w:ind w:right="4652"/>
              <w:spacing w:after="0"/>
              <w:rPr>
                <w:sz w:val="20"/>
                <w:szCs w:val="20"/>
                <w:color w:val="auto"/>
              </w:rPr>
            </w:pPr>
            <w:r>
              <w:rPr>
                <w:rFonts w:ascii="Arial" w:cs="Arial" w:eastAsia="Arial" w:hAnsi="Arial"/>
                <w:sz w:val="18"/>
                <w:szCs w:val="18"/>
                <w:color w:val="auto"/>
                <w:w w:val="99"/>
              </w:rPr>
              <w:t>0</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612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1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2,023,504 (See Item 5)</w:t>
            </w: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3"/>
                <w:szCs w:val="23"/>
                <w:color w:val="auto"/>
              </w:rPr>
            </w:pPr>
          </w:p>
        </w:tc>
        <w:tc>
          <w:tcPr>
            <w:tcW w:w="6120" w:type="dxa"/>
            <w:vAlign w:val="bottom"/>
            <w:gridSpan w:val="3"/>
          </w:tcPr>
          <w:p>
            <w:pPr>
              <w:ind w:left="80"/>
              <w:spacing w:after="0"/>
              <w:rPr>
                <w:sz w:val="20"/>
                <w:szCs w:val="20"/>
                <w:color w:val="auto"/>
              </w:rPr>
            </w:pPr>
            <w:r>
              <w:rPr>
                <w:rFonts w:ascii="Arial" w:cs="Arial" w:eastAsia="Arial" w:hAnsi="Arial"/>
                <w:sz w:val="18"/>
                <w:szCs w:val="18"/>
                <w:color w:val="auto"/>
                <w:w w:val="88"/>
              </w:rPr>
              <w:t>Check if the aggregate amount in Row (11) excludes certain shares (see instructions)</w:t>
            </w:r>
          </w:p>
        </w:tc>
        <w:tc>
          <w:tcPr>
            <w:tcW w:w="48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3"/>
        </w:trPr>
        <w:tc>
          <w:tcPr>
            <w:tcW w:w="440" w:type="dxa"/>
            <w:vAlign w:val="bottom"/>
            <w:tcBorders>
              <w:left w:val="single" w:sz="8" w:color="auto"/>
              <w:bottom w:val="single" w:sz="8" w:color="auto"/>
            </w:tcBorders>
          </w:tcPr>
          <w:p>
            <w:pPr>
              <w:spacing w:after="0"/>
              <w:rPr>
                <w:sz w:val="8"/>
                <w:szCs w:val="8"/>
                <w:color w:val="auto"/>
              </w:rPr>
            </w:pPr>
          </w:p>
        </w:tc>
        <w:tc>
          <w:tcPr>
            <w:tcW w:w="4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4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8"/>
                <w:szCs w:val="18"/>
                <w:color w:val="auto"/>
              </w:rPr>
            </w:pPr>
          </w:p>
        </w:tc>
        <w:tc>
          <w:tcPr>
            <w:tcW w:w="612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4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4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19"/>
                <w:szCs w:val="19"/>
                <w:color w:val="auto"/>
              </w:rPr>
            </w:pPr>
          </w:p>
        </w:tc>
        <w:tc>
          <w:tcPr>
            <w:tcW w:w="612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4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4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Based on 44,297,764 shares of Grand Canyon Education, Inc. common stock outstanding as of December 31, 2011.</w:t>
      </w:r>
    </w:p>
    <w:p>
      <w:pPr>
        <w:sectPr>
          <w:pgSz w:w="11900" w:h="16838" w:orient="portrait"/>
          <w:cols w:equalWidth="0" w:num="1">
            <w:col w:w="11440"/>
          </w:cols>
          <w:pgMar w:left="240" w:top="280"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50" w:lineRule="exact"/>
        <w:rPr>
          <w:sz w:val="20"/>
          <w:szCs w:val="20"/>
          <w:color w:val="auto"/>
        </w:rPr>
      </w:pPr>
    </w:p>
    <w:p>
      <w:pPr>
        <w:ind w:left="460" w:right="40" w:firstLine="438"/>
        <w:spacing w:after="0" w:line="294" w:lineRule="auto"/>
        <w:rPr>
          <w:sz w:val="20"/>
          <w:szCs w:val="20"/>
          <w:color w:val="auto"/>
        </w:rPr>
      </w:pPr>
      <w:r>
        <w:rPr>
          <w:rFonts w:ascii="Arial" w:cs="Arial" w:eastAsia="Arial" w:hAnsi="Arial"/>
          <w:sz w:val="16"/>
          <w:szCs w:val="16"/>
          <w:color w:val="auto"/>
        </w:rPr>
        <w:t>In connection with the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of shares of common stock of Grand Canyon Education, Inc. (“</w:t>
      </w:r>
      <w:r>
        <w:rPr>
          <w:rFonts w:ascii="Arial" w:cs="Arial" w:eastAsia="Arial" w:hAnsi="Arial"/>
          <w:sz w:val="16"/>
          <w:szCs w:val="16"/>
          <w:b w:val="1"/>
          <w:bCs w:val="1"/>
          <w:i w:val="1"/>
          <w:iCs w:val="1"/>
          <w:color w:val="auto"/>
        </w:rPr>
        <w:t>Grand Canyon</w:t>
      </w:r>
      <w:r>
        <w:rPr>
          <w:rFonts w:ascii="Arial" w:cs="Arial" w:eastAsia="Arial" w:hAnsi="Arial"/>
          <w:sz w:val="16"/>
          <w:szCs w:val="16"/>
          <w:color w:val="auto"/>
        </w:rPr>
        <w:t>”), certain of Grand Canyon’s stockholders entered into a proxy and voting agreement (the “</w:t>
      </w:r>
      <w:r>
        <w:rPr>
          <w:rFonts w:ascii="Arial" w:cs="Arial" w:eastAsia="Arial" w:hAnsi="Arial"/>
          <w:sz w:val="16"/>
          <w:szCs w:val="16"/>
          <w:b w:val="1"/>
          <w:bCs w:val="1"/>
          <w:i w:val="1"/>
          <w:iCs w:val="1"/>
          <w:color w:val="auto"/>
        </w:rPr>
        <w:t>Initial Voting Agreement</w:t>
      </w:r>
      <w:r>
        <w:rPr>
          <w:rFonts w:ascii="Arial" w:cs="Arial" w:eastAsia="Arial" w:hAnsi="Arial"/>
          <w:sz w:val="16"/>
          <w:szCs w:val="16"/>
          <w:color w:val="auto"/>
        </w:rPr>
        <w:t>”) that became effective on November 25, 2008, the closing of the IPO, pursuant to which such holders granted to Brent D. Richardson, Grand Canyon’s Executive Chairman, and Christopher C. Richardson, Grand Canyon’s General Counsel and director (collectively, the “</w:t>
      </w:r>
      <w:r>
        <w:rPr>
          <w:rFonts w:ascii="Arial" w:cs="Arial" w:eastAsia="Arial" w:hAnsi="Arial"/>
          <w:sz w:val="16"/>
          <w:szCs w:val="16"/>
          <w:b w:val="1"/>
          <w:bCs w:val="1"/>
          <w:i w:val="1"/>
          <w:iCs w:val="1"/>
          <w:color w:val="auto"/>
        </w:rPr>
        <w:t>Richardson Voting Group</w:t>
      </w:r>
      <w:r>
        <w:rPr>
          <w:rFonts w:ascii="Arial" w:cs="Arial" w:eastAsia="Arial" w:hAnsi="Arial"/>
          <w:sz w:val="16"/>
          <w:szCs w:val="16"/>
          <w:color w:val="auto"/>
        </w:rPr>
        <w:t>”), a five-year irrevocable proxy to exercise voting authority with respect to certain shares of common stock held by such holders, for so long as such shares are held by such holders.</w:t>
      </w:r>
    </w:p>
    <w:p>
      <w:pPr>
        <w:spacing w:after="0" w:line="89"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color w:val="auto"/>
        </w:rPr>
        <w:t>On September 14, 2009, Endeavour Capital Fund IV, L.P., Endeavour Associates Fund IV, L.P., and Endeavour Capital Parallel Fund IV, L.P. (collectively, the “</w:t>
      </w:r>
      <w:r>
        <w:rPr>
          <w:rFonts w:ascii="Arial" w:cs="Arial" w:eastAsia="Arial" w:hAnsi="Arial"/>
          <w:sz w:val="15"/>
          <w:szCs w:val="15"/>
          <w:b w:val="1"/>
          <w:bCs w:val="1"/>
          <w:i w:val="1"/>
          <w:iCs w:val="1"/>
          <w:color w:val="auto"/>
        </w:rPr>
        <w:t>Endeavour Entities</w:t>
      </w:r>
      <w:r>
        <w:rPr>
          <w:rFonts w:ascii="Arial" w:cs="Arial" w:eastAsia="Arial" w:hAnsi="Arial"/>
          <w:sz w:val="15"/>
          <w:szCs w:val="15"/>
          <w:color w:val="auto"/>
        </w:rPr>
        <w:t>”) entered into a proxy and voting agreement (the “</w:t>
      </w:r>
      <w:r>
        <w:rPr>
          <w:rFonts w:ascii="Arial" w:cs="Arial" w:eastAsia="Arial" w:hAnsi="Arial"/>
          <w:sz w:val="15"/>
          <w:szCs w:val="15"/>
          <w:b w:val="1"/>
          <w:bCs w:val="1"/>
          <w:i w:val="1"/>
          <w:iCs w:val="1"/>
          <w:color w:val="auto"/>
        </w:rPr>
        <w:t>Endeavour Voting Agreement</w:t>
      </w:r>
      <w:r>
        <w:rPr>
          <w:rFonts w:ascii="Arial" w:cs="Arial" w:eastAsia="Arial" w:hAnsi="Arial"/>
          <w:sz w:val="15"/>
          <w:szCs w:val="15"/>
          <w:color w:val="auto"/>
        </w:rPr>
        <w:t>” and together with the Initial Voting Agreement, the “</w:t>
      </w:r>
      <w:r>
        <w:rPr>
          <w:rFonts w:ascii="Arial" w:cs="Arial" w:eastAsia="Arial" w:hAnsi="Arial"/>
          <w:sz w:val="15"/>
          <w:szCs w:val="15"/>
          <w:b w:val="1"/>
          <w:bCs w:val="1"/>
          <w:i w:val="1"/>
          <w:iCs w:val="1"/>
          <w:color w:val="auto"/>
        </w:rPr>
        <w:t>Voting Agreements</w:t>
      </w:r>
      <w:r>
        <w:rPr>
          <w:rFonts w:ascii="Arial" w:cs="Arial" w:eastAsia="Arial" w:hAnsi="Arial"/>
          <w:sz w:val="15"/>
          <w:szCs w:val="15"/>
          <w:color w:val="auto"/>
        </w:rPr>
        <w:t>”) pursuant to which such entities granted to the Richardson Voting Group a similar five-year irrevocable proxy to exercise voting authority with respect to certain shares of common stock held by such entities, for so long as such shares are held by such entities.</w:t>
      </w:r>
    </w:p>
    <w:p>
      <w:pPr>
        <w:spacing w:after="0" w:line="71" w:lineRule="exact"/>
        <w:rPr>
          <w:sz w:val="20"/>
          <w:szCs w:val="20"/>
          <w:color w:val="auto"/>
        </w:rPr>
      </w:pPr>
    </w:p>
    <w:p>
      <w:pPr>
        <w:ind w:left="460" w:right="60" w:firstLine="438"/>
        <w:spacing w:after="0" w:line="289" w:lineRule="auto"/>
        <w:rPr>
          <w:sz w:val="20"/>
          <w:szCs w:val="20"/>
          <w:color w:val="auto"/>
        </w:rPr>
      </w:pPr>
      <w:r>
        <w:rPr>
          <w:rFonts w:ascii="Arial" w:cs="Arial" w:eastAsia="Arial" w:hAnsi="Arial"/>
          <w:sz w:val="16"/>
          <w:szCs w:val="16"/>
          <w:color w:val="auto"/>
        </w:rPr>
        <w:t>The reporting person has previously reported the termination of the Endeavour Voting Agreement and the Richardson Voting Group’s waiver of all rights under the Initial Voting Agreement, with the effect that the Voting Agreements are no longer in effect and that the Richardson Voting Group no longer has voting authority over any shares of other persons that had been subject to the Voting Agreements. This Amendment No. 4 to Schedule 13D (the “</w:t>
      </w:r>
      <w:r>
        <w:rPr>
          <w:rFonts w:ascii="Arial" w:cs="Arial" w:eastAsia="Arial" w:hAnsi="Arial"/>
          <w:sz w:val="16"/>
          <w:szCs w:val="16"/>
          <w:b w:val="1"/>
          <w:bCs w:val="1"/>
          <w:i w:val="1"/>
          <w:iCs w:val="1"/>
          <w:color w:val="auto"/>
        </w:rPr>
        <w:t>Amended Schedule 13D</w:t>
      </w:r>
      <w:r>
        <w:rPr>
          <w:rFonts w:ascii="Arial" w:cs="Arial" w:eastAsia="Arial" w:hAnsi="Arial"/>
          <w:sz w:val="16"/>
          <w:szCs w:val="16"/>
          <w:color w:val="auto"/>
        </w:rPr>
        <w:t xml:space="preserve">”) is being filed to reflect the termination of the Amended and Restated Joint Filing Agreement between the reporting person and Christopher C. Richardson dated June 9, 2009. This Amended Schedule 13D amends the Schedule 13D filed on December 5, 2008 (the “ </w:t>
      </w:r>
      <w:r>
        <w:rPr>
          <w:rFonts w:ascii="Arial" w:cs="Arial" w:eastAsia="Arial" w:hAnsi="Arial"/>
          <w:sz w:val="16"/>
          <w:szCs w:val="16"/>
          <w:b w:val="1"/>
          <w:bCs w:val="1"/>
          <w:i w:val="1"/>
          <w:iCs w:val="1"/>
          <w:color w:val="auto"/>
        </w:rPr>
        <w:t>Original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Schedule 13D</w:t>
      </w:r>
      <w:r>
        <w:rPr>
          <w:rFonts w:ascii="Arial" w:cs="Arial" w:eastAsia="Arial" w:hAnsi="Arial"/>
          <w:sz w:val="16"/>
          <w:szCs w:val="16"/>
          <w:color w:val="auto"/>
        </w:rPr>
        <w:t>”), Amendment No. 1 to Schedule 13D filed on June 9, 2009 (“</w:t>
      </w:r>
      <w:r>
        <w:rPr>
          <w:rFonts w:ascii="Arial" w:cs="Arial" w:eastAsia="Arial" w:hAnsi="Arial"/>
          <w:sz w:val="16"/>
          <w:szCs w:val="16"/>
          <w:b w:val="1"/>
          <w:bCs w:val="1"/>
          <w:i w:val="1"/>
          <w:iCs w:val="1"/>
          <w:color w:val="auto"/>
        </w:rPr>
        <w:t xml:space="preserve"> Amendment No. 1</w:t>
      </w:r>
      <w:r>
        <w:rPr>
          <w:rFonts w:ascii="Arial" w:cs="Arial" w:eastAsia="Arial" w:hAnsi="Arial"/>
          <w:sz w:val="16"/>
          <w:szCs w:val="16"/>
          <w:color w:val="auto"/>
        </w:rPr>
        <w:t>”), Amendment No. 2 to Schedule 13D filed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23, 2009 (“</w:t>
      </w:r>
      <w:r>
        <w:rPr>
          <w:rFonts w:ascii="Arial" w:cs="Arial" w:eastAsia="Arial" w:hAnsi="Arial"/>
          <w:sz w:val="16"/>
          <w:szCs w:val="16"/>
          <w:b w:val="1"/>
          <w:bCs w:val="1"/>
          <w:i w:val="1"/>
          <w:iCs w:val="1"/>
          <w:color w:val="auto"/>
        </w:rPr>
        <w:t>Amendment No. 2</w:t>
      </w:r>
      <w:r>
        <w:rPr>
          <w:rFonts w:ascii="Arial" w:cs="Arial" w:eastAsia="Arial" w:hAnsi="Arial"/>
          <w:sz w:val="16"/>
          <w:szCs w:val="16"/>
          <w:color w:val="auto"/>
        </w:rPr>
        <w:t>”), Amendment No. 3 to Schedule 13D filed on January 21, 2011 (“</w:t>
      </w:r>
      <w:r>
        <w:rPr>
          <w:rFonts w:ascii="Arial" w:cs="Arial" w:eastAsia="Arial" w:hAnsi="Arial"/>
          <w:sz w:val="16"/>
          <w:szCs w:val="16"/>
          <w:b w:val="1"/>
          <w:bCs w:val="1"/>
          <w:i w:val="1"/>
          <w:iCs w:val="1"/>
          <w:color w:val="auto"/>
        </w:rPr>
        <w:t>Amendment No. 3</w:t>
      </w:r>
      <w:r>
        <w:rPr>
          <w:rFonts w:ascii="Arial" w:cs="Arial" w:eastAsia="Arial" w:hAnsi="Arial"/>
          <w:sz w:val="16"/>
          <w:szCs w:val="16"/>
          <w:color w:val="auto"/>
        </w:rPr>
        <w:t>”), and Items 5, 6 and 7 of the Schedule 13D, as amended, are amended and supplemented as set forth below.</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50" w:lineRule="exact"/>
        <w:rPr>
          <w:sz w:val="20"/>
          <w:szCs w:val="20"/>
          <w:color w:val="auto"/>
        </w:rPr>
      </w:pPr>
    </w:p>
    <w:p>
      <w:pPr>
        <w:ind w:left="460" w:right="440" w:firstLine="438"/>
        <w:spacing w:after="0" w:line="268" w:lineRule="auto"/>
        <w:rPr>
          <w:sz w:val="20"/>
          <w:szCs w:val="20"/>
          <w:color w:val="auto"/>
        </w:rPr>
      </w:pPr>
      <w:r>
        <w:rPr>
          <w:rFonts w:ascii="Arial" w:cs="Arial" w:eastAsia="Arial" w:hAnsi="Arial"/>
          <w:sz w:val="18"/>
          <w:szCs w:val="18"/>
          <w:color w:val="auto"/>
        </w:rPr>
        <w:t>(a, b) The total for the reporting person consists of 2,023,504 shares of common stock held of record by Exeter Capital, LLC, a limited liability company of which the reporting person is the manager.</w:t>
      </w:r>
    </w:p>
    <w:p>
      <w:pPr>
        <w:spacing w:after="0" w:line="105" w:lineRule="exact"/>
        <w:rPr>
          <w:sz w:val="20"/>
          <w:szCs w:val="20"/>
          <w:color w:val="auto"/>
        </w:rPr>
      </w:pPr>
    </w:p>
    <w:p>
      <w:pPr>
        <w:ind w:left="460" w:right="40" w:firstLine="443"/>
        <w:spacing w:after="0" w:line="255" w:lineRule="auto"/>
        <w:tabs>
          <w:tab w:leader="none" w:pos="1137"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14, 2011, the reporting person gifted 20,000 shares of common stock at a weighted average price of $0 per share. On January 3, 2012, the reporting person sold 20,000 shares of common stock at a weighted average price of $16.00 per share. On January 4, 2012, the reporting person sold 23,000 shares of common stock at a weighted average price of $15.97 per share. Such sales were effected pursuant to a 10b5-1 plan adopted by the reporting person dated December 14, 2010 and modified by the reporting person on December 15, 2011, and were reported on a Form 4 filed on January 5, 2012.</w:t>
      </w:r>
    </w:p>
    <w:p>
      <w:pPr>
        <w:spacing w:after="0" w:line="11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(e) As of December 1, 2011, the reporting person ceased to be the beneficial owner of more than five percent of the common stock of Grand Canyon.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 or Relationships with Respect to Securities of the Issuer.</w:t>
      </w:r>
    </w:p>
    <w:p>
      <w:pPr>
        <w:spacing w:after="0" w:line="150"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The reporting person and Christopher C. Richardson were previously parties to an Amended and Restated Joint Filing Agreement, dated June 9, 2009 (the “Joint Filing Agreement”), pursuant to which the parties agreed to jointly file the Schedule 13D and any and all amendments thereto with the Securities and Exchange Commission. Following the termination of the Endeavour Voting Agreement and the Richardson Voting Group’s waiver of all rights under the Initial Voting Agreement, the reporting person and Christopher C. Richardson determined to terminate the Joint Filing Agreement and entered into a Termination Agreement, dated January 12, 2012 (the “Termination Agreement”). The Termination Agreement is filed herewith as Exhibit A and is incorporated herein by reference.</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Any descriptions herein of the Termination Agreement are qualified in their entirety by reference to the Termination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5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Termination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w:t>
      </w:r>
    </w:p>
    <w:p>
      <w:pPr>
        <w:spacing w:after="0" w:line="144" w:lineRule="exact"/>
        <w:rPr>
          <w:sz w:val="20"/>
          <w:szCs w:val="20"/>
          <w:color w:val="auto"/>
        </w:rPr>
      </w:pPr>
    </w:p>
    <w:p>
      <w:pPr>
        <w:ind w:left="460" w:right="300" w:firstLine="438"/>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January 12, 2012</w:t>
      </w:r>
    </w:p>
    <w:p>
      <w:pPr>
        <w:spacing w:after="0" w:line="15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Brent D.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Brent D. Richardson</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15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Termination Agreement (this “Termination Agreement”) is made and entered into as of January 12, 2012, by and between Brent D. Richardson and Christopher C. Richardson (each a “Reporting Person”, and collectively, the “Reporting Persons”). Reference is hereby made to the Statement of Beneficial Ownership on Schedule 13D filed with the Securities and Exchange Commission filed by the Reporting Persons on December 5, 2008, as amended from time to time (the “Schedule 13D”).</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WHEREAS, the Reporting Persons entered into an Amended and Restated Joint Filing Agreement, dated June 9, 2009 (the “Joint Filing Agreement”), pursuant to which the Reporting Persons agreed to prepare jointly and file timely the Schedule 13D and any and all amendments thereto with respect to their respective beneficial ownership of the common stock, par value $0.01 per share, of Grand Canyon Education, Inc., a Delaware corporation (the “Common Stock”).</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NOW, THEREFORE, each of the Reporting Persons separately and together desire to mutually terminate the Joint Filing Agreement, and hereby agree as follows:</w:t>
      </w:r>
    </w:p>
    <w:p>
      <w:pPr>
        <w:spacing w:after="0" w:line="99" w:lineRule="exact"/>
        <w:rPr>
          <w:sz w:val="20"/>
          <w:szCs w:val="20"/>
          <w:color w:val="auto"/>
        </w:rPr>
      </w:pPr>
    </w:p>
    <w:p>
      <w:pPr>
        <w:ind w:firstLine="464"/>
        <w:spacing w:after="0" w:line="275"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Termination of Joint Filing Agreement</w:t>
      </w:r>
      <w:r>
        <w:rPr>
          <w:rFonts w:ascii="Arial" w:cs="Arial" w:eastAsia="Arial" w:hAnsi="Arial"/>
          <w:sz w:val="18"/>
          <w:szCs w:val="18"/>
          <w:color w:val="auto"/>
        </w:rPr>
        <w:t>. Each of the Reporting Persons hereby agrees to terminate the Joint Filing Agreement and confirms that,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hereof, the Joint Filing Agreement has been terminated and ceases to be of further effect.</w:t>
      </w:r>
    </w:p>
    <w:p>
      <w:pPr>
        <w:spacing w:after="0" w:line="92" w:lineRule="exact"/>
        <w:rPr>
          <w:rFonts w:ascii="Arial" w:cs="Arial" w:eastAsia="Arial" w:hAnsi="Arial"/>
          <w:sz w:val="18"/>
          <w:szCs w:val="18"/>
          <w:color w:val="auto"/>
        </w:rPr>
      </w:pPr>
    </w:p>
    <w:p>
      <w:pPr>
        <w:jc w:val="both"/>
        <w:ind w:firstLine="464"/>
        <w:spacing w:after="0" w:line="262"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Further Amendments to Schedule 13D</w:t>
      </w:r>
      <w:r>
        <w:rPr>
          <w:rFonts w:ascii="Arial" w:cs="Arial" w:eastAsia="Arial" w:hAnsi="Arial"/>
          <w:sz w:val="18"/>
          <w:szCs w:val="18"/>
          <w:color w:val="auto"/>
        </w:rPr>
        <w:t>. Each of the Reporting Persons hereby agrees that the other Reporting Person shall have no obligation to file,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on his own behalf, as applicable, any amendment to the Schedule 13D that may be required, in accordance with the rules and regulations promulgated under the Securities Exchange Act of 1934, as amended, with respect to the Common Stock.</w:t>
      </w:r>
    </w:p>
    <w:p>
      <w:pPr>
        <w:spacing w:after="0" w:line="105" w:lineRule="exact"/>
        <w:rPr>
          <w:rFonts w:ascii="Arial" w:cs="Arial" w:eastAsia="Arial" w:hAnsi="Arial"/>
          <w:sz w:val="18"/>
          <w:szCs w:val="18"/>
          <w:color w:val="auto"/>
        </w:rPr>
      </w:pPr>
    </w:p>
    <w:p>
      <w:pPr>
        <w:ind w:firstLine="464"/>
        <w:spacing w:after="0" w:line="275" w:lineRule="auto"/>
        <w:tabs>
          <w:tab w:leader="none" w:pos="64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Release and Discharge</w:t>
      </w:r>
      <w:r>
        <w:rPr>
          <w:rFonts w:ascii="Arial" w:cs="Arial" w:eastAsia="Arial" w:hAnsi="Arial"/>
          <w:sz w:val="18"/>
          <w:szCs w:val="18"/>
          <w:color w:val="auto"/>
        </w:rPr>
        <w:t>. Each of the Reporting Persons hereby mutually and unconditionally releases and discharges the other Reporting Person,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from all of his obligations under the Joint Filing Agreement to which he is a party.</w:t>
      </w:r>
    </w:p>
    <w:p>
      <w:pPr>
        <w:spacing w:after="0" w:line="92" w:lineRule="exact"/>
        <w:rPr>
          <w:rFonts w:ascii="Arial" w:cs="Arial" w:eastAsia="Arial" w:hAnsi="Arial"/>
          <w:sz w:val="18"/>
          <w:szCs w:val="18"/>
          <w:color w:val="auto"/>
        </w:rPr>
      </w:pPr>
    </w:p>
    <w:p>
      <w:pPr>
        <w:ind w:right="20" w:firstLine="464"/>
        <w:spacing w:after="0" w:line="275"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Termination Agreement may be executed in counterparts, each of which when so executed shall be deemed to be an original, but all</w:t>
      </w:r>
      <w:r>
        <w:rPr>
          <w:rFonts w:ascii="Arial" w:cs="Arial" w:eastAsia="Arial" w:hAnsi="Arial"/>
          <w:sz w:val="18"/>
          <w:szCs w:val="18"/>
          <w:b w:val="1"/>
          <w:bCs w:val="1"/>
          <w:color w:val="auto"/>
        </w:rPr>
        <w:t xml:space="preserve"> </w:t>
      </w:r>
      <w:r>
        <w:rPr>
          <w:rFonts w:ascii="Arial" w:cs="Arial" w:eastAsia="Arial" w:hAnsi="Arial"/>
          <w:sz w:val="18"/>
          <w:szCs w:val="18"/>
          <w:color w:val="auto"/>
        </w:rPr>
        <w:t>such counterparts shall together constitute one and the same instrument.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undersigned, being duly authorized, have executed this Termination Agreement as of the date first set forth above.</w:t>
      </w:r>
    </w:p>
    <w:p>
      <w:pPr>
        <w:spacing w:after="0" w:line="18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Brent D.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Brent D. Richardson</w:t>
      </w:r>
    </w:p>
    <w:p>
      <w:pPr>
        <w:spacing w:after="0" w:line="15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Christopher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Christopher C. Richardson</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2019-12-09T19:45:15Z</dcterms:created>
  <dcterms:modified xsi:type="dcterms:W3CDTF">2019-12-09T19:45:15Z</dcterms:modified>
</cp:coreProperties>
</file>