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211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211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58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Dorman D.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920 SW SIXTH AVENUE, SUITE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08/26/2010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58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00" w:type="dxa"/>
            <w:vAlign w:val="bottom"/>
          </w:tcPr>
          <w:p>
            <w:pPr>
              <w:spacing w:after="0"/>
              <w:rPr>
                <w:sz w:val="20"/>
                <w:szCs w:val="20"/>
                <w:color w:val="auto"/>
              </w:rPr>
            </w:pPr>
            <w:r>
              <w:rPr>
                <w:rFonts w:ascii="Arial" w:cs="Arial" w:eastAsia="Arial" w:hAnsi="Arial"/>
                <w:sz w:val="18"/>
                <w:szCs w:val="18"/>
                <w:color w:val="0000FF"/>
              </w:rPr>
              <w:t>PORTLAND</w:t>
            </w:r>
          </w:p>
        </w:tc>
        <w:tc>
          <w:tcPr>
            <w:tcW w:w="1020" w:type="dxa"/>
            <w:vAlign w:val="bottom"/>
          </w:tcPr>
          <w:p>
            <w:pPr>
              <w:ind w:left="180"/>
              <w:spacing w:after="0"/>
              <w:rPr>
                <w:sz w:val="20"/>
                <w:szCs w:val="20"/>
                <w:color w:val="auto"/>
              </w:rPr>
            </w:pPr>
            <w:r>
              <w:rPr>
                <w:rFonts w:ascii="Arial" w:cs="Arial" w:eastAsia="Arial" w:hAnsi="Arial"/>
                <w:sz w:val="18"/>
                <w:szCs w:val="18"/>
                <w:color w:val="0000FF"/>
              </w:rPr>
              <w:t>OR</w:t>
            </w:r>
          </w:p>
        </w:tc>
        <w:tc>
          <w:tcPr>
            <w:tcW w:w="1680" w:type="dxa"/>
            <w:vAlign w:val="bottom"/>
          </w:tcPr>
          <w:p>
            <w:pPr>
              <w:ind w:left="420"/>
              <w:spacing w:after="0"/>
              <w:rPr>
                <w:sz w:val="20"/>
                <w:szCs w:val="20"/>
                <w:color w:val="auto"/>
              </w:rPr>
            </w:pPr>
            <w:r>
              <w:rPr>
                <w:rFonts w:ascii="Arial" w:cs="Arial" w:eastAsia="Arial" w:hAnsi="Arial"/>
                <w:sz w:val="18"/>
                <w:szCs w:val="18"/>
                <w:color w:val="0000FF"/>
              </w:rPr>
              <w:t>97204</w:t>
            </w:r>
          </w:p>
        </w:tc>
      </w:tr>
      <w:tr>
        <w:trPr>
          <w:trHeight w:val="158"/>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1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58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jc w:val="right"/>
              <w:ind w:right="92"/>
              <w:spacing w:after="0"/>
              <w:rPr>
                <w:sz w:val="20"/>
                <w:szCs w:val="20"/>
                <w:color w:val="auto"/>
              </w:rPr>
            </w:pPr>
            <w:r>
              <w:rPr>
                <w:rFonts w:ascii="Arial" w:cs="Arial" w:eastAsia="Arial" w:hAnsi="Arial"/>
                <w:sz w:val="18"/>
                <w:szCs w:val="18"/>
                <w:color w:val="0000FF"/>
              </w:rPr>
              <w:t>08/26/2010</w:t>
            </w:r>
          </w:p>
        </w:tc>
        <w:tc>
          <w:tcPr>
            <w:tcW w:w="11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ind w:left="200"/>
              <w:spacing w:after="0"/>
              <w:rPr>
                <w:sz w:val="20"/>
                <w:szCs w:val="20"/>
                <w:color w:val="auto"/>
              </w:rPr>
            </w:pPr>
            <w:r>
              <w:rPr>
                <w:rFonts w:ascii="Arial" w:cs="Arial" w:eastAsia="Arial" w:hAnsi="Arial"/>
                <w:sz w:val="18"/>
                <w:szCs w:val="18"/>
                <w:color w:val="0000FF"/>
              </w:rPr>
              <w:t>5,000</w:t>
            </w:r>
          </w:p>
        </w:tc>
        <w:tc>
          <w:tcPr>
            <w:tcW w:w="580" w:type="dxa"/>
            <w:vAlign w:val="bottom"/>
          </w:tcPr>
          <w:p>
            <w:pPr>
              <w:ind w:left="280"/>
              <w:spacing w:after="0"/>
              <w:rPr>
                <w:sz w:val="20"/>
                <w:szCs w:val="20"/>
                <w:color w:val="auto"/>
              </w:rPr>
            </w:pPr>
            <w:r>
              <w:rPr>
                <w:rFonts w:ascii="Arial" w:cs="Arial" w:eastAsia="Arial" w:hAnsi="Arial"/>
                <w:sz w:val="18"/>
                <w:szCs w:val="18"/>
                <w:color w:val="0000FF"/>
              </w:rPr>
              <w:t>A</w:t>
            </w:r>
          </w:p>
        </w:tc>
        <w:tc>
          <w:tcPr>
            <w:tcW w:w="700" w:type="dxa"/>
            <w:vAlign w:val="bottom"/>
          </w:tcPr>
          <w:p>
            <w:pPr>
              <w:jc w:val="right"/>
              <w:ind w:right="2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3"/>
              </w:rPr>
              <w:t>5,395,750</w:t>
            </w:r>
            <w:r>
              <w:rPr>
                <w:rFonts w:ascii="Arial" w:cs="Arial" w:eastAsia="Arial" w:hAnsi="Arial"/>
                <w:sz w:val="22"/>
                <w:szCs w:val="22"/>
                <w:color w:val="008000"/>
                <w:w w:val="83"/>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610,918</w:t>
            </w:r>
            <w:r>
              <w:rPr>
                <w:rFonts w:ascii="Arial" w:cs="Arial" w:eastAsia="Arial" w:hAnsi="Arial"/>
                <w:sz w:val="22"/>
                <w:szCs w:val="22"/>
                <w:color w:val="008000"/>
                <w:w w:val="84"/>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rPr>
              <w:t>Parallel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330,470</w:t>
            </w:r>
            <w:r>
              <w:rPr>
                <w:rFonts w:ascii="Arial" w:cs="Arial" w:eastAsia="Arial" w:hAnsi="Arial"/>
                <w:sz w:val="22"/>
                <w:szCs w:val="22"/>
                <w:color w:val="008000"/>
                <w:w w:val="84"/>
                <w:vertAlign w:val="superscript"/>
              </w:rPr>
              <w:t>(1)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Associates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20" w:type="dxa"/>
            <w:vAlign w:val="bottom"/>
            <w:vMerge w:val="restart"/>
          </w:tcPr>
          <w:p>
            <w:pPr>
              <w:ind w:left="80"/>
              <w:spacing w:after="0"/>
              <w:rPr>
                <w:sz w:val="20"/>
                <w:szCs w:val="20"/>
                <w:color w:val="auto"/>
              </w:rPr>
            </w:pPr>
            <w:r>
              <w:rPr>
                <w:rFonts w:ascii="Arial" w:cs="Arial" w:eastAsia="Arial" w:hAnsi="Arial"/>
                <w:sz w:val="18"/>
                <w:szCs w:val="18"/>
                <w:color w:val="0000FF"/>
              </w:rPr>
              <w:t>Fund IV,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w w:val="94"/>
              </w:rPr>
              <w:t>Endeavour</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3"/>
              </w:rPr>
              <w:t>6,337,138</w:t>
            </w:r>
            <w:r>
              <w:rPr>
                <w:rFonts w:ascii="Arial" w:cs="Arial" w:eastAsia="Arial" w:hAnsi="Arial"/>
                <w:sz w:val="22"/>
                <w:szCs w:val="22"/>
                <w:color w:val="008000"/>
                <w:w w:val="83"/>
                <w:vertAlign w:val="superscript"/>
              </w:rPr>
              <w:t>(1)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20" w:type="dxa"/>
            <w:vAlign w:val="bottom"/>
          </w:tcPr>
          <w:p>
            <w:pPr>
              <w:ind w:left="80"/>
              <w:spacing w:after="0"/>
              <w:rPr>
                <w:sz w:val="20"/>
                <w:szCs w:val="20"/>
                <w:color w:val="auto"/>
              </w:rPr>
            </w:pPr>
            <w:r>
              <w:rPr>
                <w:rFonts w:ascii="Arial" w:cs="Arial" w:eastAsia="Arial" w:hAnsi="Arial"/>
                <w:sz w:val="18"/>
                <w:szCs w:val="18"/>
                <w:color w:val="0000FF"/>
                <w:w w:val="98"/>
              </w:rPr>
              <w:t>Capital IV,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ind w:left="80"/>
              <w:spacing w:after="0"/>
              <w:rPr>
                <w:sz w:val="20"/>
                <w:szCs w:val="20"/>
                <w:color w:val="auto"/>
              </w:rPr>
            </w:pPr>
            <w:r>
              <w:rPr>
                <w:rFonts w:ascii="Arial" w:cs="Arial" w:eastAsia="Arial" w:hAnsi="Arial"/>
                <w:sz w:val="18"/>
                <w:szCs w:val="18"/>
                <w:color w:val="0000FF"/>
              </w:rPr>
              <w:t>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Dorman is a managing director of Endeavour Capital IV, LLC, which is the general partner of Endeavour Capital Fund IV, L.P., Endeavour Associates Fund IV, L.P. and Endeavour Capital Parallel Fund IV, L.P. Mr. Dorman disclaims beneficial ownership of these shares except to the extent of his respective pecuniary interest.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08/26/2010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930"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2019-12-18T01:41:53Z</dcterms:created>
  <dcterms:modified xsi:type="dcterms:W3CDTF">2019-12-18T01:41:53Z</dcterms:modified>
</cp:coreProperties>
</file>