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February 16, 2023</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Grand Canyon Education, Inc.</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920"/>
          </w:cols>
          <w:pgMar w:left="980" w:top="846" w:right="999" w:bottom="1440" w:gutter="0" w:footer="0" w:header="0"/>
        </w:sectPr>
      </w:pPr>
    </w:p>
    <w:p>
      <w:pPr>
        <w:spacing w:after="0" w:line="17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001-34211</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20-3356009</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120" w:space="720"/>
            <w:col w:w="2480" w:space="720"/>
            <w:col w:w="2880"/>
          </w:cols>
          <w:pgMar w:left="980" w:top="846" w:right="99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Incorporation)</w:t>
      </w:r>
    </w:p>
    <w:p>
      <w:pPr>
        <w:spacing w:after="0" w:line="234"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ind w:left="1880"/>
        <w:spacing w:after="0"/>
        <w:tabs>
          <w:tab w:leader="none" w:pos="7260" w:val="left"/>
        </w:tabs>
        <w:rPr>
          <w:sz w:val="20"/>
          <w:szCs w:val="20"/>
          <w:color w:val="auto"/>
        </w:rPr>
      </w:pPr>
      <w:r>
        <w:rPr>
          <w:rFonts w:ascii="Arial" w:cs="Arial" w:eastAsia="Arial" w:hAnsi="Arial"/>
          <w:sz w:val="18"/>
          <w:szCs w:val="18"/>
          <w:b w:val="1"/>
          <w:bCs w:val="1"/>
          <w:color w:val="auto"/>
        </w:rPr>
        <w:t>Phoenix, Arizona</w:t>
      </w:r>
      <w:r>
        <w:rPr>
          <w:sz w:val="20"/>
          <w:szCs w:val="20"/>
          <w:color w:val="auto"/>
        </w:rPr>
        <w:tab/>
      </w:r>
      <w:r>
        <w:rPr>
          <w:rFonts w:ascii="Arial" w:cs="Arial" w:eastAsia="Arial" w:hAnsi="Arial"/>
          <w:sz w:val="15"/>
          <w:szCs w:val="15"/>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9920"/>
          </w:cols>
          <w:pgMar w:left="980" w:top="846" w:right="999" w:bottom="1440"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-130175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09"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0" w:lineRule="exact"/>
        <w:rPr>
          <w:sz w:val="24"/>
          <w:szCs w:val="24"/>
          <w:color w:val="auto"/>
        </w:rPr>
      </w:pPr>
    </w:p>
    <w:p>
      <w:pPr>
        <w:spacing w:after="0" w:line="218" w:lineRule="exact"/>
        <w:rPr>
          <w:sz w:val="24"/>
          <w:szCs w:val="24"/>
          <w:color w:val="auto"/>
        </w:rPr>
      </w:pPr>
    </w:p>
    <w:p>
      <w:pPr>
        <w:ind w:right="22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1127760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570230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613410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6" w:right="9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2.02. </w:t>
      </w:r>
      <w:r>
        <w:rPr>
          <w:rFonts w:ascii="Arial" w:cs="Arial" w:eastAsia="Arial" w:hAnsi="Arial"/>
          <w:sz w:val="18"/>
          <w:szCs w:val="18"/>
          <w:b w:val="1"/>
          <w:bCs w:val="1"/>
          <w:u w:val="single" w:color="auto"/>
          <w:color w:val="auto"/>
        </w:rPr>
        <w:t>Results of Operations and Financial Condition</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February 16, 2023, the Company reported its results for the fourth quarter of 2022. The press release dated February 16, 2023 is furnished as Exhibit 99.1 to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u w:val="single" w:color="auto"/>
          <w:color w:val="auto"/>
        </w:rPr>
        <w:t>Consolidated Financial Statements and Exhibits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February 16, 2023</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Date File (imbedded within the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EXHIBIT INDEX</w:t>
            </w:r>
          </w:p>
        </w:tc>
      </w:tr>
      <w:tr>
        <w:trPr>
          <w:trHeight w:val="37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Description</w:t>
            </w: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0000EE"/>
              </w:rPr>
              <w:t>Press Release dated February 16, 2023</w:t>
            </w:r>
          </w:p>
        </w:tc>
      </w:tr>
      <w:tr>
        <w:trPr>
          <w:trHeight w:val="20"/>
        </w:trPr>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0"/>
                <w:szCs w:val="20"/>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Cover Page Interactive Date File (imbedded within the XBRL document)</w:t>
            </w:r>
          </w:p>
        </w:tc>
      </w:tr>
      <w:tr>
        <w:trPr>
          <w:trHeight w:val="993"/>
        </w:trPr>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6600" w:type="dxa"/>
            <w:vAlign w:val="bottom"/>
            <w:gridSpan w:val="2"/>
          </w:tcPr>
          <w:p>
            <w:pPr>
              <w:ind w:left="1540"/>
              <w:spacing w:after="0"/>
              <w:rPr>
                <w:sz w:val="20"/>
                <w:szCs w:val="20"/>
                <w:color w:val="auto"/>
              </w:rPr>
            </w:pPr>
            <w:r>
              <w:rPr>
                <w:rFonts w:ascii="Arial" w:cs="Arial" w:eastAsia="Arial" w:hAnsi="Arial"/>
                <w:sz w:val="18"/>
                <w:szCs w:val="18"/>
                <w:color w:val="auto"/>
              </w:rPr>
              <w:t>GRAND CANYON EDUCATION, INC.</w:t>
            </w:r>
          </w:p>
        </w:tc>
      </w:tr>
      <w:tr>
        <w:trPr>
          <w:trHeight w:val="466"/>
        </w:trPr>
        <w:tc>
          <w:tcPr>
            <w:tcW w:w="3320" w:type="dxa"/>
            <w:vAlign w:val="bottom"/>
          </w:tcPr>
          <w:p>
            <w:pPr>
              <w:spacing w:after="0"/>
              <w:rPr>
                <w:sz w:val="20"/>
                <w:szCs w:val="20"/>
                <w:color w:val="auto"/>
              </w:rPr>
            </w:pPr>
            <w:r>
              <w:rPr>
                <w:rFonts w:ascii="Arial" w:cs="Arial" w:eastAsia="Arial" w:hAnsi="Arial"/>
                <w:sz w:val="18"/>
                <w:szCs w:val="18"/>
                <w:color w:val="auto"/>
              </w:rPr>
              <w:t>Date: February 16, 2023</w:t>
            </w:r>
          </w:p>
        </w:tc>
        <w:tc>
          <w:tcPr>
            <w:tcW w:w="6600" w:type="dxa"/>
            <w:vAlign w:val="bottom"/>
            <w:gridSpan w:val="2"/>
          </w:tcPr>
          <w:p>
            <w:pPr>
              <w:ind w:left="1540"/>
              <w:spacing w:after="0"/>
              <w:rPr>
                <w:sz w:val="20"/>
                <w:szCs w:val="20"/>
                <w:color w:val="auto"/>
              </w:rPr>
            </w:pPr>
            <w:r>
              <w:rPr>
                <w:rFonts w:ascii="Arial" w:cs="Arial" w:eastAsia="Arial" w:hAnsi="Arial"/>
                <w:sz w:val="18"/>
                <w:szCs w:val="18"/>
                <w:color w:val="auto"/>
              </w:rPr>
              <w:t>By: /s/ Daniel E. Bachus</w:t>
            </w:r>
          </w:p>
        </w:tc>
      </w:tr>
      <w:tr>
        <w:trPr>
          <w:trHeight w:val="215"/>
        </w:trPr>
        <w:tc>
          <w:tcPr>
            <w:tcW w:w="3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Daniel E. Bachus</w:t>
            </w:r>
          </w:p>
        </w:tc>
      </w:tr>
      <w:tr>
        <w:trPr>
          <w:trHeight w:val="230"/>
        </w:trPr>
        <w:tc>
          <w:tcPr>
            <w:tcW w:w="3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1222"/>
        </w:trPr>
        <w:tc>
          <w:tcPr>
            <w:tcW w:w="3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Dan.bachus@gce.com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 REPORTS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2022 RESULTS</w:t>
      </w:r>
    </w:p>
    <w:p>
      <w:pPr>
        <w:spacing w:after="0" w:line="20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PHOENIX, AZ., February 16, 2023</w:t>
      </w:r>
      <w:r>
        <w:rPr>
          <w:rFonts w:ascii="Arial" w:cs="Arial" w:eastAsia="Arial" w:hAnsi="Arial"/>
          <w:sz w:val="18"/>
          <w:szCs w:val="18"/>
          <w:color w:val="auto"/>
        </w:rPr>
        <w:t>—</w:t>
      </w:r>
      <w:r>
        <w:rPr>
          <w:rFonts w:ascii="Arial" w:cs="Arial" w:eastAsia="Arial" w:hAnsi="Arial"/>
          <w:sz w:val="18"/>
          <w:szCs w:val="18"/>
          <w:b w:val="1"/>
          <w:bCs w:val="1"/>
          <w:u w:val="single" w:color="auto"/>
          <w:color w:val="auto"/>
        </w:rPr>
        <w:t>Grand Canyon Education,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LOPE), (“GCE” or the “Company”), is a</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 traded education services company that currently provides services to 27 university partners. GCE provides a full array of support services in the post-secondary education sector and has developed significant technological solutions, infrastructure and operational processes to provide superior services in these areas on a large scale. GCE today announced financial results for the quarter ended December 31,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121" w:right="1259" w:bottom="1440" w:gutter="0" w:footer="0" w:header="0"/>
        </w:sectPr>
      </w:pPr>
    </w:p>
    <w:bookmarkStart w:id="5" w:name="page6"/>
    <w:bookmarkEnd w:id="5"/>
    <w:p>
      <w:pPr>
        <w:ind w:right="4020"/>
        <w:spacing w:after="0" w:line="454" w:lineRule="auto"/>
        <w:rPr>
          <w:sz w:val="20"/>
          <w:szCs w:val="20"/>
          <w:color w:val="auto"/>
        </w:rPr>
      </w:pPr>
      <w:r>
        <w:rPr>
          <w:rFonts w:ascii="Arial" w:cs="Arial" w:eastAsia="Arial" w:hAnsi="Arial"/>
          <w:sz w:val="18"/>
          <w:szCs w:val="18"/>
          <w:b w:val="1"/>
          <w:bCs w:val="1"/>
          <w:color w:val="auto"/>
        </w:rPr>
        <w:t xml:space="preserve">Grand Canyon Education, Inc. Reports Fourth Quarter 2022 Results </w:t>
      </w:r>
      <w:r>
        <w:rPr>
          <w:rFonts w:ascii="Arial" w:cs="Arial" w:eastAsia="Arial" w:hAnsi="Arial"/>
          <w:sz w:val="18"/>
          <w:szCs w:val="18"/>
          <w:color w:val="auto"/>
        </w:rPr>
        <w:t>For the three months ended December 31, 2022:</w:t>
      </w:r>
    </w:p>
    <w:p>
      <w:pPr>
        <w:spacing w:after="0" w:line="17" w:lineRule="exact"/>
        <w:rPr>
          <w:sz w:val="20"/>
          <w:szCs w:val="20"/>
          <w:color w:val="auto"/>
        </w:rPr>
      </w:pPr>
    </w:p>
    <w:p>
      <w:pPr>
        <w:ind w:left="640" w:right="80" w:hanging="323"/>
        <w:spacing w:after="0" w:line="286"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Service revenue was $258.7 million for the fourth quarter of 2022, an increase of $7.3 million, or 2.9%, as compared to service revenue of $251.4 million for the fourth quarter of 2021. The increase year over year in service revenue was primarily due to an increase in GCU traditional campus enrollments and revenue per student year over year partially offset by a decrease in online enrollments at GCU of 1.6% and to a lesser extent, students in a university partner’s Occupational Therapy Assistants (“OTA”) program in which enrollment declined 11.3% between December 31, 2021 and 2022. Additionally, GCU’s traditional campus Fall semester moved forward one day compared to the third quarter of 2021, which decreased service revenues earned in the fourth quarter by $1.5 million. The increase in revenue per student between years is primarily due to the service revenue impact of the growth in the GCU traditional campus enrollments between years which has a higher revenue per student due to room, board and other ancillary revenues and the higher revenue per student at off-campus classroom and laboratory sites. Service revenue per student for Accelerated Bachelor of Science in Nursing (“ABSN”) program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w:t>
      </w:r>
    </w:p>
    <w:p>
      <w:pPr>
        <w:spacing w:after="0" w:line="170" w:lineRule="exact"/>
        <w:rPr>
          <w:rFonts w:ascii="Arial" w:cs="Arial" w:eastAsia="Arial" w:hAnsi="Arial"/>
          <w:sz w:val="16"/>
          <w:szCs w:val="16"/>
          <w:color w:val="auto"/>
        </w:rPr>
      </w:pPr>
    </w:p>
    <w:p>
      <w:pPr>
        <w:ind w:left="640" w:hanging="323"/>
        <w:spacing w:after="0" w:line="267"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Partner enrollments totaled 112,955 at December 31, 2022 as compared to 112,554 at December 31, 2021. University partner enrollments at our off-campus classroom and laboratory sites were 4,636, a decrease of 1.0% over enrollments at December 31, 2021, which includes 320 and 269 GCU students at December 31, 2022 and 2021, respectively. This growth rate has slowed over the past year primarily due to the 11.3% decline in OTA students as the university partner stopped admitting new students for most of 2021 due to clinical placement backlog. Year over year ABSN students decreased 0.3% at December 31, 2022. None of our ABSN partners have stopped admitting new students due to the clinical faculty challenges that began during the pandemic, however some locations that were scheduled to open in 2021 and 2022 have been pushed back and some existing partners have reduced incoming cohort sizes which has slowed the growth. In addition, in a joint decision between us and one of our university partners, two ABSN off-campus classroom and laboratory sites were closed at the beginning of this year to allow the university partner to focus its resources closer to its home location. Excluding the prior year enrollments from locations that have been closed in the past twelve months, ABSN students grew by 3.6% year over year. We did open six new off-campus classroom and laboratory sites in the year ended December 31, 2022 increasing the total number of these sites to 35 at December 31, 2022 and we anticipate opening six to eight more in 2023 which should re-accelerate the ABSN student enrollment growth. Enrollments at GCU increased to 108,639 at December 31, 2022, a slight increase of 0.5% over enrollments at December 31, 2021 primarily due to the increase in ground traditional and ABSN off-campus enrollments partially offset by the decrease in GCU online enrollments between years. Enrollments for GCU ground students were 25,522 at December 31, 2022 up from 23,629 at December 31, 2021 primarily due to a 8.6% increase in traditional ground students between years.</w:t>
      </w:r>
    </w:p>
    <w:p>
      <w:pPr>
        <w:spacing w:after="0" w:line="188" w:lineRule="exact"/>
        <w:rPr>
          <w:rFonts w:ascii="Arial" w:cs="Arial" w:eastAsia="Arial" w:hAnsi="Arial"/>
          <w:sz w:val="17"/>
          <w:szCs w:val="17"/>
          <w:color w:val="auto"/>
        </w:rPr>
      </w:pPr>
    </w:p>
    <w:p>
      <w:pPr>
        <w:ind w:left="640" w:right="200" w:hanging="323"/>
        <w:spacing w:after="0" w:line="263"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income for the three months ended December 31, 2022 was $90.7 million, a decrease of $11.7 million as compared to $102.4 million for the same period in 2021. The operating margin for the three months ended December 31, 2022 was 35.1%, compared to 40.7% for the same period in 2021.</w:t>
      </w:r>
    </w:p>
    <w:p>
      <w:pPr>
        <w:spacing w:after="0" w:line="183" w:lineRule="exact"/>
        <w:rPr>
          <w:rFonts w:ascii="Arial" w:cs="Arial" w:eastAsia="Arial" w:hAnsi="Arial"/>
          <w:sz w:val="18"/>
          <w:szCs w:val="18"/>
          <w:color w:val="auto"/>
        </w:rPr>
      </w:pPr>
    </w:p>
    <w:p>
      <w:pPr>
        <w:jc w:val="both"/>
        <w:ind w:left="640" w:right="60" w:hanging="323"/>
        <w:spacing w:after="0" w:line="263"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 income, net of interest expense, decreased from $6.5 million in the fourth quarter of 2021 to $1.3 million in the fourth quarter of 2022 primarily due to the payoff of the Secured Note receivable and the cancellation and repayment of the credit facility, both of which occurred in the fourth quarter of 2021.</w:t>
      </w:r>
    </w:p>
    <w:p>
      <w:pPr>
        <w:spacing w:after="0" w:line="183" w:lineRule="exact"/>
        <w:rPr>
          <w:rFonts w:ascii="Arial" w:cs="Arial" w:eastAsia="Arial" w:hAnsi="Arial"/>
          <w:sz w:val="18"/>
          <w:szCs w:val="18"/>
          <w:color w:val="auto"/>
        </w:rPr>
      </w:pPr>
    </w:p>
    <w:p>
      <w:pPr>
        <w:ind w:left="640" w:right="20" w:hanging="323"/>
        <w:spacing w:after="0" w:line="296"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Income tax expense for the three months ended December 31, 2022 was $21.0 million, a decrease of $2.8 million, as compared to income tax expense of $23.8 million for the three months ended December 31, 2021. This decrease was the result of a decrease in our taxable income, partially offset by an increase in our effective tax rate between periods. Our effective tax rate was 22.8% during the fourth quarter of 2022 compared to 21.8% during the fourth quarter of 2021. In the fourth quarter of 2022, the effective tax rate was unfavorably impacted by state income taxes.</w:t>
      </w:r>
    </w:p>
    <w:p>
      <w:pPr>
        <w:spacing w:after="0" w:line="161" w:lineRule="exact"/>
        <w:rPr>
          <w:rFonts w:ascii="Arial" w:cs="Arial" w:eastAsia="Arial" w:hAnsi="Arial"/>
          <w:sz w:val="16"/>
          <w:szCs w:val="16"/>
          <w:color w:val="auto"/>
        </w:rPr>
      </w:pPr>
    </w:p>
    <w:p>
      <w:pPr>
        <w:ind w:left="640" w:right="160" w:hanging="323"/>
        <w:spacing w:after="0" w:line="263"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decreased 16.5% to $71.0 million for the fourth quarter of 2022, compared to $85.1 million for the same period in 2021. As adjusted net income was $72.7 million and $83.7 million for the fourth quarters of 2022 and 2021, respectively.</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20"/>
          </w:cols>
          <w:pgMar w:left="1260" w:top="121" w:right="1319" w:bottom="1440" w:gutter="0" w:footer="0" w:header="0"/>
        </w:sectPr>
      </w:pPr>
    </w:p>
    <w:bookmarkStart w:id="6" w:name="page7"/>
    <w:bookmarkEnd w:id="6"/>
    <w:p>
      <w:pPr>
        <w:ind w:left="640" w:right="240" w:hanging="323"/>
        <w:spacing w:after="0" w:line="342"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Diluted net income per share was $2.30 and $2.15 for the fourth quarters of 2022 and 2021, respectively. As adjusted diluted net income per share was $2.36 and $2.11 for the fourth quarters of 2022 and 2021, respectively.</w:t>
      </w:r>
    </w:p>
    <w:p>
      <w:pPr>
        <w:spacing w:after="0" w:line="123" w:lineRule="exact"/>
        <w:rPr>
          <w:rFonts w:ascii="Arial" w:cs="Arial" w:eastAsia="Arial" w:hAnsi="Arial"/>
          <w:sz w:val="16"/>
          <w:szCs w:val="16"/>
          <w:color w:val="auto"/>
        </w:rPr>
      </w:pPr>
    </w:p>
    <w:p>
      <w:pPr>
        <w:ind w:left="640" w:right="140" w:hanging="323"/>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decreased 6.2% to $102.2 million for the fourth quarter of 2022, compared to $109.0 million for the same period in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2022:</w:t>
      </w:r>
    </w:p>
    <w:p>
      <w:pPr>
        <w:spacing w:after="0" w:line="225" w:lineRule="exact"/>
        <w:rPr>
          <w:sz w:val="20"/>
          <w:szCs w:val="20"/>
          <w:color w:val="auto"/>
        </w:rPr>
      </w:pPr>
    </w:p>
    <w:p>
      <w:pPr>
        <w:ind w:left="640" w:right="40" w:hanging="323"/>
        <w:spacing w:after="0" w:line="269"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Service revenue was $911.3 million for the year ended December 31, 2022, an increase of $14.7 million, or 1.6%, as compared to service revenue of $896.6 million for the year ended December 31, 2021. The increase year over year in service revenue was primarily due to an increase in GCU traditional campus enrollments and revenue per student year over year partially offset by a decrease in online enrollments at GCU of 1.6% and to a lesser extent, students in a university partner’s OTA program in which enrollment declined 11.3% between December 31, 2021 and 2022. The increase in revenue per student between years is primarily due to the service revenue impact of the growth in the GCU traditional campus enrollments between years which has a higher revenue per student due to room, board and other ancillary revenues and the higher revenue per student at off-campus classroom and laboratory sites. Service revenue per student for ABSN program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w:t>
      </w:r>
    </w:p>
    <w:p>
      <w:pPr>
        <w:spacing w:after="0" w:line="178" w:lineRule="exact"/>
        <w:rPr>
          <w:rFonts w:ascii="Arial" w:cs="Arial" w:eastAsia="Arial" w:hAnsi="Arial"/>
          <w:sz w:val="17"/>
          <w:szCs w:val="17"/>
          <w:color w:val="auto"/>
        </w:rPr>
      </w:pPr>
    </w:p>
    <w:p>
      <w:pPr>
        <w:ind w:left="640" w:hanging="323"/>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2022 was $237.5 million, a decrease of $44.7 million as compared to $282.2 million for the same period in 2021. The operating margin for the year ended December 31, 2022 was 26.1%, compared to 31.5% for the same period in 2021.</w:t>
      </w:r>
    </w:p>
    <w:p>
      <w:pPr>
        <w:spacing w:after="0" w:line="183" w:lineRule="exact"/>
        <w:rPr>
          <w:rFonts w:ascii="Arial" w:cs="Arial" w:eastAsia="Arial" w:hAnsi="Arial"/>
          <w:sz w:val="18"/>
          <w:szCs w:val="18"/>
          <w:color w:val="auto"/>
        </w:rPr>
      </w:pPr>
    </w:p>
    <w:p>
      <w:pPr>
        <w:ind w:left="640" w:right="340" w:hanging="323"/>
        <w:spacing w:after="0" w:line="31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Interest income, net of interest expense, decreased from $49.1 million for the year ended December 31, 2021 to $2.6 million for the year ended December 31, 2022 primarily due to the payoff of the Secured Note receivable and the cancellation and repayment of the credit facility, both of which occurred in the fourth quarter of 2021.</w:t>
      </w:r>
    </w:p>
    <w:p>
      <w:pPr>
        <w:spacing w:after="0" w:line="148" w:lineRule="exact"/>
        <w:rPr>
          <w:rFonts w:ascii="Arial" w:cs="Arial" w:eastAsia="Arial" w:hAnsi="Arial"/>
          <w:sz w:val="16"/>
          <w:szCs w:val="16"/>
          <w:color w:val="auto"/>
        </w:rPr>
      </w:pPr>
    </w:p>
    <w:p>
      <w:pPr>
        <w:ind w:left="640" w:right="40" w:hanging="323"/>
        <w:spacing w:after="0" w:line="289"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Income tax expense for the year ended December 31, 2022 was $55.4 million, a decrease of $15.5 million, or 21.9%, as compared to income tax expense of $70.9 million for the year ended December 31, 2021. This decrease was the result of a decrease in our taxable income partially offset by an increase in our effective tax rate between periods. Our effective tax rate was 23.1% during the year ended December 31, 2022 compared to 21.4% during the year ended December 31, 2021. In the year ended December 31, 2021, the effective tax rate was significantly impacted by excess tax benefits of $4.4 million as a result of exercises of the remaining stock options held by employees prior to their expiration. Excess tax benefits totaled only $0.1 million in the year ended December 31, 2022. The effective tax rate was favorably impacted by the contributions in lieu of state income taxes of $5.0 million in July 2022 and 2021. The impact of the contributions in 2022 had a greater impact on the effective tax rate than it did in 2021 due to lower income before taxes.</w:t>
      </w:r>
    </w:p>
    <w:p>
      <w:pPr>
        <w:spacing w:after="0" w:line="166" w:lineRule="exact"/>
        <w:rPr>
          <w:rFonts w:ascii="Arial" w:cs="Arial" w:eastAsia="Arial" w:hAnsi="Arial"/>
          <w:sz w:val="16"/>
          <w:szCs w:val="16"/>
          <w:color w:val="auto"/>
        </w:rPr>
      </w:pPr>
    </w:p>
    <w:p>
      <w:pPr>
        <w:jc w:val="both"/>
        <w:ind w:left="640" w:right="120" w:hanging="323"/>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decreased 29.1% to $184.7 million for the year ended December 31, 2022, compared to $260.3 million for the same period in 2021. As adjusted net income was $192.1 million and $263.8 million for the years ended December 31, 2022 and 2021, respectively.</w:t>
      </w:r>
    </w:p>
    <w:p>
      <w:pPr>
        <w:spacing w:after="0" w:line="183" w:lineRule="exact"/>
        <w:rPr>
          <w:rFonts w:ascii="Arial" w:cs="Arial" w:eastAsia="Arial" w:hAnsi="Arial"/>
          <w:sz w:val="18"/>
          <w:szCs w:val="18"/>
          <w:color w:val="auto"/>
        </w:rPr>
      </w:pPr>
    </w:p>
    <w:p>
      <w:pPr>
        <w:ind w:left="640" w:right="240" w:hanging="323"/>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net income per share was $5.73 and $5.92 for the years ended December 31, 2022 and 2021, respectively. As adjusted diluted net income per share was $5.96 and $6.00 for the years ended December 31, 2022 and 2021, respectively.</w:t>
      </w:r>
    </w:p>
    <w:p>
      <w:pPr>
        <w:spacing w:after="0" w:line="183" w:lineRule="exact"/>
        <w:rPr>
          <w:rFonts w:ascii="Arial" w:cs="Arial" w:eastAsia="Arial" w:hAnsi="Arial"/>
          <w:sz w:val="18"/>
          <w:szCs w:val="18"/>
          <w:color w:val="auto"/>
        </w:rPr>
      </w:pPr>
    </w:p>
    <w:p>
      <w:pPr>
        <w:ind w:left="640" w:right="480" w:hanging="323"/>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decreased 11.0% to $291.3 million for the year ended December 31, 2022, compared to $327.4 million for the same period in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341" w:right="1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59" w:firstLine="648"/>
        <w:spacing w:after="0" w:line="296" w:lineRule="auto"/>
        <w:rPr>
          <w:sz w:val="20"/>
          <w:szCs w:val="20"/>
          <w:color w:val="auto"/>
        </w:rPr>
      </w:pPr>
      <w:r>
        <w:rPr>
          <w:rFonts w:ascii="Arial" w:cs="Arial" w:eastAsia="Arial" w:hAnsi="Arial"/>
          <w:sz w:val="16"/>
          <w:szCs w:val="16"/>
          <w:color w:val="auto"/>
        </w:rPr>
        <w:t>Our liquidity position, as measured by cash and cash equivalents and investments decreased by $419.2 between December 31, 2021 and December 31, 2022, which was largely attributable to share repurchases in accordance with our share repurchase program and capital expenditures during the year ended December 31, 2022 of $604.2 million and $35.2 million, respectively, partially offset by cash provided by operating activities of $220.8 million. Our unrestricted cash and cash equivalents and investments were $181.7 million and $600.9 million at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(more)</w:t>
      </w:r>
    </w:p>
    <w:p>
      <w:pPr>
        <w:spacing w:after="0" w:line="200" w:lineRule="exact"/>
        <w:rPr>
          <w:sz w:val="20"/>
          <w:szCs w:val="20"/>
          <w:color w:val="auto"/>
        </w:rPr>
      </w:pPr>
    </w:p>
    <w:p>
      <w:pPr>
        <w:spacing w:after="0" w:line="24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199"/>
          </w:cols>
          <w:pgMar w:left="1260" w:top="121"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Grand Canyon Education, Inc. Reports Fourth Quarter 2022 Results and Full Year Outlook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2023:</w:t>
      </w:r>
    </w:p>
    <w:p>
      <w:pPr>
        <w:spacing w:after="0" w:line="27" w:lineRule="exact"/>
        <w:rPr>
          <w:sz w:val="20"/>
          <w:szCs w:val="20"/>
          <w:color w:val="auto"/>
        </w:rPr>
      </w:pPr>
    </w:p>
    <w:p>
      <w:pPr>
        <w:ind w:left="640" w:hanging="32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Service revenue of between $249.0 million and $250.0 million;</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margin of between 29.4% and 29.6%;</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tax rate of 22.3%;</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EPS of between $1.90 and $1.93; and</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30.6 million diluted shares.</w:t>
      </w:r>
    </w:p>
    <w:p>
      <w:pPr>
        <w:spacing w:after="0" w:line="10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diluted EPS guidance includes non-cash amortization of intangible assets net of taxes of $1.6 million, which equates to a $0.05 impact on diluted EPS.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2023:</w:t>
      </w:r>
    </w:p>
    <w:p>
      <w:pPr>
        <w:spacing w:after="0" w:line="27" w:lineRule="exact"/>
        <w:rPr>
          <w:sz w:val="20"/>
          <w:szCs w:val="20"/>
          <w:color w:val="auto"/>
        </w:rPr>
      </w:pPr>
    </w:p>
    <w:p>
      <w:pPr>
        <w:ind w:left="640" w:hanging="32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Service revenue of between $206.0 million and $209.0 million;</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margin of between 14.8% and 15.7%;</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tax rate of 24.9%;</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Diluted EPS of between $0.79 and $0.85; and</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30.4 million diluted shares.</w:t>
      </w:r>
    </w:p>
    <w:p>
      <w:pPr>
        <w:spacing w:after="0" w:line="10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diluted EPS guidance includes non-cash amortization of intangible assets net of taxes of $1.6 million, which equates to a $0.05 impact on diluted EPS.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2023:</w:t>
      </w:r>
    </w:p>
    <w:p>
      <w:pPr>
        <w:spacing w:after="0" w:line="27" w:lineRule="exact"/>
        <w:rPr>
          <w:sz w:val="20"/>
          <w:szCs w:val="20"/>
          <w:color w:val="auto"/>
        </w:rPr>
      </w:pPr>
    </w:p>
    <w:p>
      <w:pPr>
        <w:ind w:left="640" w:hanging="32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Service revenue of between $215.5 million and $223.0 million;</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margin of between 15.8% and 18.1%;</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tax rate of 24.9%;</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Diluted EPS of between $0.88 and $1.04; and</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30.1 million diluted shares.</w:t>
      </w:r>
    </w:p>
    <w:p>
      <w:pPr>
        <w:spacing w:after="0" w:line="10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diluted EPS guidance includes non-cash amortization of intangible assets net of taxes of $1.6 million, which equates to a $0.05 impact on diluted EPS.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Q4 2023:</w:t>
      </w:r>
    </w:p>
    <w:p>
      <w:pPr>
        <w:spacing w:after="0" w:line="27" w:lineRule="exact"/>
        <w:rPr>
          <w:sz w:val="20"/>
          <w:szCs w:val="20"/>
          <w:color w:val="auto"/>
        </w:rPr>
      </w:pPr>
    </w:p>
    <w:p>
      <w:pPr>
        <w:ind w:left="640" w:hanging="32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Service revenue of between $268.5 million and $283.0 million;</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margin of between 33.5% and 36.4%;</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 tax rate of 24.0%;</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Diluted EPS of between $2.33 and $2.66; and</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29.8 million diluted shares.</w:t>
      </w:r>
    </w:p>
    <w:p>
      <w:pPr>
        <w:spacing w:after="0" w:line="10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diluted EPS guidance includes non-cash amortization of intangible assets net of taxes of $1.6 million, which equates to a $0.05 impact on diluted EPS.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2023:</w:t>
      </w:r>
    </w:p>
    <w:p>
      <w:pPr>
        <w:spacing w:after="0" w:line="27" w:lineRule="exact"/>
        <w:rPr>
          <w:sz w:val="20"/>
          <w:szCs w:val="20"/>
          <w:color w:val="auto"/>
        </w:rPr>
      </w:pPr>
    </w:p>
    <w:p>
      <w:pPr>
        <w:ind w:left="640" w:hanging="32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Service revenue of between $939.0 million and $965.0 million;</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margin of between 24.2% and 25.9%;</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tax rate of 23.8%;</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Diluted EPS between $5.90 and $6.47; and</w:t>
      </w:r>
    </w:p>
    <w:p>
      <w:pPr>
        <w:spacing w:after="0" w:line="9" w:lineRule="exact"/>
        <w:rPr>
          <w:rFonts w:ascii="Arial" w:cs="Arial" w:eastAsia="Arial" w:hAnsi="Arial"/>
          <w:sz w:val="18"/>
          <w:szCs w:val="18"/>
          <w:color w:val="auto"/>
        </w:rPr>
      </w:pPr>
    </w:p>
    <w:p>
      <w:pPr>
        <w:ind w:left="640" w:hanging="32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30.2 million diluted shares.</w:t>
      </w:r>
    </w:p>
    <w:p>
      <w:pPr>
        <w:spacing w:after="0" w:line="10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diluted EPS guidance includes non-cash amortization of intangible assets net of taxes of $6.4 million, which equates to a $0.20 impact on diluted EPS.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40"/>
          </w:cols>
          <w:pgMar w:left="1260" w:top="121" w:right="1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right="20" w:firstLine="648"/>
        <w:spacing w:after="0" w:line="247" w:lineRule="auto"/>
        <w:rPr>
          <w:sz w:val="20"/>
          <w:szCs w:val="20"/>
          <w:color w:val="auto"/>
        </w:rPr>
      </w:pPr>
      <w:r>
        <w:rPr>
          <w:rFonts w:ascii="Arial" w:cs="Arial" w:eastAsia="Arial" w:hAnsi="Arial"/>
          <w:sz w:val="17"/>
          <w:szCs w:val="17"/>
          <w:color w:val="auto"/>
        </w:rPr>
        <w:t>This news release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whether regulatory, economic, or business developments or other matters may or may not have a material adverse effect on our financial position, results of operations, or liquidity; projections, predictions, expectations, estimates, and forecasts as to our business, financial and operating results, and future economic performance; and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w:t>
      </w:r>
    </w:p>
    <w:p>
      <w:pPr>
        <w:spacing w:after="0" w:line="120" w:lineRule="exact"/>
        <w:rPr>
          <w:sz w:val="20"/>
          <w:szCs w:val="20"/>
          <w:color w:val="auto"/>
        </w:rPr>
      </w:pPr>
    </w:p>
    <w:p>
      <w:pPr>
        <w:ind w:firstLine="648"/>
        <w:spacing w:after="0" w:line="261"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 the harm to our business, results of operations, and financial condition, and harm to our university partners resulting from epidemics, pandemics, or public health crises: the occurrence of any event, change or other circumstance that could give rise to the termination of any of our key university partner agreements; 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 our failure to comply with the extensive regulatory framework applicable to us either directly as a third party education services provider or indirectly through our university partners, including Title IV of the Higher Education Act and the regulations thereunder, state laws and regulatory requirements, and accrediting commission requirements; competition from other education services companies in our geographic region and market sector, including competition for students, qualified executives and other personnel; the pace of growth of our university partners’ enrollment and its effect on the pace of our own growth; our ability to, on behalf of our university partners, convert prospective students to enrolled students and to retain active students to graduation; our success in updating and expanding the content of existing programs and developing new programs in a cost-effective manner or on a timely basis for our university partners; the impact of any natural disasters or public health emergencies; and other factors discussed in reports on file with the Securities and Exchange Commission, including as set forth in Part I, Item 1A of our Annual Report on Form 10-K for period ended December 31, 2022, as updated in our subsequent reports filed with the Securities and Exchange Commission on Form 10Q or Form 8-K.</w:t>
      </w:r>
    </w:p>
    <w:p>
      <w:pPr>
        <w:spacing w:after="0" w:line="161"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7"/>
          <w:szCs w:val="17"/>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57570" cy="17145"/>
                    </a:xfrm>
                    <a:prstGeom prst="rect">
                      <a:avLst/>
                    </a:prstGeom>
                    <a:noFill/>
                  </pic:spPr>
                </pic:pic>
              </a:graphicData>
            </a:graphic>
          </wp:anchor>
        </w:drawing>
      </w:r>
    </w:p>
    <w:p>
      <w:pPr>
        <w:sectPr>
          <w:pgSz w:w="11900" w:h="16838" w:orient="portrait"/>
          <w:cols w:equalWidth="0" w:num="1">
            <w:col w:w="9380"/>
          </w:cols>
          <w:pgMar w:left="1260" w:top="121" w:right="1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Grand Canyon Education, Inc. Reports Fourth Quarter 2022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Grand Canyon Education, Inc. will discuss its fourth quarter 2022 results and full year 2023 outlook during a conference call scheduled for today, February 16, 2023 at 4:30 p.m. Eastern time (ET).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333333"/>
        </w:rPr>
        <w:t>Live Conference Dial-In:</w:t>
      </w:r>
    </w:p>
    <w:p>
      <w:pPr>
        <w:spacing w:after="0" w:line="256"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333333"/>
        </w:rPr>
        <w:t xml:space="preserve">Those interested in participating in the question-and-answer session should follow the conference dial-in instructions below. Participants may register for the call </w:t>
      </w:r>
      <w:r>
        <w:rPr>
          <w:rFonts w:ascii="Arial" w:cs="Arial" w:eastAsia="Arial" w:hAnsi="Arial"/>
          <w:sz w:val="17"/>
          <w:szCs w:val="17"/>
          <w:color w:val="0000FF"/>
        </w:rPr>
        <w:t>here</w:t>
      </w:r>
      <w:r>
        <w:rPr>
          <w:rFonts w:ascii="Arial" w:cs="Arial" w:eastAsia="Arial" w:hAnsi="Arial"/>
          <w:sz w:val="17"/>
          <w:szCs w:val="17"/>
          <w:color w:val="333333"/>
        </w:rPr>
        <w:t xml:space="preserve"> to receive the dial-in numbers and unique PIN to access the call seamlessly. Please dial in at least ten minutes prior to the start of the call. Journalists are invited to listen only.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333333"/>
        </w:rPr>
        <w:t>Webcast and Replay:</w:t>
      </w:r>
    </w:p>
    <w:p>
      <w:pPr>
        <w:spacing w:after="0" w:line="2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333333"/>
        </w:rPr>
        <w:t xml:space="preserve">Investors, journalists and the general public may access a live webcast of this event at: </w:t>
      </w:r>
      <w:r>
        <w:rPr>
          <w:rFonts w:ascii="Arial" w:cs="Arial" w:eastAsia="Arial" w:hAnsi="Arial"/>
          <w:sz w:val="18"/>
          <w:szCs w:val="18"/>
          <w:i w:val="1"/>
          <w:iCs w:val="1"/>
          <w:color w:val="337AB7"/>
        </w:rPr>
        <w:t>Q4 2022 Grand Canyon</w:t>
      </w:r>
      <w:r>
        <w:rPr>
          <w:rFonts w:ascii="Arial" w:cs="Arial" w:eastAsia="Arial" w:hAnsi="Arial"/>
          <w:sz w:val="18"/>
          <w:szCs w:val="18"/>
          <w:color w:val="333333"/>
        </w:rPr>
        <w:t xml:space="preserve"> </w:t>
      </w:r>
      <w:r>
        <w:rPr>
          <w:rFonts w:ascii="Arial" w:cs="Arial" w:eastAsia="Arial" w:hAnsi="Arial"/>
          <w:sz w:val="18"/>
          <w:szCs w:val="18"/>
          <w:i w:val="1"/>
          <w:iCs w:val="1"/>
          <w:color w:val="337AB7"/>
        </w:rPr>
        <w:t>Education Inc. Earnings Conference Call</w:t>
      </w:r>
      <w:r>
        <w:rPr>
          <w:rFonts w:ascii="Arial" w:cs="Arial" w:eastAsia="Arial" w:hAnsi="Arial"/>
          <w:sz w:val="18"/>
          <w:szCs w:val="18"/>
          <w:i w:val="1"/>
          <w:iCs w:val="1"/>
          <w:color w:val="333333"/>
        </w:rPr>
        <w:t>.</w:t>
      </w:r>
      <w:r>
        <w:rPr>
          <w:rFonts w:ascii="Arial" w:cs="Arial" w:eastAsia="Arial" w:hAnsi="Arial"/>
          <w:sz w:val="18"/>
          <w:szCs w:val="18"/>
          <w:i w:val="1"/>
          <w:iCs w:val="1"/>
          <w:color w:val="337AB7"/>
        </w:rPr>
        <w:t xml:space="preserve"> </w:t>
      </w:r>
      <w:r>
        <w:rPr>
          <w:rFonts w:ascii="Arial" w:cs="Arial" w:eastAsia="Arial" w:hAnsi="Arial"/>
          <w:sz w:val="18"/>
          <w:szCs w:val="18"/>
          <w:color w:val="333333"/>
        </w:rPr>
        <w:t>A webcast replay will be available approximately two hours following the conclusion</w:t>
      </w:r>
      <w:r>
        <w:rPr>
          <w:rFonts w:ascii="Arial" w:cs="Arial" w:eastAsia="Arial" w:hAnsi="Arial"/>
          <w:sz w:val="18"/>
          <w:szCs w:val="18"/>
          <w:i w:val="1"/>
          <w:iCs w:val="1"/>
          <w:color w:val="337AB7"/>
        </w:rPr>
        <w:t xml:space="preserve"> </w:t>
      </w:r>
      <w:r>
        <w:rPr>
          <w:rFonts w:ascii="Arial" w:cs="Arial" w:eastAsia="Arial" w:hAnsi="Arial"/>
          <w:sz w:val="18"/>
          <w:szCs w:val="18"/>
          <w:color w:val="333333"/>
        </w:rPr>
        <w:t>of the call at the same link.</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Grand Canyon Education, Inc.</w:t>
      </w:r>
    </w:p>
    <w:p>
      <w:pPr>
        <w:spacing w:after="0" w:line="32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Grand Canyon Education, Inc. (“GCE”), incorporated in 2008, is a publicly traded education services company that currently provides services to 27 university partners. GCE is uniquely positioned in the education services industry in that its leadership has over 30 years of proven expertise in providing a full array of support services in the post-secondary education sector and has developed significant technological solutions, infrastructure and operational processes to provide superior services in these areas on a large scale. GCE provides services that support students, faculty and staff of partner institutions such as marketing, strategic enrollment management, counseling services, financial services, technology, technical support, compliance, human resources, classroom operations, content development, faculty recruitment and training, among others. For more information about GCE visit the Company's website at www.gce.com.</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Grand Canyon Education, Inc., 2600 W. Camelback Road, Phoenix, AZ 85017, </w:t>
      </w:r>
      <w:r>
        <w:rPr>
          <w:rFonts w:ascii="Arial" w:cs="Arial" w:eastAsia="Arial" w:hAnsi="Arial"/>
          <w:sz w:val="18"/>
          <w:szCs w:val="18"/>
          <w:b w:val="1"/>
          <w:bCs w:val="1"/>
          <w:color w:val="auto"/>
        </w:rPr>
        <w:t>www.gce.com</w:t>
      </w:r>
      <w:r>
        <w:rPr>
          <w:rFonts w:ascii="Arial" w:cs="Arial" w:eastAsia="Arial" w:hAnsi="Arial"/>
          <w:sz w:val="18"/>
          <w:szCs w:val="18"/>
          <w:color w:val="auto"/>
        </w:rPr>
        <w: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20"/>
          </w:cols>
          <w:pgMar w:left="1260" w:top="121" w:right="13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Grand Canyon Education, Inc. Reports Fourth Quarter 2022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1940" w:type="dxa"/>
            <w:vAlign w:val="bottom"/>
            <w:gridSpan w:val="3"/>
          </w:tcPr>
          <w:p>
            <w:pPr>
              <w:jc w:val="right"/>
              <w:ind w:right="727"/>
              <w:spacing w:after="0"/>
              <w:rPr>
                <w:sz w:val="20"/>
                <w:szCs w:val="20"/>
                <w:color w:val="auto"/>
              </w:rPr>
            </w:pPr>
            <w:r>
              <w:rPr>
                <w:rFonts w:ascii="Arial" w:cs="Arial" w:eastAsia="Arial" w:hAnsi="Arial"/>
                <w:sz w:val="14"/>
                <w:szCs w:val="14"/>
                <w:b w:val="1"/>
                <w:bCs w:val="1"/>
                <w:color w:val="auto"/>
              </w:rPr>
              <w:t>(Unaudited)</w:t>
            </w:r>
          </w:p>
        </w:tc>
        <w:tc>
          <w:tcPr>
            <w:tcW w:w="1620" w:type="dxa"/>
            <w:vAlign w:val="bottom"/>
            <w:gridSpan w:val="4"/>
            <w:vMerge w:val="restart"/>
          </w:tcPr>
          <w:p>
            <w:pPr>
              <w:jc w:val="right"/>
              <w:ind w:right="131"/>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4"/>
            <w:vMerge w:val="restart"/>
          </w:tcPr>
          <w:p>
            <w:pPr>
              <w:jc w:val="right"/>
              <w:ind w:right="411"/>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08"/>
        </w:trPr>
        <w:tc>
          <w:tcPr>
            <w:tcW w:w="39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1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258,700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251,376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911,306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896,564</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150,493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132,078</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Arial" w:cs="Arial" w:eastAsia="Arial" w:hAnsi="Arial"/>
                <w:sz w:val="18"/>
                <w:szCs w:val="18"/>
                <w:color w:val="auto"/>
              </w:rPr>
              <w:t>Counseling services and support</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72,540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64,799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273,313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249,179</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196,090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182,872</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45,491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41,826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1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168,022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148,976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673,806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614,374</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102,400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237,500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282,190</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Arial" w:cs="Arial" w:eastAsia="Arial" w:hAnsi="Arial"/>
                <w:sz w:val="18"/>
                <w:szCs w:val="18"/>
                <w:color w:val="auto"/>
              </w:rPr>
              <w:t>Interest income on Secured Note</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52,090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Investment interest and other</w:t>
            </w:r>
          </w:p>
        </w:tc>
        <w:tc>
          <w:tcPr>
            <w:tcW w:w="1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108,872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240,119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331,289</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70,945</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71,027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85,113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184,675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260,344</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Basic income per share</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color w:val="auto"/>
              </w:rPr>
              <w:t>Diluted income per share</w:t>
            </w:r>
          </w:p>
        </w:tc>
        <w:tc>
          <w:tcPr>
            <w:tcW w:w="16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5.73</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197"/>
        </w:trPr>
        <w:tc>
          <w:tcPr>
            <w:tcW w:w="39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Basic weighted average shares outstanding</w:t>
            </w:r>
          </w:p>
        </w:tc>
        <w:tc>
          <w:tcPr>
            <w:tcW w:w="1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30,669</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39,571</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32,131</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43,835</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97"/>
              </w:rPr>
              <w:t>Diluted weighted average shares outstanding</w:t>
            </w: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30,835</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39,669</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32,237</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43,958</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Grand Canyon Education, Inc. Reports Fourth Quarter 2022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42"/>
        </w:trPr>
        <w:tc>
          <w:tcPr>
            <w:tcW w:w="66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ind w:left="294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(Unaudited)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120,409</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600,941</w:t>
            </w:r>
          </w:p>
        </w:tc>
        <w:tc>
          <w:tcPr>
            <w:tcW w:w="0" w:type="dxa"/>
            <w:vAlign w:val="bottom"/>
          </w:tcPr>
          <w:p>
            <w:pPr>
              <w:spacing w:after="0"/>
              <w:rPr>
                <w:sz w:val="1"/>
                <w:szCs w:val="1"/>
                <w:color w:val="auto"/>
              </w:rPr>
            </w:pPr>
          </w:p>
        </w:tc>
      </w:tr>
      <w:tr>
        <w:trPr>
          <w:trHeight w:val="216"/>
        </w:trPr>
        <w:tc>
          <w:tcPr>
            <w:tcW w:w="6620" w:type="dxa"/>
            <w:vAlign w:val="bottom"/>
          </w:tcPr>
          <w:p>
            <w:pPr>
              <w:ind w:left="32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61,295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70,063</w:t>
            </w:r>
          </w:p>
        </w:tc>
        <w:tc>
          <w:tcPr>
            <w:tcW w:w="0" w:type="dxa"/>
            <w:vAlign w:val="bottom"/>
          </w:tcPr>
          <w:p>
            <w:pPr>
              <w:spacing w:after="0"/>
              <w:rPr>
                <w:sz w:val="1"/>
                <w:szCs w:val="1"/>
                <w:color w:val="auto"/>
              </w:rPr>
            </w:pPr>
          </w:p>
        </w:tc>
      </w:tr>
      <w:tr>
        <w:trPr>
          <w:trHeight w:val="216"/>
        </w:trPr>
        <w:tc>
          <w:tcPr>
            <w:tcW w:w="6620" w:type="dxa"/>
            <w:vAlign w:val="bottom"/>
          </w:tcPr>
          <w:p>
            <w:pPr>
              <w:ind w:left="320"/>
              <w:spacing w:after="0"/>
              <w:rPr>
                <w:sz w:val="20"/>
                <w:szCs w:val="20"/>
                <w:color w:val="auto"/>
              </w:rPr>
            </w:pPr>
            <w:r>
              <w:rPr>
                <w:rFonts w:ascii="Arial" w:cs="Arial" w:eastAsia="Arial" w:hAnsi="Arial"/>
                <w:sz w:val="18"/>
                <w:szCs w:val="18"/>
                <w:color w:val="auto"/>
              </w:rPr>
              <w:t>Income taxes receivable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11,368</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273,273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681,045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147,504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136,120</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72,719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57,652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185,219</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160,766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160,766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49"/>
        </w:trPr>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832,749</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1,222,745</w:t>
            </w:r>
          </w:p>
        </w:tc>
        <w:tc>
          <w:tcPr>
            <w:tcW w:w="0" w:type="dxa"/>
            <w:vAlign w:val="bottom"/>
          </w:tcPr>
          <w:p>
            <w:pPr>
              <w:spacing w:after="0"/>
              <w:rPr>
                <w:sz w:val="1"/>
                <w:szCs w:val="1"/>
                <w:color w:val="auto"/>
              </w:rPr>
            </w:pPr>
          </w:p>
        </w:tc>
      </w:tr>
      <w:tr>
        <w:trPr>
          <w:trHeight w:val="197"/>
        </w:trPr>
        <w:tc>
          <w:tcPr>
            <w:tcW w:w="6620" w:type="dxa"/>
            <w:vAlign w:val="bottom"/>
            <w:shd w:val="clear" w:color="auto" w:fill="CCEEFF"/>
          </w:tcPr>
          <w:p>
            <w:pPr>
              <w:ind w:left="13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20,006</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24,306</w:t>
            </w:r>
          </w:p>
        </w:tc>
        <w:tc>
          <w:tcPr>
            <w:tcW w:w="0" w:type="dxa"/>
            <w:vAlign w:val="bottom"/>
          </w:tcPr>
          <w:p>
            <w:pPr>
              <w:spacing w:after="0"/>
              <w:rPr>
                <w:sz w:val="1"/>
                <w:szCs w:val="1"/>
                <w:color w:val="auto"/>
              </w:rPr>
            </w:pPr>
          </w:p>
        </w:tc>
      </w:tr>
      <w:tr>
        <w:trPr>
          <w:trHeight w:val="216"/>
        </w:trPr>
        <w:tc>
          <w:tcPr>
            <w:tcW w:w="6620" w:type="dxa"/>
            <w:vAlign w:val="bottom"/>
          </w:tcPr>
          <w:p>
            <w:pPr>
              <w:ind w:left="32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36,412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32,714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27,593</w:t>
            </w:r>
          </w:p>
        </w:tc>
        <w:tc>
          <w:tcPr>
            <w:tcW w:w="0" w:type="dxa"/>
            <w:vAlign w:val="bottom"/>
          </w:tcPr>
          <w:p>
            <w:pPr>
              <w:spacing w:after="0"/>
              <w:rPr>
                <w:sz w:val="1"/>
                <w:szCs w:val="1"/>
                <w:color w:val="auto"/>
              </w:rPr>
            </w:pPr>
          </w:p>
        </w:tc>
      </w:tr>
      <w:tr>
        <w:trPr>
          <w:trHeight w:val="216"/>
        </w:trPr>
        <w:tc>
          <w:tcPr>
            <w:tcW w:w="662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12,167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Current portion of lease liability</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8,648</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97,944</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26,195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25,962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 liability, less current portion</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68,793</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53,755</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195,130</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177,698</w:t>
            </w: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20" w:type="dxa"/>
            <w:vAlign w:val="bottom"/>
          </w:tcPr>
          <w:p>
            <w:pPr>
              <w:spacing w:after="0" w:line="201" w:lineRule="exact"/>
              <w:rPr>
                <w:sz w:val="20"/>
                <w:szCs w:val="20"/>
                <w:color w:val="auto"/>
              </w:rPr>
            </w:pPr>
            <w:r>
              <w:rPr>
                <w:rFonts w:ascii="Arial" w:cs="Arial" w:eastAsia="Arial" w:hAnsi="Arial"/>
                <w:sz w:val="18"/>
                <w:szCs w:val="18"/>
                <w:color w:val="auto"/>
                <w:w w:val="89"/>
              </w:rPr>
              <w:t>Preferred stock, $0.01 par value, 10,000 shares authorized; 0 shares issued and outstanding</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at December 31, 2022 and 2021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$0.01 par value, 100,000 shares authorized; 53,830 and 53,637 shares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w w:val="98"/>
              </w:rPr>
              <w:t>issued and 31,058 and 37,722 shares outstanding at December 31, 2022 and 2021,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2"/>
        </w:trPr>
        <w:tc>
          <w:tcPr>
            <w:tcW w:w="6620" w:type="dxa"/>
            <w:vAlign w:val="bottom"/>
          </w:tcPr>
          <w:p>
            <w:pPr>
              <w:spacing w:after="0" w:line="201" w:lineRule="exact"/>
              <w:rPr>
                <w:sz w:val="20"/>
                <w:szCs w:val="20"/>
                <w:color w:val="auto"/>
              </w:rPr>
            </w:pPr>
            <w:r>
              <w:rPr>
                <w:rFonts w:ascii="Arial" w:cs="Arial" w:eastAsia="Arial" w:hAnsi="Arial"/>
                <w:sz w:val="18"/>
                <w:szCs w:val="18"/>
                <w:color w:val="auto"/>
                <w:w w:val="91"/>
              </w:rPr>
              <w:t>Treasury stock, at cost, 22,772 and 15,915 shares of common stock at December 31, 2022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and 2021, respectively</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(1,711,423)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(1,107,211)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296,670</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2,039,727</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1,855,052</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637,619</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1,045,047</w:t>
            </w:r>
          </w:p>
        </w:tc>
        <w:tc>
          <w:tcPr>
            <w:tcW w:w="0" w:type="dxa"/>
            <w:vAlign w:val="bottom"/>
          </w:tcPr>
          <w:p>
            <w:pPr>
              <w:spacing w:after="0"/>
              <w:rPr>
                <w:sz w:val="1"/>
                <w:szCs w:val="1"/>
                <w:color w:val="auto"/>
              </w:rPr>
            </w:pPr>
          </w:p>
        </w:tc>
      </w:tr>
      <w:tr>
        <w:trPr>
          <w:trHeight w:val="209"/>
        </w:trPr>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832,749</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1,222,745</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60"/>
          </w:cols>
          <w:pgMar w:left="1260" w:top="121" w:right="1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Grand Canyon Education, Inc. Reports Fourth Quarter 2022 Results</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060" w:type="dxa"/>
            <w:vAlign w:val="bottom"/>
          </w:tcPr>
          <w:p>
            <w:pPr>
              <w:jc w:val="center"/>
              <w:ind w:left="219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7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184,675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260,344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Reversal of credit loss reserve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including fixed asset impairments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and interest receivable from university partners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assets and lease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Income taxes receivable/payable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220,819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provided by investing activities: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Additions of amortizable content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Funding to GCU</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Repayment by GCU</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1,159,912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Purchases of investments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(171,549)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sale or maturity of investments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110,039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(97,139)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Principal payments on notes payable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Repurchase of common shares and shares withheld in lieu of income taxes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Net proceeds from exercise of stock options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(604,212)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 and restricted cash</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(480,532)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355,172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beginning of period</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600,941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and restricted cash, end of period</w:t>
            </w:r>
          </w:p>
        </w:tc>
        <w:tc>
          <w:tcPr>
            <w:tcW w:w="18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120,409</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600,941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Cash paid for interest</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paid for income taxes</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Purchases of property and equipment included in accounts payable</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ind w:left="80"/>
              <w:spacing w:after="0"/>
              <w:rPr>
                <w:sz w:val="20"/>
                <w:szCs w:val="20"/>
                <w:color w:val="auto"/>
              </w:rPr>
            </w:pPr>
            <w:r>
              <w:rPr>
                <w:rFonts w:ascii="Arial" w:cs="Arial" w:eastAsia="Arial" w:hAnsi="Arial"/>
                <w:sz w:val="18"/>
                <w:szCs w:val="18"/>
                <w:color w:val="auto"/>
              </w:rPr>
              <w:t>ROU Asset and Liability recognition</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7080" w:type="dxa"/>
            <w:vAlign w:val="bottom"/>
            <w:gridSpan w:val="2"/>
          </w:tcPr>
          <w:p>
            <w:pPr>
              <w:jc w:val="right"/>
              <w:ind w:right="221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80"/>
          </w:cols>
          <w:pgMar w:left="1260" w:top="121" w:right="1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Grand Canyon Education, Inc. Reports Fourth Quarter 2022 Results</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GRAND CANYON EDUCATION,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(Non-GAAP Financial Measure)</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Adjusted EBITDA is defined as net income plus interest expense, less interest income and other gain (loss) recognized on investments, plus income tax expense, and plus depreciation and amortization (EBITDA), as adjusted for (i) contributions to private Arizona school tuition organizations in lieu of the payment of state income taxes; (ii) share-based compensation, and (iii) unusual charges or gains, such as litigation and regulatory reserves, impairment charges and asset write-offs, and exit or lease termination costs. 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17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9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spacing w:after="0" w:line="187" w:lineRule="exact"/>
        <w:rPr>
          <w:sz w:val="20"/>
          <w:szCs w:val="20"/>
          <w:color w:val="auto"/>
        </w:rPr>
      </w:pPr>
    </w:p>
    <w:p>
      <w:pPr>
        <w:ind w:left="640" w:hanging="32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expenditures for capital expenditures or contractual commitments;</w:t>
      </w:r>
    </w:p>
    <w:p>
      <w:pPr>
        <w:spacing w:after="0" w:line="225" w:lineRule="exact"/>
        <w:rPr>
          <w:rFonts w:ascii="Arial" w:cs="Arial" w:eastAsia="Arial" w:hAnsi="Arial"/>
          <w:sz w:val="18"/>
          <w:szCs w:val="18"/>
          <w:color w:val="auto"/>
        </w:rPr>
      </w:pPr>
    </w:p>
    <w:p>
      <w:pPr>
        <w:ind w:left="640" w:hanging="32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or cash requirements for, our working capital requirements;</w:t>
      </w:r>
    </w:p>
    <w:p>
      <w:pPr>
        <w:spacing w:after="0" w:line="225" w:lineRule="exact"/>
        <w:rPr>
          <w:rFonts w:ascii="Arial" w:cs="Arial" w:eastAsia="Arial" w:hAnsi="Arial"/>
          <w:sz w:val="18"/>
          <w:szCs w:val="18"/>
          <w:color w:val="auto"/>
        </w:rPr>
      </w:pPr>
    </w:p>
    <w:p>
      <w:pPr>
        <w:ind w:left="640" w:hanging="32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expense, or the cash required to replace assets that are being depreciated or amortized; and</w:t>
      </w:r>
    </w:p>
    <w:p>
      <w:pPr>
        <w:spacing w:after="0" w:line="225" w:lineRule="exact"/>
        <w:rPr>
          <w:rFonts w:ascii="Arial" w:cs="Arial" w:eastAsia="Arial" w:hAnsi="Arial"/>
          <w:sz w:val="18"/>
          <w:szCs w:val="18"/>
          <w:color w:val="auto"/>
        </w:rPr>
      </w:pPr>
    </w:p>
    <w:p>
      <w:pPr>
        <w:ind w:left="640" w:right="60" w:hanging="323"/>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on our reported results of earnings or charges resulting from the items for which we make adjustments to our EBITDA, as described above and set forth in the table below.</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and reported under GAAP, or as an alternative to cash flow from operating activities or as a measure of our liquidity. We compensate for these limitations by relying primarily on our GAAP results and only use Adjusted EBITDA as a supplemental performance measure.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40"/>
          </w:cols>
          <w:pgMar w:left="1260" w:top="121" w:right="1299" w:bottom="1440" w:gutter="0" w:footer="0" w:header="0"/>
        </w:sectPr>
      </w:pPr>
    </w:p>
    <w:bookmarkStart w:id="15" w:name="page16"/>
    <w:bookmarkEnd w:id="15"/>
    <w:p>
      <w:pPr>
        <w:ind w:right="80"/>
        <w:spacing w:after="0" w:line="277" w:lineRule="auto"/>
        <w:rPr>
          <w:sz w:val="20"/>
          <w:szCs w:val="20"/>
          <w:color w:val="auto"/>
        </w:rPr>
      </w:pPr>
      <w:r>
        <w:rPr>
          <w:rFonts w:ascii="Arial" w:cs="Arial" w:eastAsia="Arial" w:hAnsi="Arial"/>
          <w:sz w:val="18"/>
          <w:szCs w:val="18"/>
          <w:color w:val="auto"/>
        </w:rPr>
        <w:t>The following table provides a reconciliation of net income to Adjusted EBITDA, which is a non-GAAP measure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174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74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74"/>
              </w:rPr>
              <w:t>in</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80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28"/>
        </w:trPr>
        <w:tc>
          <w:tcPr>
            <w:tcW w:w="45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(Unaudited,</w:t>
            </w:r>
          </w:p>
        </w:tc>
        <w:tc>
          <w:tcPr>
            <w:tcW w:w="140" w:type="dxa"/>
            <w:vAlign w:val="bottom"/>
            <w:vMerge w:val="continue"/>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thousands)</w:t>
            </w:r>
          </w:p>
        </w:tc>
        <w:tc>
          <w:tcPr>
            <w:tcW w:w="140" w:type="dxa"/>
            <w:vAlign w:val="bottom"/>
          </w:tcPr>
          <w:p>
            <w:pPr>
              <w:spacing w:after="0"/>
              <w:rPr>
                <w:sz w:val="11"/>
                <w:szCs w:val="11"/>
                <w:color w:val="auto"/>
              </w:rPr>
            </w:pPr>
          </w:p>
        </w:tc>
        <w:tc>
          <w:tcPr>
            <w:tcW w:w="174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w w:val="98"/>
              </w:rPr>
              <w:t>(Unaudited, in thousands)</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$ 184,675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$ 260,344</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Plus: interest expense</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Less: interest income on Secured Note</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(52,090)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Less: investment interest and other</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(2,621)</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55,444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70,945</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Plus: amortization of intangible assets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8,419</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Plus: depreciation and amortization</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22,758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21,994</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EBITDA</w:t>
            </w:r>
          </w:p>
        </w:tc>
        <w:tc>
          <w:tcPr>
            <w:tcW w:w="1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98,517</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110,097</w:t>
            </w:r>
          </w:p>
        </w:tc>
        <w:tc>
          <w:tcPr>
            <w:tcW w:w="1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268,677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312,603</w:t>
            </w: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Plus: contributions in lieu of state income taxes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Plus: loss on fixed asset disposal</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Less: reversal of credit loss reserve</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Plus: share-based compensation</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2,811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12,642</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11,526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Plus: litigation and regulatory reserves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Arial" w:cs="Arial" w:eastAsia="Arial" w:hAnsi="Arial"/>
                <w:sz w:val="18"/>
                <w:szCs w:val="18"/>
                <w:color w:val="auto"/>
              </w:rPr>
              <w:t>Adjusted EBITDA</w:t>
            </w:r>
          </w:p>
        </w:tc>
        <w:tc>
          <w:tcPr>
            <w:tcW w:w="1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102,221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108,970</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$ 291,336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$ 327,354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Net Income and Non-GAAP Diluted Income Per Share</w:t>
      </w:r>
    </w:p>
    <w:p>
      <w:pPr>
        <w:spacing w:after="0" w:line="18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Company believes the presentation of non-GAAP net income and non-GAAP diluted income per share information that excludes amortization of intangible assets, loss on disposal of fixed assets, the reversal of credit loss reserve and the write off of deferred loan costs upon repayment of the credit facility, allows investors to develop a more meaningful understanding of the Company’s performance over time. Accordingly, for the three-months and years ended December 31, 2022 and 2021, the table below provides reconciliations of these non-GAAP items to GAAP net income and GAAP diluted income per share, respectively: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360" w:type="dxa"/>
            <w:vAlign w:val="bottom"/>
            <w:gridSpan w:val="13"/>
          </w:tcPr>
          <w:p>
            <w:pPr>
              <w:jc w:val="right"/>
              <w:ind w:right="171"/>
              <w:spacing w:after="0" w:line="129" w:lineRule="exact"/>
              <w:rPr>
                <w:sz w:val="20"/>
                <w:szCs w:val="20"/>
                <w:color w:val="auto"/>
              </w:rPr>
            </w:pPr>
            <w:r>
              <w:rPr>
                <w:rFonts w:ascii="Arial" w:cs="Arial" w:eastAsia="Arial" w:hAnsi="Arial"/>
                <w:sz w:val="14"/>
                <w:szCs w:val="14"/>
                <w:b w:val="1"/>
                <w:bCs w:val="1"/>
                <w:color w:val="auto"/>
                <w:w w:val="96"/>
              </w:rPr>
              <w:t>(Unaudited, in thousands except per share data)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71,027</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85,113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184,675</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260,344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disposal of fixed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Reversal of credit loss reserve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(5,000)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Write off remaining deferred loan costs upon repayment of credit facility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Income tax effects of adjustments(1)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(2,232)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 Adjusted, Non-GAAP Net income</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72,724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83,653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192,111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263,839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GAAP Diluted income per 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Amortization of intangible assets (2)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disposal of fixed assets (3)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Reversal of credit loss reserve (4)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Write off remaining deferred loan costs upon repayment of credit facility (5)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gridSpan w:val="3"/>
          </w:tcPr>
          <w:p>
            <w:pPr>
              <w:spacing w:after="0"/>
              <w:rPr>
                <w:sz w:val="20"/>
                <w:szCs w:val="20"/>
                <w:color w:val="auto"/>
              </w:rPr>
            </w:pPr>
            <w:r>
              <w:rPr>
                <w:rFonts w:ascii="Arial" w:cs="Arial" w:eastAsia="Arial" w:hAnsi="Arial"/>
                <w:sz w:val="18"/>
                <w:szCs w:val="18"/>
                <w:color w:val="auto"/>
              </w:rPr>
              <w:t>As Adjusted, Non-GAAP Diluted income per share</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40" w:right="340" w:hanging="323"/>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income tax effects of adjustments are based on the effective income tax rate applicable to adjusted (non-GAAP) results.</w:t>
      </w:r>
    </w:p>
    <w:p>
      <w:pPr>
        <w:spacing w:after="0" w:line="143" w:lineRule="exact"/>
        <w:rPr>
          <w:rFonts w:ascii="Arial" w:cs="Arial" w:eastAsia="Arial" w:hAnsi="Arial"/>
          <w:sz w:val="18"/>
          <w:szCs w:val="18"/>
          <w:color w:val="auto"/>
        </w:rPr>
      </w:pPr>
    </w:p>
    <w:p>
      <w:pPr>
        <w:ind w:left="640" w:hanging="323"/>
        <w:spacing w:after="0" w:line="263"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amortization of acquired intangible assets per diluted share is net of an income tax benefit of $0.02 and $0.01 for the three months ended December 31, 2022 and 2021, respectively, and net of an income tax benefit of $0.06 and $0.04 for the year ended December 31, 2022 and 2021,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9575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57570" cy="17145"/>
                    </a:xfrm>
                    <a:prstGeom prst="rect">
                      <a:avLst/>
                    </a:prstGeom>
                    <a:noFill/>
                  </pic:spPr>
                </pic:pic>
              </a:graphicData>
            </a:graphic>
          </wp:anchor>
        </w:drawing>
      </w:r>
    </w:p>
    <w:p>
      <w:pPr>
        <w:sectPr>
          <w:pgSz w:w="11900" w:h="16838" w:orient="portrait"/>
          <w:cols w:equalWidth="0" w:num="1">
            <w:col w:w="9360"/>
          </w:cols>
          <w:pgMar w:left="1260" w:top="125" w:right="1279" w:bottom="1440" w:gutter="0" w:footer="0" w:header="0"/>
        </w:sectPr>
      </w:pPr>
    </w:p>
    <w:bookmarkStart w:id="16" w:name="page17"/>
    <w:bookmarkEnd w:id="16"/>
    <w:p>
      <w:pPr>
        <w:ind w:left="460" w:right="240" w:hanging="323"/>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loss on disposal of fixed assets per diluted share is net of an income tax benefit of nil for the three months ended December 31, 2022 and net of an income tax benefit of $0.01 for the year ended December 31, 2022.</w:t>
      </w:r>
    </w:p>
    <w:p>
      <w:pPr>
        <w:spacing w:after="0" w:line="105" w:lineRule="exact"/>
        <w:rPr>
          <w:rFonts w:ascii="Arial" w:cs="Arial" w:eastAsia="Arial" w:hAnsi="Arial"/>
          <w:sz w:val="17"/>
          <w:szCs w:val="17"/>
          <w:color w:val="auto"/>
        </w:rPr>
      </w:pPr>
    </w:p>
    <w:p>
      <w:pPr>
        <w:ind w:left="460" w:right="60" w:hanging="323"/>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reversal of credit loss reserve per diluted share is net of an income tax expense of $0.03 for the three months ended December 31, 2021, and net of an income tax expense of $0.02 for the year ended December 31, 2021.</w:t>
      </w:r>
    </w:p>
    <w:p>
      <w:pPr>
        <w:spacing w:after="0" w:line="119" w:lineRule="exact"/>
        <w:rPr>
          <w:rFonts w:ascii="Arial" w:cs="Arial" w:eastAsia="Arial" w:hAnsi="Arial"/>
          <w:sz w:val="17"/>
          <w:szCs w:val="17"/>
          <w:color w:val="auto"/>
        </w:rPr>
      </w:pPr>
    </w:p>
    <w:p>
      <w:pPr>
        <w:ind w:left="460" w:hanging="323"/>
        <w:spacing w:after="0" w:line="26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write off of remaining deferred loan costs upon repayment of the credit facility per diluted share is net of an income tax benefit of $0.01 for the three months ended December 31, 2021, and net of an income tax benefit of $0.01 for the year ended December 31, 2021.</w:t>
      </w:r>
    </w:p>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357505</wp:posOffset>
            </wp:positionV>
            <wp:extent cx="59575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57570" cy="17145"/>
                    </a:xfrm>
                    <a:prstGeom prst="rect">
                      <a:avLst/>
                    </a:prstGeom>
                    <a:noFill/>
                  </pic:spPr>
                </pic:pic>
              </a:graphicData>
            </a:graphic>
          </wp:anchor>
        </w:drawing>
      </w:r>
    </w:p>
    <w:sectPr>
      <w:pgSz w:w="11900" w:h="16838" w:orient="portrait"/>
      <w:cols w:equalWidth="0" w:num="1">
        <w:col w:w="9120"/>
      </w:cols>
      <w:pgMar w:left="1440" w:top="125"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2023-02-16T15:21:39Z</dcterms:created>
  <dcterms:modified xsi:type="dcterms:W3CDTF">2023-02-16T15:21:39Z</dcterms:modified>
</cp:coreProperties>
</file>