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25"/>
          <w:szCs w:val="25"/>
          <w:color w:val="auto"/>
        </w:rPr>
        <w:t>SCHEDULE 13G*</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(Rule 13d-102)</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TO § 240.13d-1(b), (c), AND (d) AND AMENDMENTS THERETO FILED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 240.13d-2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12/31/2020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the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20" w:right="9280" w:hanging="2"/>
        <w:spacing w:after="0" w:line="311" w:lineRule="auto"/>
        <w:tabs>
          <w:tab w:leader="none" w:pos="904"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4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 xml:space="preserve">CUSIP: </w:t>
      </w:r>
      <w:r>
        <w:rPr>
          <w:rFonts w:ascii="Arial" w:cs="Arial" w:eastAsia="Arial" w:hAnsi="Arial"/>
          <w:sz w:val="16"/>
          <w:szCs w:val="16"/>
          <w:color w:val="auto"/>
        </w:rPr>
        <w:t>38526M106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32320" cy="7397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7397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2</w:t>
      </w:r>
    </w:p>
    <w:p>
      <w:pPr>
        <w:spacing w:after="0" w:line="207" w:lineRule="exact"/>
        <w:rPr>
          <w:sz w:val="20"/>
          <w:szCs w:val="20"/>
          <w:color w:val="auto"/>
        </w:rPr>
      </w:pPr>
    </w:p>
    <w:p>
      <w:pPr>
        <w:sectPr>
          <w:pgSz w:w="11900" w:h="16838" w:orient="portrait"/>
          <w:cols w:equalWidth="0" w:num="2">
            <w:col w:w="9900" w:space="720"/>
            <w:col w:w="480"/>
          </w:cols>
          <w:pgMar w:left="340" w:top="702" w:right="45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1000" w:right="6840" w:hanging="627"/>
        <w:spacing w:after="0" w:line="538" w:lineRule="auto"/>
        <w:tabs>
          <w:tab w:leader="none" w:pos="100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PERSONS William Blair Investment Management, LLC</w:t>
      </w:r>
    </w:p>
    <w:p>
      <w:pPr>
        <w:spacing w:after="0" w:line="1" w:lineRule="exact"/>
        <w:rPr>
          <w:rFonts w:ascii="Arial" w:cs="Arial" w:eastAsia="Arial" w:hAnsi="Arial"/>
          <w:sz w:val="17"/>
          <w:szCs w:val="17"/>
          <w:color w:val="auto"/>
        </w:rPr>
      </w:pPr>
    </w:p>
    <w:p>
      <w:pPr>
        <w:ind w:left="1000" w:right="5120" w:hanging="627"/>
        <w:spacing w:after="0" w:line="258"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jc w:val="both"/>
        <w:ind w:left="10580"/>
        <w:spacing w:after="0"/>
        <w:tabs>
          <w:tab w:leader="none" w:pos="1098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560"/>
        <w:spacing w:after="0"/>
        <w:tabs>
          <w:tab w:leader="none" w:pos="10980" w:val="left"/>
        </w:tabs>
        <w:rPr>
          <w:sz w:val="20"/>
          <w:szCs w:val="20"/>
          <w:color w:val="auto"/>
        </w:rPr>
      </w:pPr>
      <w:r>
        <w:rPr>
          <w:rFonts w:ascii="Arial" w:cs="Arial" w:eastAsia="Arial" w:hAnsi="Arial"/>
          <w:sz w:val="18"/>
          <w:szCs w:val="18"/>
          <w:color w:val="auto"/>
        </w:rPr>
        <w:t>(b)</w:t>
        <w:tab/>
        <w:t>o</w:t>
      </w:r>
    </w:p>
    <w:p>
      <w:pPr>
        <w:spacing w:after="0" w:line="200" w:lineRule="exact"/>
        <w:rPr>
          <w:sz w:val="20"/>
          <w:szCs w:val="20"/>
          <w:color w:val="auto"/>
        </w:rPr>
      </w:pPr>
    </w:p>
    <w:p>
      <w:pPr>
        <w:spacing w:after="0" w:line="240" w:lineRule="exact"/>
        <w:rPr>
          <w:sz w:val="20"/>
          <w:szCs w:val="20"/>
          <w:color w:val="auto"/>
        </w:rPr>
      </w:pPr>
    </w:p>
    <w:p>
      <w:pPr>
        <w:ind w:left="1000" w:hanging="62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00" w:right="6420" w:hanging="627"/>
        <w:spacing w:after="0" w:line="508"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ectPr>
          <w:pgSz w:w="11900" w:h="16838" w:orient="portrait"/>
          <w:cols w:equalWidth="0" w:num="1">
            <w:col w:w="11100"/>
          </w:cols>
          <w:pgMar w:left="340" w:top="702"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left="399"/>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399"/>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399"/>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399"/>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399"/>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399"/>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399"/>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399"/>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ind w:left="579" w:right="4900" w:hanging="579"/>
        <w:spacing w:after="0" w:line="508" w:lineRule="auto"/>
        <w:tabs>
          <w:tab w:leader="none" w:pos="579"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3,627,237</w:t>
      </w:r>
    </w:p>
    <w:p>
      <w:pPr>
        <w:spacing w:after="0" w:line="1" w:lineRule="exact"/>
        <w:rPr>
          <w:rFonts w:ascii="Arial" w:cs="Arial" w:eastAsia="Arial" w:hAnsi="Arial"/>
          <w:sz w:val="18"/>
          <w:szCs w:val="18"/>
          <w:color w:val="auto"/>
        </w:rPr>
      </w:pPr>
    </w:p>
    <w:p>
      <w:pPr>
        <w:ind w:left="579" w:right="4620" w:hanging="579"/>
        <w:spacing w:after="0" w:line="508" w:lineRule="auto"/>
        <w:tabs>
          <w:tab w:leader="none" w:pos="579"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579" w:right="4500" w:hanging="579"/>
        <w:spacing w:after="0" w:line="508" w:lineRule="auto"/>
        <w:tabs>
          <w:tab w:leader="none" w:pos="579"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4,081,286</w:t>
      </w:r>
    </w:p>
    <w:p>
      <w:pPr>
        <w:spacing w:after="0" w:line="1" w:lineRule="exact"/>
        <w:rPr>
          <w:rFonts w:ascii="Arial" w:cs="Arial" w:eastAsia="Arial" w:hAnsi="Arial"/>
          <w:sz w:val="18"/>
          <w:szCs w:val="18"/>
          <w:color w:val="auto"/>
        </w:rPr>
      </w:pPr>
    </w:p>
    <w:p>
      <w:pPr>
        <w:ind w:left="579" w:right="4220" w:hanging="579"/>
        <w:spacing w:after="0" w:line="527" w:lineRule="auto"/>
        <w:tabs>
          <w:tab w:leader="none" w:pos="579"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84" w:lineRule="exact"/>
        <w:rPr>
          <w:sz w:val="20"/>
          <w:szCs w:val="20"/>
          <w:color w:val="auto"/>
        </w:rPr>
      </w:pPr>
    </w:p>
    <w:p>
      <w:pPr>
        <w:sectPr>
          <w:pgSz w:w="11900" w:h="16838" w:orient="portrait"/>
          <w:cols w:equalWidth="0" w:num="2">
            <w:col w:w="3041" w:space="720"/>
            <w:col w:w="7339"/>
          </w:cols>
          <w:pgMar w:left="340" w:top="702" w:right="459" w:bottom="1440" w:gutter="0" w:footer="0" w:header="0"/>
          <w:type w:val="continuous"/>
        </w:sectPr>
      </w:pPr>
    </w:p>
    <w:p>
      <w:pPr>
        <w:ind w:left="1000" w:right="3540" w:hanging="627"/>
        <w:spacing w:after="0" w:line="508"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4,081,286</w:t>
      </w:r>
    </w:p>
    <w:p>
      <w:pPr>
        <w:spacing w:after="0" w:line="1" w:lineRule="exact"/>
        <w:rPr>
          <w:sz w:val="20"/>
          <w:szCs w:val="20"/>
          <w:color w:val="auto"/>
        </w:rPr>
      </w:pPr>
    </w:p>
    <w:p>
      <w:pPr>
        <w:ind w:left="1000" w:right="3460" w:hanging="672"/>
        <w:spacing w:after="0" w:line="258"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w:t>
      </w:r>
    </w:p>
    <w:p>
      <w:pPr>
        <w:spacing w:after="0" w:line="224" w:lineRule="exact"/>
        <w:rPr>
          <w:sz w:val="20"/>
          <w:szCs w:val="20"/>
          <w:color w:val="auto"/>
        </w:rPr>
      </w:pPr>
    </w:p>
    <w:p>
      <w:pPr>
        <w:ind w:left="1000" w:right="5040" w:hanging="669"/>
        <w:spacing w:after="0" w:line="508"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8"/>
          <w:szCs w:val="18"/>
          <w:color w:val="2A2A2A"/>
        </w:rPr>
        <w:t>8.70%</w:t>
      </w:r>
    </w:p>
    <w:p>
      <w:pPr>
        <w:spacing w:after="0" w:line="1" w:lineRule="exact"/>
        <w:rPr>
          <w:rFonts w:ascii="Arial" w:cs="Arial" w:eastAsia="Arial" w:hAnsi="Arial"/>
          <w:sz w:val="18"/>
          <w:szCs w:val="18"/>
          <w:color w:val="auto"/>
        </w:rPr>
      </w:pPr>
    </w:p>
    <w:p>
      <w:pPr>
        <w:ind w:left="1000" w:right="5760" w:hanging="672"/>
        <w:spacing w:after="0" w:line="52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40" w:top="702" w:right="459" w:bottom="1440" w:gutter="0" w:footer="0" w:header="0"/>
          <w:type w:val="continuous"/>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206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38526M106</w:t>
            </w:r>
          </w:p>
        </w:tc>
        <w:tc>
          <w:tcPr>
            <w:tcW w:w="370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Arial" w:cs="Arial" w:eastAsia="Arial" w:hAnsi="Arial"/>
                <w:sz w:val="18"/>
                <w:szCs w:val="18"/>
                <w:color w:val="auto"/>
                <w:w w:val="98"/>
              </w:rPr>
              <w:t>Page 3</w:t>
            </w:r>
          </w:p>
        </w:tc>
      </w:tr>
      <w:tr>
        <w:trPr>
          <w:trHeight w:val="627"/>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1(a).</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Name of Issuer:</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Grand Canyon Education, Inc.</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1(b).</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2600 W. Camelback Road, Phoenix, AZ 85017</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2(a).</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Name of Person Filing:</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William Blair Investment Management, LLC</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2(b).</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150 North Riverside Plaza, Chicago, IL 60606</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2(c).</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Citizenship:</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Delaware</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2(d).</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Common Stock</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2(e).</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CUSIP Number:</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38526M106</w:t>
            </w:r>
          </w:p>
        </w:tc>
      </w:tr>
      <w:tr>
        <w:trPr>
          <w:trHeight w:val="414"/>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3.</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w w:val="92"/>
              </w:rPr>
              <w:t>If this statement is filed pursuant to §§ 240.13d-1(b), or 240.13d-2(b) or (c), check whether the person filing is</w:t>
            </w:r>
          </w:p>
        </w:tc>
      </w:tr>
      <w:tr>
        <w:trPr>
          <w:trHeight w:val="234"/>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a:</w:t>
            </w:r>
          </w:p>
        </w:tc>
      </w:tr>
    </w:tbl>
    <w:p>
      <w:pPr>
        <w:spacing w:after="0" w:line="202" w:lineRule="exact"/>
        <w:rPr>
          <w:sz w:val="20"/>
          <w:szCs w:val="20"/>
          <w:color w:val="auto"/>
        </w:rPr>
      </w:pPr>
    </w:p>
    <w:p>
      <w:pPr>
        <w:ind w:left="3160" w:hanging="430"/>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76" w:lineRule="exact"/>
        <w:rPr>
          <w:rFonts w:ascii="Arial" w:cs="Arial" w:eastAsia="Arial" w:hAnsi="Arial"/>
          <w:sz w:val="18"/>
          <w:szCs w:val="18"/>
          <w:color w:val="auto"/>
        </w:rPr>
      </w:pPr>
    </w:p>
    <w:p>
      <w:pPr>
        <w:ind w:left="3160" w:hanging="435"/>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76" w:lineRule="exact"/>
        <w:rPr>
          <w:rFonts w:ascii="Arial" w:cs="Arial" w:eastAsia="Arial" w:hAnsi="Arial"/>
          <w:sz w:val="18"/>
          <w:szCs w:val="18"/>
          <w:color w:val="auto"/>
        </w:rPr>
      </w:pPr>
    </w:p>
    <w:p>
      <w:pPr>
        <w:ind w:left="3160" w:hanging="430"/>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76" w:lineRule="exact"/>
        <w:rPr>
          <w:rFonts w:ascii="Arial" w:cs="Arial" w:eastAsia="Arial" w:hAnsi="Arial"/>
          <w:sz w:val="18"/>
          <w:szCs w:val="18"/>
          <w:color w:val="auto"/>
        </w:rPr>
      </w:pPr>
    </w:p>
    <w:p>
      <w:pPr>
        <w:ind w:left="3820" w:right="220" w:hanging="1095"/>
        <w:spacing w:after="0" w:line="277" w:lineRule="auto"/>
        <w:tabs>
          <w:tab w:leader="none" w:pos="3159" w:val="left"/>
        </w:tabs>
        <w:numPr>
          <w:ilvl w:val="0"/>
          <w:numId w:val="8"/>
        </w:numPr>
        <w:rPr>
          <w:rFonts w:ascii="Arial" w:cs="Arial" w:eastAsia="Arial" w:hAnsi="Arial"/>
          <w:sz w:val="18"/>
          <w:szCs w:val="18"/>
          <w:color w:val="auto"/>
        </w:rPr>
      </w:pPr>
      <w:r>
        <w:rPr>
          <w:rFonts w:ascii="Arial" w:cs="Arial" w:eastAsia="Arial" w:hAnsi="Arial"/>
          <w:sz w:val="18"/>
          <w:szCs w:val="18"/>
          <w:color w:val="auto"/>
        </w:rPr>
        <w:t>oInvestment company registered under Section 8 of the Investment Company Act of 1940 (15 U.S.C. 80a-8);</w:t>
      </w:r>
    </w:p>
    <w:p>
      <w:pPr>
        <w:spacing w:after="0" w:line="21" w:lineRule="exact"/>
        <w:rPr>
          <w:rFonts w:ascii="Arial" w:cs="Arial" w:eastAsia="Arial" w:hAnsi="Arial"/>
          <w:sz w:val="18"/>
          <w:szCs w:val="18"/>
          <w:color w:val="auto"/>
        </w:rPr>
      </w:pPr>
    </w:p>
    <w:p>
      <w:pPr>
        <w:ind w:left="3160" w:hanging="430"/>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 240.13d-1(b)(1)(ii)(E);</w:t>
      </w:r>
    </w:p>
    <w:p>
      <w:pPr>
        <w:spacing w:after="0" w:line="76" w:lineRule="exact"/>
        <w:rPr>
          <w:rFonts w:ascii="Arial" w:cs="Arial" w:eastAsia="Arial" w:hAnsi="Arial"/>
          <w:sz w:val="18"/>
          <w:szCs w:val="18"/>
          <w:color w:val="auto"/>
        </w:rPr>
      </w:pPr>
    </w:p>
    <w:p>
      <w:pPr>
        <w:ind w:left="3160" w:hanging="420"/>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 240.13d-1(b)(1)(ii)(F);</w:t>
      </w:r>
    </w:p>
    <w:p>
      <w:pPr>
        <w:spacing w:after="0" w:line="76" w:lineRule="exact"/>
        <w:rPr>
          <w:rFonts w:ascii="Arial" w:cs="Arial" w:eastAsia="Arial" w:hAnsi="Arial"/>
          <w:sz w:val="18"/>
          <w:szCs w:val="18"/>
          <w:color w:val="auto"/>
        </w:rPr>
      </w:pPr>
    </w:p>
    <w:p>
      <w:pPr>
        <w:ind w:left="3160" w:hanging="435"/>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76" w:lineRule="exact"/>
        <w:rPr>
          <w:rFonts w:ascii="Arial" w:cs="Arial" w:eastAsia="Arial" w:hAnsi="Arial"/>
          <w:sz w:val="18"/>
          <w:szCs w:val="18"/>
          <w:color w:val="auto"/>
        </w:rPr>
      </w:pPr>
    </w:p>
    <w:p>
      <w:pPr>
        <w:ind w:left="3820" w:right="440" w:hanging="1095"/>
        <w:spacing w:after="0" w:line="277" w:lineRule="auto"/>
        <w:tabs>
          <w:tab w:leader="none" w:pos="3159"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savings association as defined in Section 3(b) of the Federal Deposit Insurance Act (12 U.S.C. 1813);</w:t>
      </w:r>
    </w:p>
    <w:p>
      <w:pPr>
        <w:spacing w:after="0" w:line="22" w:lineRule="exact"/>
        <w:rPr>
          <w:sz w:val="20"/>
          <w:szCs w:val="20"/>
          <w:color w:val="auto"/>
        </w:rPr>
      </w:pPr>
    </w:p>
    <w:p>
      <w:pPr>
        <w:ind w:left="3820" w:right="200" w:hanging="1076"/>
        <w:spacing w:after="0" w:line="277" w:lineRule="auto"/>
        <w:tabs>
          <w:tab w:leader="none" w:pos="3159"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(15 U.S.C. 80a-3);</w:t>
      </w:r>
    </w:p>
    <w:p>
      <w:pPr>
        <w:spacing w:after="0" w:line="21" w:lineRule="exact"/>
        <w:rPr>
          <w:rFonts w:ascii="Arial" w:cs="Arial" w:eastAsia="Arial" w:hAnsi="Arial"/>
          <w:sz w:val="18"/>
          <w:szCs w:val="18"/>
          <w:color w:val="auto"/>
        </w:rPr>
      </w:pPr>
    </w:p>
    <w:p>
      <w:pPr>
        <w:ind w:left="3160" w:hanging="416"/>
        <w:spacing w:after="0"/>
        <w:tabs>
          <w:tab w:leader="none" w:pos="3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77" w:lineRule="exact"/>
        <w:rPr>
          <w:sz w:val="20"/>
          <w:szCs w:val="20"/>
          <w:color w:val="auto"/>
        </w:rPr>
      </w:pPr>
    </w:p>
    <w:p>
      <w:pPr>
        <w:ind w:left="3160" w:hanging="435"/>
        <w:spacing w:after="0"/>
        <w:tabs>
          <w:tab w:leader="none" w:pos="3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 240.13d-1(b)(1)(ii)(K).</w:t>
      </w:r>
    </w:p>
    <w:p>
      <w:pPr>
        <w:spacing w:after="0" w:line="29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200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38526M106</w:t>
            </w:r>
          </w:p>
        </w:tc>
        <w:tc>
          <w:tcPr>
            <w:tcW w:w="98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Arial" w:cs="Arial" w:eastAsia="Arial" w:hAnsi="Arial"/>
                <w:sz w:val="18"/>
                <w:szCs w:val="18"/>
                <w:color w:val="auto"/>
                <w:w w:val="98"/>
              </w:rPr>
              <w:t>Page 4</w:t>
            </w:r>
          </w:p>
        </w:tc>
      </w:tr>
      <w:tr>
        <w:trPr>
          <w:trHeight w:val="627"/>
        </w:trPr>
        <w:tc>
          <w:tcPr>
            <w:tcW w:w="2000" w:type="dxa"/>
            <w:vAlign w:val="bottom"/>
          </w:tcPr>
          <w:p>
            <w:pPr>
              <w:ind w:left="100"/>
              <w:spacing w:after="0"/>
              <w:rPr>
                <w:sz w:val="20"/>
                <w:szCs w:val="20"/>
                <w:color w:val="auto"/>
              </w:rPr>
            </w:pPr>
            <w:r>
              <w:rPr>
                <w:rFonts w:ascii="Arial" w:cs="Arial" w:eastAsia="Arial" w:hAnsi="Arial"/>
                <w:sz w:val="18"/>
                <w:szCs w:val="18"/>
                <w:b w:val="1"/>
                <w:bCs w:val="1"/>
                <w:color w:val="auto"/>
              </w:rPr>
              <w:t>Item 4.</w:t>
            </w:r>
          </w:p>
        </w:tc>
        <w:tc>
          <w:tcPr>
            <w:tcW w:w="9240" w:type="dxa"/>
            <w:vAlign w:val="bottom"/>
            <w:gridSpan w:val="3"/>
          </w:tcPr>
          <w:p>
            <w:pPr>
              <w:ind w:left="460"/>
              <w:spacing w:after="0"/>
              <w:rPr>
                <w:sz w:val="20"/>
                <w:szCs w:val="20"/>
                <w:color w:val="auto"/>
              </w:rPr>
            </w:pPr>
            <w:r>
              <w:rPr>
                <w:rFonts w:ascii="Arial" w:cs="Arial" w:eastAsia="Arial" w:hAnsi="Arial"/>
                <w:sz w:val="18"/>
                <w:szCs w:val="18"/>
                <w:b w:val="1"/>
                <w:bCs w:val="1"/>
                <w:color w:val="auto"/>
              </w:rPr>
              <w:t>Ownership:</w:t>
            </w:r>
          </w:p>
        </w:tc>
      </w:tr>
      <w:tr>
        <w:trPr>
          <w:trHeight w:val="216"/>
        </w:trPr>
        <w:tc>
          <w:tcPr>
            <w:tcW w:w="2000" w:type="dxa"/>
            <w:vAlign w:val="bottom"/>
          </w:tcPr>
          <w:p>
            <w:pPr>
              <w:spacing w:after="0"/>
              <w:rPr>
                <w:sz w:val="18"/>
                <w:szCs w:val="18"/>
                <w:color w:val="auto"/>
              </w:rPr>
            </w:pPr>
          </w:p>
        </w:tc>
        <w:tc>
          <w:tcPr>
            <w:tcW w:w="9240" w:type="dxa"/>
            <w:vAlign w:val="bottom"/>
            <w:gridSpan w:val="3"/>
          </w:tcPr>
          <w:p>
            <w:pPr>
              <w:ind w:left="460"/>
              <w:spacing w:after="0"/>
              <w:rPr>
                <w:sz w:val="20"/>
                <w:szCs w:val="20"/>
                <w:color w:val="auto"/>
              </w:rPr>
            </w:pPr>
            <w:r>
              <w:rPr>
                <w:rFonts w:ascii="Arial" w:cs="Arial" w:eastAsia="Arial" w:hAnsi="Arial"/>
                <w:sz w:val="18"/>
                <w:szCs w:val="18"/>
                <w:color w:val="auto"/>
                <w:w w:val="91"/>
              </w:rPr>
              <w:t>Provide the following information regarding the aggregate number and percentage of the class of securities of the issuer</w:t>
            </w:r>
          </w:p>
        </w:tc>
      </w:tr>
      <w:tr>
        <w:trPr>
          <w:trHeight w:val="230"/>
        </w:trPr>
        <w:tc>
          <w:tcPr>
            <w:tcW w:w="2000" w:type="dxa"/>
            <w:vAlign w:val="bottom"/>
          </w:tcPr>
          <w:p>
            <w:pPr>
              <w:spacing w:after="0"/>
              <w:rPr>
                <w:sz w:val="20"/>
                <w:szCs w:val="20"/>
                <w:color w:val="auto"/>
              </w:rPr>
            </w:pPr>
          </w:p>
        </w:tc>
        <w:tc>
          <w:tcPr>
            <w:tcW w:w="9240" w:type="dxa"/>
            <w:vAlign w:val="bottom"/>
            <w:gridSpan w:val="3"/>
          </w:tcPr>
          <w:p>
            <w:pPr>
              <w:ind w:left="460"/>
              <w:spacing w:after="0"/>
              <w:rPr>
                <w:sz w:val="20"/>
                <w:szCs w:val="20"/>
                <w:color w:val="auto"/>
              </w:rPr>
            </w:pPr>
            <w:r>
              <w:rPr>
                <w:rFonts w:ascii="Arial" w:cs="Arial" w:eastAsia="Arial" w:hAnsi="Arial"/>
                <w:sz w:val="18"/>
                <w:szCs w:val="18"/>
                <w:color w:val="auto"/>
              </w:rPr>
              <w:t>identified in Item 1.</w:t>
            </w:r>
          </w:p>
        </w:tc>
      </w:tr>
      <w:tr>
        <w:trPr>
          <w:trHeight w:val="432"/>
        </w:trPr>
        <w:tc>
          <w:tcPr>
            <w:tcW w:w="2000" w:type="dxa"/>
            <w:vAlign w:val="bottom"/>
          </w:tcPr>
          <w:p>
            <w:pPr>
              <w:spacing w:after="0"/>
              <w:rPr>
                <w:sz w:val="24"/>
                <w:szCs w:val="24"/>
                <w:color w:val="auto"/>
              </w:rPr>
            </w:pPr>
          </w:p>
        </w:tc>
        <w:tc>
          <w:tcPr>
            <w:tcW w:w="980" w:type="dxa"/>
            <w:vAlign w:val="bottom"/>
          </w:tcPr>
          <w:p>
            <w:pPr>
              <w:ind w:left="600"/>
              <w:spacing w:after="0"/>
              <w:rPr>
                <w:sz w:val="20"/>
                <w:szCs w:val="20"/>
                <w:color w:val="auto"/>
              </w:rPr>
            </w:pPr>
            <w:r>
              <w:rPr>
                <w:rFonts w:ascii="Arial" w:cs="Arial" w:eastAsia="Arial" w:hAnsi="Arial"/>
                <w:sz w:val="18"/>
                <w:szCs w:val="18"/>
                <w:color w:val="auto"/>
              </w:rPr>
              <w:t>(a)</w:t>
            </w: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Amount beneficially owned: 4,081,286</w:t>
            </w:r>
          </w:p>
        </w:tc>
      </w:tr>
      <w:tr>
        <w:trPr>
          <w:trHeight w:val="432"/>
        </w:trPr>
        <w:tc>
          <w:tcPr>
            <w:tcW w:w="2000" w:type="dxa"/>
            <w:vAlign w:val="bottom"/>
          </w:tcPr>
          <w:p>
            <w:pPr>
              <w:spacing w:after="0"/>
              <w:rPr>
                <w:sz w:val="24"/>
                <w:szCs w:val="24"/>
                <w:color w:val="auto"/>
              </w:rPr>
            </w:pPr>
          </w:p>
        </w:tc>
        <w:tc>
          <w:tcPr>
            <w:tcW w:w="980" w:type="dxa"/>
            <w:vAlign w:val="bottom"/>
          </w:tcPr>
          <w:p>
            <w:pPr>
              <w:ind w:left="600"/>
              <w:spacing w:after="0"/>
              <w:rPr>
                <w:sz w:val="20"/>
                <w:szCs w:val="20"/>
                <w:color w:val="auto"/>
              </w:rPr>
            </w:pPr>
            <w:r>
              <w:rPr>
                <w:rFonts w:ascii="Arial" w:cs="Arial" w:eastAsia="Arial" w:hAnsi="Arial"/>
                <w:sz w:val="18"/>
                <w:szCs w:val="18"/>
                <w:color w:val="auto"/>
              </w:rPr>
              <w:t>(b)</w:t>
            </w: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 xml:space="preserve">Percent of class: </w:t>
            </w:r>
            <w:r>
              <w:rPr>
                <w:rFonts w:ascii="Arial" w:cs="Arial" w:eastAsia="Arial" w:hAnsi="Arial"/>
                <w:sz w:val="18"/>
                <w:szCs w:val="18"/>
                <w:color w:val="2A2A2A"/>
              </w:rPr>
              <w:t>8.70%</w:t>
            </w:r>
          </w:p>
        </w:tc>
      </w:tr>
      <w:tr>
        <w:trPr>
          <w:trHeight w:val="432"/>
        </w:trPr>
        <w:tc>
          <w:tcPr>
            <w:tcW w:w="2000" w:type="dxa"/>
            <w:vAlign w:val="bottom"/>
          </w:tcPr>
          <w:p>
            <w:pPr>
              <w:spacing w:after="0"/>
              <w:rPr>
                <w:sz w:val="24"/>
                <w:szCs w:val="24"/>
                <w:color w:val="auto"/>
              </w:rPr>
            </w:pPr>
          </w:p>
        </w:tc>
        <w:tc>
          <w:tcPr>
            <w:tcW w:w="980" w:type="dxa"/>
            <w:vAlign w:val="bottom"/>
          </w:tcPr>
          <w:p>
            <w:pPr>
              <w:ind w:left="600"/>
              <w:spacing w:after="0"/>
              <w:rPr>
                <w:sz w:val="20"/>
                <w:szCs w:val="20"/>
                <w:color w:val="auto"/>
              </w:rPr>
            </w:pPr>
            <w:r>
              <w:rPr>
                <w:rFonts w:ascii="Arial" w:cs="Arial" w:eastAsia="Arial" w:hAnsi="Arial"/>
                <w:sz w:val="18"/>
                <w:szCs w:val="18"/>
                <w:color w:val="auto"/>
              </w:rPr>
              <w:t>(c)</w:t>
            </w: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Number of shares as to which the person has:</w:t>
            </w:r>
          </w:p>
        </w:tc>
      </w:tr>
    </w:tbl>
    <w:p>
      <w:pPr>
        <w:spacing w:after="0" w:line="202"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Sole power to vote or to direct the vote: 3,627,237</w:t>
      </w:r>
    </w:p>
    <w:p>
      <w:pPr>
        <w:spacing w:after="0" w:line="225" w:lineRule="exact"/>
        <w:rPr>
          <w:sz w:val="20"/>
          <w:szCs w:val="20"/>
          <w:color w:val="auto"/>
        </w:rPr>
      </w:pPr>
    </w:p>
    <w:p>
      <w:pPr>
        <w:ind w:left="3220"/>
        <w:spacing w:after="0"/>
        <w:tabs>
          <w:tab w:leader="none" w:pos="370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Shared power to vote or to direct the vote: 0</w:t>
      </w:r>
    </w:p>
    <w:p>
      <w:pPr>
        <w:spacing w:after="0" w:line="225" w:lineRule="exact"/>
        <w:rPr>
          <w:sz w:val="20"/>
          <w:szCs w:val="20"/>
          <w:color w:val="auto"/>
        </w:rPr>
      </w:pPr>
    </w:p>
    <w:p>
      <w:pPr>
        <w:ind w:left="3200"/>
        <w:spacing w:after="0"/>
        <w:tabs>
          <w:tab w:leader="none" w:pos="3700" w:val="left"/>
        </w:tabs>
        <w:rPr>
          <w:sz w:val="20"/>
          <w:szCs w:val="20"/>
          <w:color w:val="auto"/>
        </w:rPr>
      </w:pPr>
      <w:r>
        <w:rPr>
          <w:rFonts w:ascii="Arial" w:cs="Arial" w:eastAsia="Arial" w:hAnsi="Arial"/>
          <w:sz w:val="18"/>
          <w:szCs w:val="18"/>
          <w:color w:val="auto"/>
        </w:rPr>
        <w:t>(iii)</w:t>
        <w:tab/>
        <w:t>Sole power to dispose or to direct the disposition of: 4,081,286</w:t>
      </w:r>
    </w:p>
    <w:p>
      <w:pPr>
        <w:spacing w:after="0" w:line="225" w:lineRule="exact"/>
        <w:rPr>
          <w:sz w:val="20"/>
          <w:szCs w:val="20"/>
          <w:color w:val="auto"/>
        </w:rPr>
      </w:pPr>
    </w:p>
    <w:p>
      <w:pPr>
        <w:jc w:val="center"/>
        <w:ind w:left="2940"/>
        <w:spacing w:after="0"/>
        <w:tabs>
          <w:tab w:leader="none" w:pos="240" w:val="left"/>
        </w:tabs>
        <w:rPr>
          <w:sz w:val="20"/>
          <w:szCs w:val="20"/>
          <w:color w:val="auto"/>
        </w:rPr>
      </w:pPr>
      <w:r>
        <w:rPr>
          <w:rFonts w:ascii="Arial" w:cs="Arial" w:eastAsia="Arial" w:hAnsi="Arial"/>
          <w:sz w:val="18"/>
          <w:szCs w:val="18"/>
          <w:color w:val="auto"/>
        </w:rPr>
        <w:t>(iv)</w:t>
        <w:tab/>
        <w:t>Shared power to dispose or to direct the disposition of: 0</w:t>
      </w:r>
    </w:p>
    <w:p>
      <w:pPr>
        <w:sectPr>
          <w:pgSz w:w="11900" w:h="16838" w:orient="portrait"/>
          <w:cols w:equalWidth="0" w:num="1">
            <w:col w:w="11240"/>
          </w:cols>
          <w:pgMar w:left="320" w:top="687" w:right="339" w:bottom="1440" w:gutter="0" w:footer="0" w:header="0"/>
        </w:sectPr>
      </w:pPr>
    </w:p>
    <w:p>
      <w:pPr>
        <w:spacing w:after="0" w:line="22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Five Percent or Less of a Class: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If this statement is being filed to report the fact that as of the date hereof the reporting person has ceased to be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 of more than 5 percent of the class of securities, check the following. o</w:t>
      </w:r>
    </w:p>
    <w:p>
      <w:pPr>
        <w:spacing w:after="0" w:line="200" w:lineRule="exact"/>
        <w:rPr>
          <w:sz w:val="20"/>
          <w:szCs w:val="20"/>
          <w:color w:val="auto"/>
        </w:rPr>
      </w:pPr>
    </w:p>
    <w:p>
      <w:pPr>
        <w:sectPr>
          <w:pgSz w:w="11900" w:h="16838" w:orient="portrait"/>
          <w:cols w:equalWidth="0" w:num="2">
            <w:col w:w="1740" w:space="720"/>
            <w:col w:w="8780"/>
          </w:cols>
          <w:pgMar w:left="320" w:top="687"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40" w:space="720"/>
            <w:col w:w="8780"/>
          </w:cols>
          <w:pgMar w:left="320" w:top="687"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Identification and Classification of the Subsidiary Which Acquired the Security Being Reported on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 Holding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40" w:space="720"/>
            <w:col w:w="8780"/>
          </w:cols>
          <w:pgMar w:left="320" w:top="687"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40" w:space="720"/>
            <w:col w:w="8780"/>
          </w:cols>
          <w:pgMar w:left="320" w:top="687"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40" w:space="720"/>
            <w:col w:w="8780"/>
          </w:cols>
          <w:pgMar w:left="320" w:top="687"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are held in the ordinary course of business and were not acquired and are not held for the purpose of or with the</w:t>
      </w:r>
    </w:p>
    <w:p>
      <w:pPr>
        <w:spacing w:after="0" w:line="32" w:lineRule="exact"/>
        <w:rPr>
          <w:sz w:val="20"/>
          <w:szCs w:val="20"/>
          <w:color w:val="auto"/>
        </w:rPr>
      </w:pPr>
    </w:p>
    <w:p>
      <w:pPr>
        <w:sectPr>
          <w:pgSz w:w="11900" w:h="16838" w:orient="portrait"/>
          <w:cols w:equalWidth="0" w:num="2">
            <w:col w:w="1740" w:space="720"/>
            <w:col w:w="8780"/>
          </w:cols>
          <w:pgMar w:left="320" w:top="687" w:right="339" w:bottom="1440" w:gutter="0" w:footer="0" w:header="0"/>
          <w:type w:val="continuous"/>
        </w:sectPr>
      </w:pPr>
    </w:p>
    <w:p>
      <w:pPr>
        <w:ind w:left="2460" w:right="100"/>
        <w:spacing w:after="0" w:line="260" w:lineRule="auto"/>
        <w:rPr>
          <w:sz w:val="20"/>
          <w:szCs w:val="20"/>
          <w:color w:val="auto"/>
        </w:rPr>
      </w:pPr>
      <w:r>
        <w:rPr>
          <w:rFonts w:ascii="Arial" w:cs="Arial" w:eastAsia="Arial" w:hAnsi="Arial"/>
          <w:sz w:val="18"/>
          <w:szCs w:val="18"/>
          <w:color w:val="auto"/>
        </w:rPr>
        <w:t>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type w:val="continuous"/>
        </w:sectPr>
      </w:pPr>
    </w:p>
    <w:bookmarkStart w:id="4" w:name="page5"/>
    <w:bookmarkEnd w:id="4"/>
    <w:p>
      <w:pPr>
        <w:ind w:left="20"/>
        <w:spacing w:after="0"/>
        <w:rPr>
          <w:sz w:val="20"/>
          <w:szCs w:val="20"/>
          <w:color w:val="auto"/>
        </w:rPr>
      </w:pPr>
      <w:r>
        <w:rPr>
          <w:rFonts w:ascii="Arial" w:cs="Arial" w:eastAsia="Arial" w:hAnsi="Arial"/>
          <w:sz w:val="16"/>
          <w:szCs w:val="16"/>
          <w:b w:val="1"/>
          <w:bCs w:val="1"/>
          <w:color w:val="auto"/>
        </w:rPr>
        <w:t xml:space="preserve">CUSIP: </w:t>
      </w:r>
      <w:r>
        <w:rPr>
          <w:rFonts w:ascii="Arial" w:cs="Arial" w:eastAsia="Arial" w:hAnsi="Arial"/>
          <w:sz w:val="16"/>
          <w:szCs w:val="16"/>
          <w:color w:val="auto"/>
        </w:rPr>
        <w:t>38526M106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5</w:t>
      </w:r>
    </w:p>
    <w:p>
      <w:pPr>
        <w:spacing w:after="0" w:line="207" w:lineRule="exact"/>
        <w:rPr>
          <w:sz w:val="20"/>
          <w:szCs w:val="20"/>
          <w:color w:val="auto"/>
        </w:rPr>
      </w:pPr>
    </w:p>
    <w:p>
      <w:pPr>
        <w:sectPr>
          <w:pgSz w:w="11900" w:h="16838" w:orient="portrait"/>
          <w:cols w:equalWidth="0" w:num="2">
            <w:col w:w="9920" w:space="720"/>
            <w:col w:w="600"/>
          </w:cols>
          <w:pgMar w:left="320" w:top="702" w:right="339" w:bottom="1440" w:gutter="0" w:footer="0" w:header="0"/>
        </w:sect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tbl>
      <w:tblPr>
        <w:tblLayout w:type="fixed"/>
        <w:tblInd w:w="530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February 10, 2021</w:t>
            </w:r>
          </w:p>
        </w:tc>
      </w:tr>
      <w:tr>
        <w:trPr>
          <w:trHeight w:val="426"/>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ind w:left="40"/>
              <w:spacing w:after="0"/>
              <w:rPr>
                <w:sz w:val="20"/>
                <w:szCs w:val="20"/>
                <w:color w:val="auto"/>
              </w:rPr>
            </w:pPr>
            <w:r>
              <w:rPr>
                <w:rFonts w:ascii="Arial" w:cs="Arial" w:eastAsia="Arial" w:hAnsi="Arial"/>
                <w:sz w:val="18"/>
                <w:szCs w:val="18"/>
                <w:color w:val="auto"/>
              </w:rPr>
              <w:t>/s/ Stephanie Braming</w:t>
            </w:r>
          </w:p>
        </w:tc>
      </w:tr>
      <w:tr>
        <w:trPr>
          <w:trHeight w:val="40"/>
        </w:trPr>
        <w:tc>
          <w:tcPr>
            <w:tcW w:w="100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r>
        <w:trPr>
          <w:trHeight w:val="426"/>
        </w:trPr>
        <w:tc>
          <w:tcPr>
            <w:tcW w:w="100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40"/>
              <w:spacing w:after="0"/>
              <w:rPr>
                <w:sz w:val="20"/>
                <w:szCs w:val="20"/>
                <w:color w:val="auto"/>
              </w:rPr>
            </w:pPr>
            <w:r>
              <w:rPr>
                <w:rFonts w:ascii="Arial" w:cs="Arial" w:eastAsia="Arial" w:hAnsi="Arial"/>
                <w:sz w:val="18"/>
                <w:szCs w:val="18"/>
                <w:color w:val="auto"/>
              </w:rPr>
              <w:t>Stephanie Braming</w:t>
            </w:r>
          </w:p>
        </w:tc>
      </w:tr>
      <w:tr>
        <w:trPr>
          <w:trHeight w:val="40"/>
        </w:trPr>
        <w:tc>
          <w:tcPr>
            <w:tcW w:w="100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r>
        <w:trPr>
          <w:trHeight w:val="426"/>
        </w:trPr>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40"/>
              <w:spacing w:after="0"/>
              <w:rPr>
                <w:sz w:val="20"/>
                <w:szCs w:val="20"/>
                <w:color w:val="auto"/>
              </w:rPr>
            </w:pPr>
            <w:r>
              <w:rPr>
                <w:rFonts w:ascii="Arial" w:cs="Arial" w:eastAsia="Arial" w:hAnsi="Arial"/>
                <w:sz w:val="18"/>
                <w:szCs w:val="18"/>
                <w:color w:val="auto"/>
              </w:rPr>
              <w:t>Partner, Global Head of Investment Management</w:t>
            </w:r>
          </w:p>
        </w:tc>
      </w:tr>
      <w:tr>
        <w:trPr>
          <w:trHeight w:val="40"/>
        </w:trPr>
        <w:tc>
          <w:tcPr>
            <w:tcW w:w="100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7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9"/>
    </w:lvl>
  </w:abstractNum>
  <w:abstractNum w:abstractNumId="5">
    <w:nsid w:val="7545E146"/>
    <w:multiLevelType w:val="hybridMultilevel"/>
    <w:lvl w:ilvl="0">
      <w:lvlJc w:val="left"/>
      <w:lvlText w:val="%1."/>
      <w:numFmt w:val="decimal"/>
      <w:start w:val="10"/>
    </w:lvl>
  </w:abstractNum>
  <w:abstractNum w:abstractNumId="6">
    <w:nsid w:val="515F007C"/>
    <w:multiLevelType w:val="hybridMultilevel"/>
    <w:lvl w:ilvl="0">
      <w:lvlJc w:val="left"/>
      <w:lvlText w:val="%1."/>
      <w:numFmt w:val="decimal"/>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9"/>
    </w:lvl>
  </w:abstractNum>
  <w:abstractNum w:abstractNumId="9">
    <w:nsid w:val="4DB127F8"/>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2021-02-11T14:02:47Z</dcterms:created>
  <dcterms:modified xsi:type="dcterms:W3CDTF">2021-02-11T14:02:47Z</dcterms:modified>
</cp:coreProperties>
</file>