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BACHUS DANIEL E</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Grand Canyon Education,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LOPE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02" w:lineRule="exact"/>
        <w:rPr>
          <w:sz w:val="24"/>
          <w:szCs w:val="24"/>
          <w:color w:val="auto"/>
        </w:rPr>
      </w:pPr>
    </w:p>
    <w:p>
      <w:pPr>
        <w:sectPr>
          <w:pgSz w:w="11900" w:h="16838" w:orient="portrait"/>
          <w:cols w:equalWidth="0" w:num="3">
            <w:col w:w="3200" w:space="720"/>
            <w:col w:w="3220" w:space="60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8"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30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301750"/>
                    </a:xfrm>
                    <a:prstGeom prst="rect">
                      <a:avLst/>
                    </a:prstGeom>
                    <a:noFill/>
                  </pic:spPr>
                </pic:pic>
              </a:graphicData>
            </a:graphic>
          </wp:anchor>
        </w:drawing>
      </w:r>
    </w:p>
    <w:p>
      <w:pPr>
        <w:spacing w:after="0" w:line="29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0000FF"/>
              </w:rPr>
              <w:t>12/01/2020</w:t>
            </w:r>
          </w:p>
        </w:tc>
        <w:tc>
          <w:tcPr>
            <w:tcW w:w="10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52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15.34</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117,874</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12/01/2020</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83.7</w:t>
            </w:r>
            <w:r>
              <w:rPr>
                <w:rFonts w:ascii="Times New Roman" w:cs="Times New Roman" w:eastAsia="Times New Roman" w:hAnsi="Times New Roman"/>
                <w:sz w:val="21"/>
                <w:szCs w:val="21"/>
                <w:color w:val="008000"/>
                <w:vertAlign w:val="superscript"/>
              </w:rPr>
              <w:t>(2)</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107,874</w:t>
            </w: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96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9613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12/01/2020</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03/11/2016</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03/10/2021</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10b5-1 plan adopted by the reporting person dated September 10, 2020.</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$83.12 to $84.77,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Daniel E. Bachus, by Lyn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12/03/2020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Bickle,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3136"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2020-12-03T15:44:27Z</dcterms:created>
  <dcterms:modified xsi:type="dcterms:W3CDTF">2020-12-03T15:44:27Z</dcterms:modified>
</cp:coreProperties>
</file>