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4"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10" w:right="240" w:hanging="406"/>
        <w:spacing w:after="0" w:line="352" w:lineRule="auto"/>
        <w:tabs>
          <w:tab w:leader="none" w:pos="41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September 30, 2021</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
        <w:spacing w:after="0"/>
        <w:tabs>
          <w:tab w:leader="none" w:pos="40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9" w:lineRule="exact"/>
        <w:rPr>
          <w:sz w:val="24"/>
          <w:szCs w:val="24"/>
          <w:color w:val="auto"/>
        </w:rPr>
      </w:pPr>
    </w:p>
    <w:tbl>
      <w:tblPr>
        <w:tblLayout w:type="fixed"/>
        <w:tblInd w:w="137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11"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1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6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6295" cy="8890"/>
                    </a:xfrm>
                    <a:prstGeom prst="rect">
                      <a:avLst/>
                    </a:prstGeom>
                    <a:noFill/>
                  </pic:spPr>
                </pic:pic>
              </a:graphicData>
            </a:graphic>
          </wp:anchor>
        </w:drawing>
      </w:r>
    </w:p>
    <w:p>
      <w:pPr>
        <w:ind w:left="10"/>
        <w:spacing w:after="0" w:line="188" w:lineRule="exact"/>
        <w:tabs>
          <w:tab w:leader="none" w:pos="581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left="10"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1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76" w:lineRule="exact"/>
        <w:rPr>
          <w:sz w:val="24"/>
          <w:szCs w:val="24"/>
          <w:color w:val="auto"/>
        </w:rPr>
      </w:pPr>
    </w:p>
    <w:p>
      <w:pPr>
        <w:ind w:left="1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10" w:space="160"/>
            <w:col w:w="5180" w:space="720"/>
            <w:col w:w="2060" w:space="220"/>
            <w:col w:w="180"/>
          </w:cols>
          <w:pgMar w:left="830" w:top="665" w:right="839" w:bottom="1440" w:gutter="0" w:footer="0" w:header="0"/>
          <w:type w:val="continuous"/>
        </w:sectPr>
      </w:pPr>
    </w:p>
    <w:p>
      <w:pPr>
        <w:ind w:left="10"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50" w:right="1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November 2, 2021, was 40,073,608.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506095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86360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8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480" w:type="dxa"/>
            <w:vAlign w:val="bottom"/>
            <w:gridSpan w:val="1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14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34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2 Management’s Discussion and Analysis of Financial Condition and Results of Operations</w:t>
              </w:r>
            </w:hyperlink>
          </w:p>
        </w:tc>
        <w:tc>
          <w:tcPr>
            <w:tcW w:w="15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3 Quantitative and Qualitative Disclosures About Market Risk</w:t>
              </w:r>
            </w:hyperlink>
          </w:p>
        </w:tc>
        <w:tc>
          <w:tcPr>
            <w:tcW w:w="36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14"/>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412"/>
        </w:trPr>
        <w:tc>
          <w:tcPr>
            <w:tcW w:w="18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 Legal Proceedings</w:t>
              </w:r>
            </w:hyperlink>
          </w:p>
        </w:tc>
        <w:tc>
          <w:tcPr>
            <w:tcW w:w="1000" w:type="dxa"/>
            <w:vAlign w:val="bottom"/>
            <w:tcBorders>
              <w:top w:val="single" w:sz="8" w:color="0000EE"/>
            </w:tcBorders>
            <w:gridSpan w:val="4"/>
          </w:tcPr>
          <w:p>
            <w:pPr>
              <w:spacing w:after="0"/>
              <w:rPr>
                <w:sz w:val="24"/>
                <w:szCs w:val="24"/>
                <w:color w:val="auto"/>
              </w:rPr>
            </w:pPr>
          </w:p>
        </w:tc>
        <w:tc>
          <w:tcPr>
            <w:tcW w:w="56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1A Risk Factors</w:t>
              </w:r>
            </w:hyperlink>
          </w:p>
        </w:tc>
        <w:tc>
          <w:tcPr>
            <w:tcW w:w="694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3</w:t>
              </w:r>
            </w:hyperlink>
          </w:p>
        </w:tc>
        <w:tc>
          <w:tcPr>
            <w:tcW w:w="436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36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4</w:t>
              </w:r>
            </w:hyperlink>
          </w:p>
        </w:tc>
        <w:tc>
          <w:tcPr>
            <w:tcW w:w="234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566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5</w:t>
              </w:r>
            </w:hyperlink>
          </w:p>
        </w:tc>
        <w:tc>
          <w:tcPr>
            <w:tcW w:w="134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22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Item 6</w:t>
              </w:r>
            </w:hyperlink>
          </w:p>
        </w:tc>
        <w:tc>
          <w:tcPr>
            <w:tcW w:w="620" w:type="dxa"/>
            <w:vAlign w:val="bottom"/>
            <w:tcBorders>
              <w:bottom w:val="single" w:sz="8" w:color="0000EE"/>
            </w:tcBorders>
          </w:tcPr>
          <w:p>
            <w:pPr>
              <w:ind w:left="20"/>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SIGNATURES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206,767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198,384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645,188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605,807</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84,179</w:t>
            </w: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184,380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176,029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126,042</w:t>
            </w: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33,097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161,451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147,345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465,398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425,662</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179,790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180,145</w:t>
            </w: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44,318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222,417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221,719</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51,278</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175,231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170,441</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3.86</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97"/>
        </w:trPr>
        <w:tc>
          <w:tcPr>
            <w:tcW w:w="52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44,212</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46,808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45,272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47,051</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44,298</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47,095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45,404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47,336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3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90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245,769</w:t>
            </w:r>
          </w:p>
        </w:tc>
        <w:tc>
          <w:tcPr>
            <w:tcW w:w="0" w:type="dxa"/>
            <w:vAlign w:val="bottom"/>
          </w:tcPr>
          <w:p>
            <w:pPr>
              <w:spacing w:after="0"/>
              <w:rPr>
                <w:sz w:val="1"/>
                <w:szCs w:val="1"/>
                <w:color w:val="auto"/>
              </w:rPr>
            </w:pPr>
          </w:p>
        </w:tc>
      </w:tr>
      <w:tr>
        <w:trPr>
          <w:trHeight w:val="216"/>
        </w:trPr>
        <w:tc>
          <w:tcPr>
            <w:tcW w:w="654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62,189</w:t>
            </w:r>
          </w:p>
        </w:tc>
        <w:tc>
          <w:tcPr>
            <w:tcW w:w="0" w:type="dxa"/>
            <w:vAlign w:val="bottom"/>
          </w:tcPr>
          <w:p>
            <w:pPr>
              <w:spacing w:after="0"/>
              <w:rPr>
                <w:sz w:val="1"/>
                <w:szCs w:val="1"/>
                <w:color w:val="auto"/>
              </w:rPr>
            </w:pPr>
          </w:p>
        </w:tc>
      </w:tr>
      <w:tr>
        <w:trPr>
          <w:trHeight w:val="216"/>
        </w:trPr>
        <w:tc>
          <w:tcPr>
            <w:tcW w:w="6540" w:type="dxa"/>
            <w:vAlign w:val="bottom"/>
          </w:tcPr>
          <w:p>
            <w:pPr>
              <w:ind w:left="100"/>
              <w:spacing w:after="0"/>
              <w:rPr>
                <w:sz w:val="20"/>
                <w:szCs w:val="20"/>
                <w:color w:val="auto"/>
              </w:rPr>
            </w:pPr>
            <w:r>
              <w:rPr>
                <w:rFonts w:ascii="Arial" w:cs="Arial" w:eastAsia="Arial" w:hAnsi="Arial"/>
                <w:sz w:val="18"/>
                <w:szCs w:val="18"/>
                <w:color w:val="auto"/>
              </w:rPr>
              <w:t>Interest receivable on Secured Note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receivable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134,508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128,657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Secured Note receivable,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964,912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964,912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1,680,461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1,844,579</w:t>
            </w:r>
          </w:p>
        </w:tc>
        <w:tc>
          <w:tcPr>
            <w:tcW w:w="0" w:type="dxa"/>
            <w:vAlign w:val="bottom"/>
          </w:tcPr>
          <w:p>
            <w:pPr>
              <w:spacing w:after="0"/>
              <w:rPr>
                <w:sz w:val="1"/>
                <w:szCs w:val="1"/>
                <w:color w:val="auto"/>
              </w:rPr>
            </w:pPr>
          </w:p>
        </w:tc>
      </w:tr>
      <w:tr>
        <w:trPr>
          <w:trHeight w:val="197"/>
        </w:trPr>
        <w:tc>
          <w:tcPr>
            <w:tcW w:w="6540" w:type="dxa"/>
            <w:vAlign w:val="bottom"/>
            <w:shd w:val="clear" w:color="auto" w:fill="CCEEFF"/>
          </w:tcPr>
          <w:p>
            <w:pPr>
              <w:ind w:left="130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16"/>
        </w:trPr>
        <w:tc>
          <w:tcPr>
            <w:tcW w:w="654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34,248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0" w:type="dxa"/>
            <w:vAlign w:val="bottom"/>
          </w:tcPr>
          <w:p>
            <w:pPr>
              <w:spacing w:after="0"/>
              <w:rPr>
                <w:sz w:val="1"/>
                <w:szCs w:val="1"/>
                <w:color w:val="auto"/>
              </w:rPr>
            </w:pPr>
          </w:p>
        </w:tc>
      </w:tr>
      <w:tr>
        <w:trPr>
          <w:trHeight w:val="216"/>
        </w:trPr>
        <w:tc>
          <w:tcPr>
            <w:tcW w:w="654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100"/>
              <w:spacing w:after="0"/>
              <w:rPr>
                <w:sz w:val="20"/>
                <w:szCs w:val="20"/>
                <w:color w:val="auto"/>
              </w:rPr>
            </w:pPr>
            <w:r>
              <w:rPr>
                <w:rFonts w:ascii="Arial" w:cs="Arial" w:eastAsia="Arial" w:hAnsi="Arial"/>
                <w:sz w:val="18"/>
                <w:szCs w:val="18"/>
                <w:color w:val="auto"/>
              </w:rPr>
              <w:t>Current portion of lease liability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notes payable</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118,718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long term liability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less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56,611</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 payable, less current portion</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74,630</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270,250</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w w:val="88"/>
              </w:rPr>
              <w:t>Preferred stock, $0.01 par value, 10,000 shares authorized; 0 shares issued and outstanding</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at September 30, 2021 and December 31, 2020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$0.01 par value, 100,000 shares authorized; 53,637 and 53,277 shares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88"/>
              </w:rPr>
              <w:t>issued and 43,054 and 46,649 shares outstanding at September 30, 2021 and December 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2020, respectively</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w w:val="90"/>
              </w:rPr>
              <w:t>Treasury stock, at cost, 10,583 and 6,628 shares of common stock at September 30, 2021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and December 31, 2020, respectively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(663,558)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(303,379)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1,769,939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1,594,708</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1,400,776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1,574,329</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1,680,461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1,844,579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40" w:type="dxa"/>
            <w:vAlign w:val="bottom"/>
            <w:gridSpan w:val="11"/>
          </w:tcPr>
          <w:p>
            <w:pPr>
              <w:ind w:left="60"/>
              <w:spacing w:after="0"/>
              <w:rPr>
                <w:sz w:val="20"/>
                <w:szCs w:val="20"/>
                <w:color w:val="auto"/>
              </w:rPr>
            </w:pPr>
            <w:r>
              <w:rPr>
                <w:rFonts w:ascii="Arial" w:cs="Arial" w:eastAsia="Arial" w:hAnsi="Arial"/>
                <w:sz w:val="14"/>
                <w:szCs w:val="14"/>
                <w:b w:val="1"/>
                <w:bCs w:val="1"/>
                <w:color w:val="auto"/>
                <w:w w:val="92"/>
              </w:rPr>
              <w:t>Nine Months Ended September 30, 2021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500" w:type="dxa"/>
            <w:vAlign w:val="bottom"/>
            <w:gridSpan w:val="4"/>
            <w:vMerge w:val="restart"/>
          </w:tcPr>
          <w:p>
            <w:pPr>
              <w:jc w:val="right"/>
              <w:ind w:right="215"/>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53,277</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(303,379)</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282,467</w:t>
            </w: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1,594,708</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1,574,329</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40" w:type="dxa"/>
            <w:vAlign w:val="bottom"/>
            <w:vMerge w:val="continue"/>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7"/>
                <w:szCs w:val="17"/>
                <w:color w:val="auto"/>
              </w:rPr>
              <w:t>(120)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78,112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77,992</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purchased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for treasury</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(56,348)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(63,348)</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1"/>
              </w:rPr>
              <w:t>Share-based compensation</w:t>
            </w:r>
          </w:p>
        </w:tc>
        <w:tc>
          <w:tcPr>
            <w:tcW w:w="600" w:type="dxa"/>
            <w:vAlign w:val="bottom"/>
          </w:tcPr>
          <w:p>
            <w:pPr>
              <w:jc w:val="right"/>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196"/>
        </w:trPr>
        <w:tc>
          <w:tcPr>
            <w:tcW w:w="2040" w:type="dxa"/>
            <w:vAlign w:val="bottom"/>
          </w:tcPr>
          <w:p>
            <w:pPr>
              <w:spacing w:after="0" w:line="196" w:lineRule="exact"/>
              <w:rPr>
                <w:sz w:val="20"/>
                <w:szCs w:val="20"/>
                <w:color w:val="auto"/>
              </w:rPr>
            </w:pPr>
            <w:r>
              <w:rPr>
                <w:rFonts w:ascii="Arial" w:cs="Arial" w:eastAsia="Arial" w:hAnsi="Arial"/>
                <w:sz w:val="18"/>
                <w:szCs w:val="18"/>
                <w:color w:val="auto"/>
                <w:w w:val="93"/>
              </w:rPr>
              <w:t>Balance at March 31, 2021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53,633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7,251</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(365,721)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281,163</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1,672,820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1,588,678</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49,396</w:t>
            </w: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w w:val="96"/>
              </w:rPr>
              <w:t>Common stock purchased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for treasury</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(95,331)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(98,331)</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6"/>
              </w:rPr>
              <w:t>Restricted shares forfeited</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1"/>
              </w:rPr>
              <w:t>Share-based compensation</w:t>
            </w:r>
          </w:p>
        </w:tc>
        <w:tc>
          <w:tcPr>
            <w:tcW w:w="6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2,940</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Balance at June 30, 2021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53,637</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8,241</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(461,052)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281,103</w:t>
            </w:r>
          </w:p>
        </w:tc>
        <w:tc>
          <w:tcPr>
            <w:tcW w:w="1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1,722,281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1,542,683</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47,658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47,843</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purchased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for treasury</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(192,506)</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6"/>
              </w:rPr>
              <w:t>Restricted shares forfeited</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2,756</w:t>
            </w:r>
          </w:p>
        </w:tc>
        <w:tc>
          <w:tcPr>
            <w:tcW w:w="0" w:type="dxa"/>
            <w:vAlign w:val="bottom"/>
          </w:tcPr>
          <w:p>
            <w:pPr>
              <w:spacing w:after="0"/>
              <w:rPr>
                <w:sz w:val="1"/>
                <w:szCs w:val="1"/>
                <w:color w:val="auto"/>
              </w:rPr>
            </w:pPr>
          </w:p>
        </w:tc>
      </w:tr>
      <w:tr>
        <w:trPr>
          <w:trHeight w:val="182"/>
        </w:trPr>
        <w:tc>
          <w:tcPr>
            <w:tcW w:w="2040" w:type="dxa"/>
            <w:vAlign w:val="bottom"/>
          </w:tcPr>
          <w:p>
            <w:pPr>
              <w:spacing w:after="0" w:line="182" w:lineRule="exact"/>
              <w:rPr>
                <w:sz w:val="20"/>
                <w:szCs w:val="20"/>
                <w:color w:val="auto"/>
              </w:rPr>
            </w:pPr>
            <w:r>
              <w:rPr>
                <w:rFonts w:ascii="Arial" w:cs="Arial" w:eastAsia="Arial" w:hAnsi="Arial"/>
                <w:sz w:val="18"/>
                <w:szCs w:val="18"/>
                <w:color w:val="auto"/>
              </w:rPr>
              <w:t>Balance at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9"/>
              </w:rPr>
              <w:t>53,637</w:t>
            </w:r>
          </w:p>
        </w:tc>
        <w:tc>
          <w:tcPr>
            <w:tcW w:w="1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5"/>
                <w:szCs w:val="15"/>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2"/>
              </w:rPr>
              <w:t>10,583</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(663,558)</w:t>
            </w:r>
          </w:p>
        </w:tc>
        <w:tc>
          <w:tcPr>
            <w:tcW w:w="1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4"/>
              </w:rPr>
              <w:t>293,859</w:t>
            </w:r>
          </w:p>
        </w:tc>
        <w:tc>
          <w:tcPr>
            <w:tcW w:w="18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1,769,939</w:t>
            </w:r>
          </w:p>
        </w:tc>
        <w:tc>
          <w:tcPr>
            <w:tcW w:w="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1,400,776</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8"/>
                <w:szCs w:val="18"/>
                <w:color w:val="auto"/>
              </w:rPr>
              <w:t>September 30, 2021</w:t>
            </w:r>
          </w:p>
        </w:tc>
        <w:tc>
          <w:tcPr>
            <w:tcW w:w="60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12"/>
          </w:tcPr>
          <w:p>
            <w:pPr>
              <w:jc w:val="right"/>
              <w:ind w:right="476"/>
              <w:spacing w:after="0"/>
              <w:rPr>
                <w:sz w:val="20"/>
                <w:szCs w:val="20"/>
                <w:color w:val="auto"/>
              </w:rPr>
            </w:pPr>
            <w:r>
              <w:rPr>
                <w:rFonts w:ascii="Arial" w:cs="Arial" w:eastAsia="Arial" w:hAnsi="Arial"/>
                <w:sz w:val="14"/>
                <w:szCs w:val="14"/>
                <w:b w:val="1"/>
                <w:bCs w:val="1"/>
                <w:color w:val="auto"/>
                <w:w w:val="93"/>
              </w:rPr>
              <w:t>Nine Months Ended September 30, 2020</w:t>
            </w: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36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4"/>
            <w:vMerge w:val="restart"/>
          </w:tcPr>
          <w:p>
            <w:pPr>
              <w:jc w:val="right"/>
              <w:ind w:right="135"/>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360" w:type="dxa"/>
            <w:vAlign w:val="bottom"/>
            <w:gridSpan w:val="6"/>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2019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53,054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4,949</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(169,365)</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$ 270,923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$ 1,341,344</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$ 1,443,433</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line="195" w:lineRule="exact"/>
              <w:rPr>
                <w:sz w:val="20"/>
                <w:szCs w:val="20"/>
                <w:color w:val="auto"/>
              </w:rPr>
            </w:pPr>
            <w:r>
              <w:rPr>
                <w:rFonts w:ascii="Arial" w:cs="Arial" w:eastAsia="Arial" w:hAnsi="Arial"/>
                <w:sz w:val="18"/>
                <w:szCs w:val="18"/>
                <w:color w:val="auto"/>
              </w:rPr>
              <w:t>Cumulative effect from the</w:t>
            </w: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adoption of accounting</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8"/>
              </w:rPr>
              <w:t>pronouncements, net of taxes</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of $1,168</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71,385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71,385</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treasury</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787</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(60,737)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(60,737)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20" w:type="dxa"/>
            <w:vAlign w:val="bottom"/>
          </w:tcPr>
          <w:p>
            <w:pPr>
              <w:jc w:val="right"/>
              <w:spacing w:after="0"/>
              <w:rPr>
                <w:sz w:val="20"/>
                <w:szCs w:val="20"/>
                <w:color w:val="auto"/>
              </w:rPr>
            </w:pPr>
            <w:r>
              <w:rPr>
                <w:rFonts w:ascii="Arial" w:cs="Arial" w:eastAsia="Arial" w:hAnsi="Arial"/>
                <w:sz w:val="17"/>
                <w:szCs w:val="17"/>
                <w:color w:val="auto"/>
              </w:rPr>
              <w:t>164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(4,969)</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(2,313)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rPr>
              <w:t>Balance at March 31, 2020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53,221</w:t>
            </w:r>
          </w:p>
        </w:tc>
        <w:tc>
          <w:tcPr>
            <w:tcW w:w="40" w:type="dxa"/>
            <w:vAlign w:val="bottom"/>
            <w:tcBorders>
              <w:top w:val="single" w:sz="8" w:color="auto"/>
            </w:tcBorders>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5,808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(235,071)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273,650</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1,408,897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1,448,008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47,010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47,010</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treasury</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111</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(8,311)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(8,311)</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June 30, 2020</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53,225</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5,919</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(243,382)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276,330</w:t>
            </w: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1,455,907</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1,489,387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52,046</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52,046</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(23,267)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(23,267)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2"/>
              </w:rPr>
              <w:t>Balance at September 30, 2020</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53,231</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6,186</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(266,649)</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279,147</w:t>
            </w: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1,507,953</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1,520,983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175,231</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170,441</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8,047</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15,839</w:t>
            </w:r>
          </w:p>
        </w:tc>
        <w:tc>
          <w:tcPr>
            <w:tcW w:w="0" w:type="dxa"/>
            <w:vAlign w:val="bottom"/>
          </w:tcPr>
          <w:p>
            <w:pPr>
              <w:spacing w:after="0"/>
              <w:rPr>
                <w:sz w:val="1"/>
                <w:szCs w:val="1"/>
                <w:color w:val="auto"/>
              </w:rPr>
            </w:pPr>
          </w:p>
        </w:tc>
      </w:tr>
      <w:tr>
        <w:trPr>
          <w:trHeight w:val="149"/>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6,315</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(32,815)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(40,112)</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(6,021)</w:t>
            </w:r>
          </w:p>
        </w:tc>
        <w:tc>
          <w:tcPr>
            <w:tcW w:w="0" w:type="dxa"/>
            <w:vAlign w:val="bottom"/>
          </w:tcPr>
          <w:p>
            <w:pPr>
              <w:spacing w:after="0"/>
              <w:rPr>
                <w:sz w:val="1"/>
                <w:szCs w:val="1"/>
                <w:color w:val="auto"/>
              </w:rPr>
            </w:pPr>
          </w:p>
        </w:tc>
      </w:tr>
      <w:tr>
        <w:trPr>
          <w:trHeight w:val="149"/>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23,487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13,358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19,627</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(8,370)</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3,204</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10,220</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208,895</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180,083</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(21,352)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(22,156)</w:t>
            </w:r>
          </w:p>
        </w:tc>
        <w:tc>
          <w:tcPr>
            <w:tcW w:w="0" w:type="dxa"/>
            <w:vAlign w:val="bottom"/>
          </w:tcPr>
          <w:p>
            <w:pPr>
              <w:spacing w:after="0"/>
              <w:rPr>
                <w:sz w:val="1"/>
                <w:szCs w:val="1"/>
                <w:color w:val="auto"/>
              </w:rPr>
            </w:pPr>
          </w:p>
        </w:tc>
      </w:tr>
      <w:tr>
        <w:trPr>
          <w:trHeight w:val="149"/>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Repayment by GCU</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66,792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8,653</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(11,304)</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(13,741)</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financing activities: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(24,858)</w:t>
            </w: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(360,179)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(97,284)</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2,680</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(382,358)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(121,964)</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(184,767)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44,378</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245,769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122,572</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61,002</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166,950</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4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3,536</w:t>
            </w: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4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48,408</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54,114</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4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1,802</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Allowance for credit losses of $5,000, net of taxes of $1,168 from adoption of ASU 2016-13</w:t>
            </w:r>
          </w:p>
        </w:tc>
        <w:tc>
          <w:tcPr>
            <w:tcW w:w="4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82"/>
        </w:trPr>
        <w:tc>
          <w:tcPr>
            <w:tcW w:w="6740" w:type="dxa"/>
            <w:vAlign w:val="bottom"/>
          </w:tcPr>
          <w:p>
            <w:pPr>
              <w:ind w:left="100"/>
              <w:spacing w:after="0"/>
              <w:rPr>
                <w:sz w:val="20"/>
                <w:szCs w:val="20"/>
                <w:color w:val="auto"/>
              </w:rPr>
            </w:pPr>
            <w:r>
              <w:rPr>
                <w:rFonts w:ascii="Arial" w:cs="Arial" w:eastAsia="Arial" w:hAnsi="Arial"/>
                <w:sz w:val="14"/>
                <w:szCs w:val="14"/>
                <w:color w:val="auto"/>
              </w:rPr>
              <w:t>ROU Asset and Liability recognition</w:t>
            </w:r>
          </w:p>
        </w:tc>
        <w:tc>
          <w:tcPr>
            <w:tcW w:w="4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3,775</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31,173</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on ground at its campus in Phoenix, Arizona and at two off-campus classroom and laboratory sites.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January 2019, GCE began providing education services to numerous university partners across the United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States, through our wholly owned subsidiary, Orbis Education, which we acquired, by merger on January 22, 2019 for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$361,184, net of cash acquired (the “Acquisition”).  In the healthcare field, GCE, together with Orbis Education, works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partnership with a growing number of top universities and healthcare networks across the country, offering healthcare-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related academic programs at off-campus classroom and laboratory sites located near healthcare providers and developing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high-quality, career-ready graduates who enter the workforce ready to meet the demands of the healthcare industry.</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2021, GCE provides education services to 27 university partners across the United States.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Company has no components of other comprehensive income (loss), and therefore, comprehensive income equals net income.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unaudited interim consolidated financial statements of the Company have been prepared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accordance with U.S. generally accepted accounting principles and pursuant to the rules and regulations of the United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States Securities and Exchange Commission and the instructions to Form 10-Q and Article 10, consistent in all material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respects with those applied in its financial statements included in its Annual Report on Form 10-K for the fiscal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2020. They do not include all of the information and footnotes required by U.S. generally accepted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accounting principles for complete financial statements. Such interim financial information is unaudited but reflects all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2020 from which the December 31, 2020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At December 31, 2020, the Company considered its investments in corporate bonds, commercial paper, municipal securities, asset backed securities, municipal bonds, and collateralized mortgage obligations as trading securities. These securities were carried at fair value determined using Level 1 and Level 2 of the hierarchy of valuation inputs, with the use of quoted market prices and inputs other than quoted prices that are observable for the assets.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As of September 30, 2021, the Company had loaned $99,815 to GCU, net of repayments.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September 30, 2021 and December 31, 2020, $1,209 and $1,198, respectively, net of amortization, of deferred content assets are included in other assets, long-term in the Company’s consolidated balance sheets and amortization is included in technical and academic services where the costs originated.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Amortizable Intangible Assets</w:t>
      </w:r>
    </w:p>
    <w:p>
      <w:pPr>
        <w:spacing w:after="0" w:line="225"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6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September 30, 2021.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The Acquisition was accounted for in accordance with the acquisition method of accounting. Under this method the cost of the target is allocated to the identifiable assets acquired and liabilities assumed based on their estimated fair values at the date of acquisition. 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 The fair value of the assets acquired, less the liabilities assumed, exceeded the purchase price by $157,825 which was recorded as goodwill.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carrying value of cash and cash equivalents, accounts receivable, accounts payable, accrued compensation and benefits and accrued liabilities expenses approximate their fair value based on the liquidity or the short-term maturities of these instruments. As of September 30, 2021 and December 31, 2020 the fair value of the Company’s Secured Note was $1,037,256 and $1,049,458, respectively. As of September 30, 2021 and December 31, 2020 the carrying value of Secured Note receivable was $964,912 for both periods. The carrying value of notes payable approximates fair value as it is based on variable rate index.</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inputs are quoted prices (unadjusted) in active markets for identical assets or liabilities.</w:t>
      </w:r>
    </w:p>
    <w:p>
      <w:pPr>
        <w:spacing w:after="0" w:line="293"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400"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Investments are comprised of corporate bonds, commercial paper, municipal securities, asset backed securities, municipal bonds, and collateralized mortgage obligations.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4"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Company’s receivables represent unconditional rights to consideration from our Services Agreements with our university partners. Accounts receivable, net is stated at amortized cost, net of any allowance for credit losses and contains billed and unbilled revenue. The Company evaluates the need for an allowance for credit losses using relevant available information about expected credit losses, including information about historical credit losses, past events, current conditions, and other factors which may affect the collectability of receivables. There have been no amounts written off and no allowance for credit losses established as of September 30, 2021 given historical collection experience. The Company will continue to review and revise its allowance methodology based on its collection experience with its partners.</w:t>
      </w:r>
    </w:p>
    <w:p>
      <w:pPr>
        <w:spacing w:after="0" w:line="16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$11,604 and $294 as of September 30, 2021 and December 31, 2020,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Company records its accounts receivable and Secured Note receivable at the net amount expected to be collected. Our accounts receivable are derived through education services provided to university partners. Our Secured Note receivable was derived through the sale of university 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Since our transition to an education services company on July 1, 2018, and continued growth to 27 university partners,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 xml:space="preserve">the Company has no credit losses with any of our university partners. In the first quarter of 2020, the Company adopted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using a modified retrospective approach. This model requires 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statements. The Company will continue to actively monitor the impact of the COVID-19 pandemic on expected credit losses.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September 30, 2021 and December 31, 2020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and its Secured Note. The Company has not experienced any losses on receivables since July 1, 2018, the date the Company transitioned to an educational service provider. To manage accounts receivable risk, the Company maintains an allowance for doubtful accounts, if needed. The Company monitors the credit risk exposure of the counterparty of the Secured Note to determine whether an adjustment to allowance for credit loss is necessary. A significant deterioration in the financial viability of our counterparty and corresponding decline in the fair value of the collateralized assets could impact the collectability risk of the Secured Note. Our dependence on our most significant university partner, which is also the counterparty to the Secured Note, with 85.0% and 86.5% of total service revenue for the nine-month periods ended September 30, 2021 and 2020, respectively, subjects us to the risk that declines in our customer’s operations would result in a sustained reduction in service revenue and interest income on the Secured Note for the Company.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Pronouncements Adopted in 2021</w:t>
      </w:r>
    </w:p>
    <w:p>
      <w:pPr>
        <w:spacing w:after="0" w:line="225"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This ASU is intended to simplify various aspects related to accounting for income taxes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Accordingly, the standard was adopted by the Company as of January 1, 2021. Most amendments within this ASU are required to be applied on a prospective basis, while certain amendments must be applied on a retrospective or modified retrospective basis. The adoption of this guidance did not have a material impact on the Company’s financial condition, results of operations or statements of cash flows.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At December 31, 2020, the Company had investments of $10,840 classified as trading. The trading investments are held in municipal and corporate securities. The cash flows of municipal securities are backed by the issuing municipality’s credit-worthiness.</w:t>
      </w:r>
    </w:p>
    <w:p>
      <w:pPr>
        <w:spacing w:after="0" w:line="184"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As of September 30, 2021, there were no unrealized gains or losses for available-for sale debt securities as all matured or were sold by September 30, 2021.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Income Per Common Share</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380" w:type="dxa"/>
            <w:vAlign w:val="bottom"/>
            <w:gridSpan w:val="3"/>
          </w:tcPr>
          <w:p>
            <w:pPr>
              <w:jc w:val="right"/>
              <w:ind w:right="17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0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44,212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46,808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45,272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47,051</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44,298</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47,095</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45,404</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47,336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479" w:firstLine="648"/>
        <w:spacing w:after="0" w:line="342"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left="60" w:right="239"/>
        <w:spacing w:after="0" w:line="279" w:lineRule="auto"/>
        <w:rPr>
          <w:sz w:val="20"/>
          <w:szCs w:val="20"/>
          <w:color w:val="auto"/>
        </w:rPr>
      </w:pPr>
      <w:r>
        <w:rPr>
          <w:rFonts w:ascii="Arial" w:cs="Arial" w:eastAsia="Arial" w:hAnsi="Arial"/>
          <w:sz w:val="17"/>
          <w:szCs w:val="17"/>
          <w:color w:val="auto"/>
        </w:rPr>
        <w:t>For the three month periods ended September 30, 2021 and 2020, approximately 73 and 79, respectively, and for the nine month periods ended September 30, 2021 and 2020, approximately 25 and 148, respectively, of the Company’s restricted stock awards outstanding were excluded from the calculation of diluted earnings per share as their inclusion would have been anti-dilutive. These restricted stock awards could be dilutive in the future.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Allowance for Credit Losses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Charged to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8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240" w:type="dxa"/>
            <w:vAlign w:val="bottom"/>
            <w:gridSpan w:val="4"/>
          </w:tcPr>
          <w:p>
            <w:pPr>
              <w:ind w:left="1320"/>
              <w:spacing w:after="0" w:line="149" w:lineRule="exact"/>
              <w:rPr>
                <w:sz w:val="20"/>
                <w:szCs w:val="20"/>
                <w:color w:val="auto"/>
              </w:rPr>
            </w:pPr>
            <w:r>
              <w:rPr>
                <w:rFonts w:ascii="Arial" w:cs="Arial" w:eastAsia="Arial" w:hAnsi="Arial"/>
                <w:sz w:val="14"/>
                <w:szCs w:val="14"/>
                <w:b w:val="1"/>
                <w:bCs w:val="1"/>
                <w:color w:val="auto"/>
              </w:rPr>
              <w:t>Beginning of</w:t>
            </w:r>
          </w:p>
        </w:tc>
        <w:tc>
          <w:tcPr>
            <w:tcW w:w="8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Period (1)</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Expense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Transfers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1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Nine months ended September 30, 2021</w:t>
            </w:r>
          </w:p>
        </w:tc>
        <w:tc>
          <w:tcPr>
            <w:tcW w:w="15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2020</w:t>
            </w:r>
          </w:p>
        </w:tc>
        <w:tc>
          <w:tcPr>
            <w:tcW w:w="15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141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represents the cumulative effect of the adoption of ASU No. 2016-13 on the Secured Note.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20" w:lineRule="exact"/>
        <w:rPr>
          <w:rFonts w:ascii="Arial" w:cs="Arial" w:eastAsia="Arial" w:hAnsi="Arial"/>
          <w:sz w:val="18"/>
          <w:szCs w:val="18"/>
          <w:color w:val="auto"/>
        </w:rPr>
      </w:pPr>
    </w:p>
    <w:p>
      <w:pPr>
        <w:ind w:left="240" w:hanging="190"/>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60" w:type="dxa"/>
            <w:vAlign w:val="bottom"/>
            <w:gridSpan w:val="3"/>
          </w:tcPr>
          <w:p>
            <w:pPr>
              <w:ind w:left="174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 improvements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14,352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15,439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46,981</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r>
      <w:tr>
        <w:trPr>
          <w:trHeight w:val="210"/>
        </w:trPr>
        <w:tc>
          <w:tcPr>
            <w:tcW w:w="5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241,610</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(125,204)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(112,953)</w:t>
            </w:r>
          </w:p>
        </w:tc>
      </w:tr>
      <w:tr>
        <w:trPr>
          <w:trHeight w:val="21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134,508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128,657</w:t>
            </w:r>
          </w:p>
        </w:tc>
      </w:tr>
      <w:tr>
        <w:trPr>
          <w:trHeight w:val="20"/>
        </w:trPr>
        <w:tc>
          <w:tcPr>
            <w:tcW w:w="5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Amortizable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79"/>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89"/>
              </w:rPr>
              <w:t>16</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151,543</w:t>
            </w:r>
          </w:p>
        </w:tc>
      </w:tr>
      <w:tr>
        <w:trPr>
          <w:trHeight w:val="209"/>
        </w:trPr>
        <w:tc>
          <w:tcPr>
            <w:tcW w:w="7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187,323</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have terms that range from four months to ten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$7,371 and $5,244 for the nine-month periods ended September 30, 2021 and 2020, respectively.</w:t>
      </w:r>
    </w:p>
    <w:p>
      <w:pPr>
        <w:spacing w:after="0" w:line="164" w:lineRule="exact"/>
        <w:rPr>
          <w:sz w:val="20"/>
          <w:szCs w:val="20"/>
          <w:color w:val="auto"/>
        </w:rPr>
      </w:pPr>
    </w:p>
    <w:p>
      <w:pPr>
        <w:ind w:left="60" w:right="319" w:firstLine="648"/>
        <w:spacing w:after="0" w:line="311" w:lineRule="auto"/>
        <w:rPr>
          <w:sz w:val="20"/>
          <w:szCs w:val="20"/>
          <w:color w:val="auto"/>
        </w:rPr>
      </w:pPr>
      <w:r>
        <w:rPr>
          <w:rFonts w:ascii="Arial" w:cs="Arial" w:eastAsia="Arial" w:hAnsi="Arial"/>
          <w:sz w:val="16"/>
          <w:szCs w:val="16"/>
          <w:color w:val="auto"/>
        </w:rPr>
        <w:t>As of September 30, 2021, the Company had no non-cancelable operating lease commitments that had not yet commenced. The Company’s weighted-average remaining lease term relating to its operating leases is 8.07 years, with a weighted-average discount rate of 3.1%. As of September 30, 2021, the Company had no financing leases.</w:t>
      </w:r>
    </w:p>
    <w:p>
      <w:pPr>
        <w:spacing w:after="0" w:line="14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September 30, 2021,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9,296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8,359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31,727</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60,674</w:t>
            </w: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Notes Payable and Other Noncurrent Liabilities</w:t>
      </w:r>
    </w:p>
    <w:p>
      <w:pPr>
        <w:spacing w:after="0" w:line="22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We entered into an amended and restated credit agreement dated January 22, 2019 and two related amendments dated January 31, 2019 and dated February 1, 2019, respectively, that together provide a credit facility of $325,000 comprised of a term loan facility of $243,750 and a revolving credit facility of $81,250, both with a five-year maturity date. The Company concluded that the amended and restated credit agreement is considered a loan modification. Accordingly, the Company allocated the costs paid to the bank consortium based on the borrowing dollars and recorded an asset of $596 and a contra liability of $1,639, which are related to our revolver and term loan, respectively, that is being amortized to interest expense over the five-year maturity date.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entered into a further amendment for the credit facility on October 31, 2019. This amendment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increased the revolving commitment by $68,750 to $150,000, while reducing the term loan by the same $68,750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$150,625. The Company concluded that this amendment is considered a loan modification.  The amended and restated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credit agreement contains standard covenants that, among other things, restrict the Company’s ability to incur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debt or make certain investments, and require the Company to achieve certain financial ratios and maintain certain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financial conditions. The Company’s obligations under the credit facility are secured by its assets, including all rights,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benefits and payments under the Secured Note and the Master Services Agreement. As of September 30, 2021,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is in compliance with its financial covenants and the note payable totals $83,680, excluding the contra liability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$765.</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1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60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w w:val="92"/>
              </w:rPr>
              <w:t>Note payable, quarterly payment of $8,368 starting December 31, 2019; interest at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5"/>
              </w:rPr>
              <w:t>30-Day LIBOR plus 2.00% (2.09% at September 30, 2021) through January 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82,915</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107,774</w:t>
            </w:r>
          </w:p>
        </w:tc>
      </w:tr>
      <w:tr>
        <w:trPr>
          <w:trHeight w:val="209"/>
        </w:trPr>
        <w:tc>
          <w:tcPr>
            <w:tcW w:w="6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82,915</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107,774</w:t>
            </w: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r>
      <w:tr>
        <w:trPr>
          <w:trHeight w:val="210"/>
        </w:trPr>
        <w:tc>
          <w:tcPr>
            <w:tcW w:w="6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74,630</w:t>
            </w: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193" w:lineRule="exact"/>
        <w:rPr>
          <w:sz w:val="20"/>
          <w:szCs w:val="20"/>
          <w:color w:val="auto"/>
        </w:rPr>
      </w:pPr>
    </w:p>
    <w:p>
      <w:pPr>
        <w:ind w:left="700" w:right="6579" w:hanging="650"/>
        <w:spacing w:after="0" w:line="603" w:lineRule="auto"/>
        <w:tabs>
          <w:tab w:leader="none" w:pos="31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Company makes equity incentive grants pursuant to our 2017 Equity Incentive Plan (the “2017 Plan”) under which a maximum of 3,000 shares may be granted. As of September 30, 2021, 1,414 shares were available for grants under the 2017 Plan.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59" w:firstLine="648"/>
        <w:spacing w:after="0" w:line="266" w:lineRule="auto"/>
        <w:rPr>
          <w:sz w:val="20"/>
          <w:szCs w:val="20"/>
          <w:color w:val="auto"/>
        </w:rPr>
      </w:pPr>
      <w:r>
        <w:rPr>
          <w:rFonts w:ascii="Arial" w:cs="Arial" w:eastAsia="Arial" w:hAnsi="Arial"/>
          <w:sz w:val="17"/>
          <w:szCs w:val="17"/>
          <w:color w:val="auto"/>
        </w:rPr>
        <w:t>During the nine months ended September 30, 2021, the Company granted 180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nine months ended September 30, 2021, the Company withheld 56 shares of common stock in lieu of taxes at a cost of $5,994 on the restricted stock vesting dates. In June 2021, following the annual stockholders meeting, the Company granted 4 shares of common stock to the non-employee members of the Company’s Board of Directors. Included in this amount is an initial award of shares that was granted to a newly appointed non-employee director pursuant to the Company’s compensation program. The newly appointed non-employee director also received an annual grant of restricted shares. The restricted shares granted to these directors under the annual restricted shares grant have voting rights and vest on the earlier of (a) the one year anniversary of the date of grant or (b) immediately prior to the following year’s annual stockholders’ meeting. The initial award of shares that were granted to the newly appointed non-employee director have voting rights and vest on the one year anniversary of the date of grant. A summary of the activity related to restricted stock granted under the Company’s Incentive Plan since December 31, 2020 is as follows:</w:t>
      </w:r>
    </w:p>
    <w:tbl>
      <w:tblPr>
        <w:tblLayout w:type="fixed"/>
        <w:tblInd w:w="40" w:type="dxa"/>
        <w:tblCellMar>
          <w:top w:w="0" w:type="dxa"/>
          <w:left w:w="0" w:type="dxa"/>
          <w:bottom w:w="0" w:type="dxa"/>
          <w:right w:w="0" w:type="dxa"/>
        </w:tblCellMar>
      </w:tblPr>
      <w:tr>
        <w:trPr>
          <w:trHeight w:val="143"/>
        </w:trPr>
        <w:tc>
          <w:tcPr>
            <w:tcW w:w="674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2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86.05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Forfeited, canceled or expired</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September 30,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During the nine months ended September 30, 2021, no options were granted. A summary of the activity since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related to stock options granted under the Company’s Incentive Plan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9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Summary of Stock Options Outstanding</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Weighted</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 per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Value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2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2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20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2021</w:t>
            </w:r>
          </w:p>
        </w:tc>
        <w:tc>
          <w:tcPr>
            <w:tcW w:w="2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Exercisable as of September 30, 2021</w:t>
            </w:r>
          </w:p>
        </w:tc>
        <w:tc>
          <w:tcPr>
            <w:tcW w:w="2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gridSpan w:val="2"/>
            <w:vMerge w:val="continue"/>
          </w:tcPr>
          <w:p>
            <w:pPr>
              <w:spacing w:after="0"/>
              <w:rPr>
                <w:sz w:val="17"/>
                <w:szCs w:val="17"/>
                <w:color w:val="auto"/>
              </w:rPr>
            </w:pPr>
          </w:p>
        </w:tc>
        <w:tc>
          <w:tcPr>
            <w:tcW w:w="206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6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60" w:type="dxa"/>
            <w:vAlign w:val="bottom"/>
            <w:vMerge w:val="restart"/>
          </w:tcPr>
          <w:p>
            <w:pPr>
              <w:jc w:val="right"/>
              <w:ind w:right="1050"/>
              <w:spacing w:after="0"/>
              <w:rPr>
                <w:sz w:val="20"/>
                <w:szCs w:val="20"/>
                <w:color w:val="auto"/>
              </w:rPr>
            </w:pPr>
            <w:r>
              <w:rPr>
                <w:rFonts w:ascii="Arial" w:cs="Arial" w:eastAsia="Arial" w:hAnsi="Arial"/>
                <w:sz w:val="18"/>
                <w:szCs w:val="18"/>
                <w:color w:val="auto"/>
              </w:rPr>
              <w:t>19</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nine months ended September 30, 2021 and 2020 related to restricted stock granted: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r>
      <w:tr>
        <w:trPr>
          <w:trHeight w:val="210"/>
        </w:trPr>
        <w:tc>
          <w:tcPr>
            <w:tcW w:w="61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r>
      <w:tr>
        <w:trPr>
          <w:trHeight w:val="209"/>
        </w:trPr>
        <w:tc>
          <w:tcPr>
            <w:tcW w:w="6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r>
      <w:tr>
        <w:trPr>
          <w:trHeight w:val="20"/>
        </w:trPr>
        <w:tc>
          <w:tcPr>
            <w:tcW w:w="6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Treasury Stock</w:t>
      </w:r>
    </w:p>
    <w:p>
      <w:pPr>
        <w:spacing w:after="0" w:line="229"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In January 2021 and July 2021, the Board of Directors increased the authorization under its existing stock repurchase program by $100,000 and $970,000, respectively, reflecting an aggregate authorization for share repurchases since the initiation of our program of $1,470,000. The expiration date on the repurchase authorization is December 31, 2021.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64"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On March 10, 2021, the Company entered into an accelerated share repurchase (“ASR”) agreement with Morgan Stanley &amp; Co. LLC (“Morgan Stanley”) to repurchase up to $35,000 of its outstanding shares of common stock as part of the Company’s share repurchase program. Under the ASR agreement, the Company received initial delivery of approximately 276 shares of common stock, representing approximately 80% of the number of shares of common stock initially underlying the ASR agreement based on the closing price of the common stock of $101.49, on March 9, 2021. At inception of the ASR agreement, the Company recognized the initial delivery of shares as treasury stock of $28,000, and recognized the remaining amount underlying the ASR agreement as a reduction of additional paid in capital of $7,000.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May 4, 2021 with additional delivery of 46 shares of common stock. At settlement of the ASR agreement, the Company recognized an increase to additional paid in capital and a decrease in treasury stock of $7,000 related to the remaining delivery of shares. The ASR agreement resulted in a total of 322 shares repurchased at an average cost of $108.76.</w:t>
      </w:r>
    </w:p>
    <w:p>
      <w:pPr>
        <w:spacing w:after="0" w:line="18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On May 14, 2021, the Company entered into an ASR agreement with Morgan Stanley to repurchase up to $50,000 of its outstanding shares of common stock as part of the Company’s share repurchase program. Under the ASR agreement, the Company received initial delivery on May 17, 2021 of approximately 418 shares of common stock, representing approximately 80% of the number of shares of common stock initially underlying the ASR agreement based on the closing price of the common stock of $95.63, on May 14, 2021. At inception of the ASR agreement, the Company recognized the initial delivery of shares as treasury stock of $40,000, and recognized the remaining amount underlying the ASR agreement as a reduction to additional paid in capital of $10,000. The total number of shares that the Company will repurchase under the ASR program will be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August 13, 2021 with additional delivery of 139 shares of common stock. At settlement of the ASR agreement, the Company recognized an increase to additional paid in capital and a decrease in treasury stock of $10,000</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related to the remaining delivery of shares. The ASR agreement resulted in a total of 558 shares repurchased at an average cost of $89.68.</w:t>
      </w:r>
    </w:p>
    <w:p>
      <w:pPr>
        <w:spacing w:after="0" w:line="170"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During the nine months ended September 30, 2021 the Company repurchased 3,873 shares of common stock, which includes shares received as of September 30, 2021 under the ASR on March 10, 2021 and shares received under the ASR on May 17, 2021, at an aggregate cost of $354,185. At September 30, 2021, there remained $864,085 available under its current share repurchase authorization. Shares repurchased in lieu of taxes are not included in the repurchase plan totals as they were approved in conjunction with the restricted share awards.</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Modification of Credit Agreement with Grand Canyon University.</w:t>
      </w:r>
    </w:p>
    <w:p>
      <w:pPr>
        <w:spacing w:after="0" w:line="225"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On October 28, 2021, the Company received formal notice from GCU of GCU’s entry into a refinancing transaction (the “Refinancing”) the proceeds of which will be used to repay $500.0 million of the outstanding balance of the Secured Note on October 29, 2021. In connection with the Refinancing and related partial repayment of the Secured Note, the Company entered into a Modification of Credit Agreement with GCU (the “Modification”). The Modification provides that, in exchange for the partial repayment, (i) the Company will release its first priority lien on GCU’s assets, (ii) GCU will grant a first priority lien to a financial institution as master trustee under a master trust indenture (the “Master Trust Indenture”), and (iii) the Company will receive an obligation from the master trust evidencing the remaining balance of the Secured Note due to the Company (the “Trust Obligation”). The Trust Obligation continues to bear interest at an annual rate of 6.0%, has a maturity date of June 30, 2025, and is secured on an equal and proportional basis with all other obligations issued under the Master Trust Indenture by all of the assets of GCU.</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Termination of GCE Credit Agreement</w:t>
      </w:r>
      <w:r>
        <w:rPr>
          <w:rFonts w:ascii="Arial" w:cs="Arial" w:eastAsia="Arial" w:hAnsi="Arial"/>
          <w:sz w:val="18"/>
          <w:szCs w:val="18"/>
          <w:u w:val="single" w:color="auto"/>
          <w:color w:val="auto"/>
        </w:rPr>
        <w:t>.</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Company is a party to that certain Amended and Restated Credit Agreement, dated as of January 22, 2019, among the Company, Orbis Education Services, LLC, a wholly owned subsidiary of the Company, as guarantor, Bank of America, N.A. as administrative agent, swing line lender and letter of credit issuers, and the other lenders names therein (as amended, the “GCE Credit Agreement”). Upon its receipt of the proceeds from the Refinancing in partial payment of the Secured Note, the Company repaid all amounts due under the outstanding term loan and revolving credit facilities of, and terminated, the GCE Credit Agreement and plans to use the balance of such proceeds for general corporate purposes, including repurchases of shares under the Company’s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statements as to whether regulatory, economic, or business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Currently, one of the most significant factors that could cause actual outcomes to differ materially from our forward-looking statements is the continuing, and potential future, adverse effects of the COVID-19 pandemic, and federal, state and/or local regulatory guidelines and private business actions to control it, on the global economy and the financial markets, the higher education industry in which we operate, our university partners, and, ultimately, on our financial condition, operating results and cash flows. The extent to which the COVID-19 pandemic will continue to impact us and our university partners will depend on future developments, including the scope, severity and duration of the pandemic, and the resulting economic impacts and potential changes in behavior, among others, all of which are highly uncertain and cannot be predicted with confidence. Important factors that could cause our actual performance or results to differ materially from those expressed in or suggested by the forward-looking statements, and which may be further heightened by the COVID-19 pandemic, include, but are not limited to:</w:t>
      </w:r>
    </w:p>
    <w:p>
      <w:pPr>
        <w:spacing w:after="0" w:line="167" w:lineRule="exact"/>
        <w:rPr>
          <w:sz w:val="20"/>
          <w:szCs w:val="20"/>
          <w:color w:val="auto"/>
        </w:rPr>
      </w:pPr>
    </w:p>
    <w:p>
      <w:pPr>
        <w:ind w:left="720" w:right="61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harm to our business, results of operations, and financial condition, and harm to our university partners resulting from epidemics, pandemics, including the COVID-19 outbreak, or public health crises;</w:t>
      </w:r>
    </w:p>
    <w:p>
      <w:pPr>
        <w:spacing w:after="0" w:line="123" w:lineRule="exact"/>
        <w:rPr>
          <w:rFonts w:ascii="Arial" w:cs="Arial" w:eastAsia="Arial" w:hAnsi="Arial"/>
          <w:sz w:val="16"/>
          <w:szCs w:val="16"/>
          <w:color w:val="auto"/>
        </w:rPr>
      </w:pPr>
    </w:p>
    <w:p>
      <w:pPr>
        <w:ind w:left="720" w:right="9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partners;</w:t>
      </w:r>
    </w:p>
    <w:p>
      <w:pPr>
        <w:spacing w:after="0" w:line="183"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right="7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and</w:t>
      </w:r>
    </w:p>
    <w:p>
      <w:pPr>
        <w:spacing w:after="0" w:line="238"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“2020 Form 10-K”) filed with the Securities and Exchange Commission (“SEC”) for the fiscal year ended December 31, 2020, as updated in our subsequent reports filed with the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and at two off-campus classroom and laboratory sites.</w:t>
      </w:r>
    </w:p>
    <w:p>
      <w:pPr>
        <w:spacing w:after="0" w:line="164"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In January 2019, GCE began providing education services to numerous university partners across the United States, through our wholly owned subsidiary, Orbis Education, which we acquired on January 22, 2019. In the healthcare field, GCE, together with Orbis Education, works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As of September 30, 2021, GCE provides education services to 27 university partners across the United States.</w:t>
      </w:r>
    </w:p>
    <w:p>
      <w:pPr>
        <w:spacing w:after="0" w:line="195"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We plan to continue to add additional university partners and will roll out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Therefore, we refer to all university partners as “GCE partners” or “our partners” and no longer differentiate between partners of GCE and partners of Orbis Education; we will, however, continue to disclose significant information for GCU, such as enrollments, due to its size in comparison to our other university partners.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231F20"/>
        </w:rPr>
        <w:t>Since March 2020, the world has been, and continues to be, impacted by the COVID-19 pandemic. This contagious outbreak, which has continued to spread, and the related adverse public health developments that have occurred at various times since March 2020, including orders to shelter-in-place, travel restrictions and mandated non-essential business closures, have adversely affected workforces, organizations, customers, economies and financial markets globally. It has also disrupted the normal operations of many businesses, including ours, and that of our university partners.</w:t>
      </w:r>
    </w:p>
    <w:p>
      <w:pPr>
        <w:spacing w:after="0" w:line="16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231F20"/>
        </w:rPr>
        <w:t>GCE has a long-term master services agreement with GCU (the “Master Services Agreement”) pursuant to which GCE provides education services to GCU in return for 60% of GCU’s tuition and fee revenues, which includes fee revenues from room, board, and other ancillary businesses including a student-run golf course and hotel.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pacing w:after="0" w:line="178"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231F20"/>
        </w:rPr>
        <w:t>The COVID-19 outbreak, as well as measures taken to contain its spread, has impacted GCU’s students and its business in a number of ways. Beginning in March 2020, GCU’s programs for its professional studies students and its traditional ground university students were immediately converted to an online learning environment and residential students were strongly encouraged to move off campus. Summer 2020 semester classes were moved to an online environment as well and most students were given the choice of attending the Fall 2020 semester in person or completely online. Given GCE’s historical experience delivering online education services and the fact that all of GCU’s students and faculty use the university’s online learning management system for at least some of the coursework, the transition was seamless and thus, the university did not incur a significant decrease in tuition revenue or significant increase in costs associated with this transition in March 2020. The following impacts from the COVID-19 pandemic,</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231F20"/>
        </w:rPr>
        <w:t>however, did serve to reduce GCU’s non-tuition revenue during 2020 and have or will reduce GCU’s revenue during 2021 and, consequently, the service revenues we earned under the Master Services Agreement:</w:t>
      </w:r>
    </w:p>
    <w:p>
      <w:pPr>
        <w:spacing w:after="0" w:line="386" w:lineRule="exact"/>
        <w:rPr>
          <w:sz w:val="20"/>
          <w:szCs w:val="20"/>
          <w:color w:val="auto"/>
        </w:rPr>
      </w:pPr>
    </w:p>
    <w:p>
      <w:pPr>
        <w:ind w:left="720" w:right="179" w:hanging="319"/>
        <w:spacing w:after="0" w:line="286"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Traditional ground university students who elected to move off campus near the end of the Spring 2020 semester received partial refunds for dormitory and meal payments, which reduced GCU’s revenue and thus the service revenues earned by GCE in the last nine days of March 2020 and the month of April 2020;</w:t>
      </w:r>
    </w:p>
    <w:p>
      <w:pPr>
        <w:spacing w:after="0" w:line="165" w:lineRule="exact"/>
        <w:rPr>
          <w:rFonts w:ascii="Arial" w:cs="Arial" w:eastAsia="Arial" w:hAnsi="Arial"/>
          <w:sz w:val="17"/>
          <w:szCs w:val="17"/>
          <w:color w:val="231F20"/>
        </w:rPr>
      </w:pPr>
    </w:p>
    <w:p>
      <w:pPr>
        <w:jc w:val="both"/>
        <w:ind w:left="720" w:right="179" w:hanging="319"/>
        <w:spacing w:after="0" w:line="259"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Ancillary businesses operated by GCU such as its hotel and merchandise shops were closed in late March 2020. Most of these businesses re-opened with scaled back operations in mid-September 2020, which reduced and will continue to reduce GCU’s revenues and thus the service revenues earned by GCE until these businesses are fully reopened;</w:t>
      </w:r>
    </w:p>
    <w:p>
      <w:pPr>
        <w:spacing w:after="0" w:line="186" w:lineRule="exact"/>
        <w:rPr>
          <w:rFonts w:ascii="Arial" w:cs="Arial" w:eastAsia="Arial" w:hAnsi="Arial"/>
          <w:sz w:val="18"/>
          <w:szCs w:val="18"/>
          <w:color w:val="231F20"/>
        </w:rPr>
      </w:pPr>
    </w:p>
    <w:p>
      <w:pPr>
        <w:ind w:left="720" w:right="179" w:hanging="319"/>
        <w:spacing w:after="0" w:line="259"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Limited residential students remained on campus during the Summer 2020 semester, which reduced GCU’s dormitory and ancillary revenues and thus the service revenues earned by GCE in 2020. The number of residential students that remained on campus during the Summer 2021 semester, however, was higher than in the Summer of 2019;</w:t>
      </w:r>
    </w:p>
    <w:p>
      <w:pPr>
        <w:spacing w:after="0" w:line="186" w:lineRule="exact"/>
        <w:rPr>
          <w:rFonts w:ascii="Arial" w:cs="Arial" w:eastAsia="Arial" w:hAnsi="Arial"/>
          <w:sz w:val="18"/>
          <w:szCs w:val="18"/>
          <w:color w:val="231F20"/>
        </w:rPr>
      </w:pPr>
    </w:p>
    <w:p>
      <w:pPr>
        <w:ind w:left="720" w:right="119" w:hanging="319"/>
        <w:spacing w:after="0" w:line="270"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GCU’s doctoral students are required to attend two residencies on the university’s campus and at its hotel in Phoenix, Arizona as part of their dissertation. On an annual basis approximately 3,000 learners attend the week-long residencies, most of whom have historically attended in the Summer. Most of the residencies which were scheduled for the last week of March 2020 through the end of July 2020 were cancelled, and the residencies scheduled for August 2020 through December 2020 were held at another location with lower than normal attendance. This reduced GCU’s revenues including at its hotel, and thus reduced service revenues earned by GCE until residencies returned to normal attendance. In the first quarter of 2021, doctoral residencies returned to the university’s campus and its hotel, although at lower than normal attendance rates; attendance at doctoral residencies in the second quarter of 2021 returned to 2019 levels;</w:t>
      </w:r>
    </w:p>
    <w:p>
      <w:pPr>
        <w:spacing w:after="0" w:line="180" w:lineRule="exact"/>
        <w:rPr>
          <w:rFonts w:ascii="Arial" w:cs="Arial" w:eastAsia="Arial" w:hAnsi="Arial"/>
          <w:sz w:val="17"/>
          <w:szCs w:val="17"/>
          <w:color w:val="231F20"/>
        </w:rPr>
      </w:pPr>
    </w:p>
    <w:p>
      <w:pPr>
        <w:ind w:left="720" w:right="219" w:hanging="319"/>
        <w:spacing w:after="0" w:line="301" w:lineRule="auto"/>
        <w:tabs>
          <w:tab w:leader="none" w:pos="7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GCU shifted its start date for the Fall 2020 semester for its traditional ground students from August 24, 2020 to September 8, 2020, which had the effect of shifting tuition revenue for all GCU traditional students and certain ancillary revenue for residential students, from the third quarter of 2020 to the fourth quarter of 2020. This later start date for the Fall semester was retained in 2021 as the semester began on September 7, 2021;</w:t>
      </w:r>
    </w:p>
    <w:p>
      <w:pPr>
        <w:spacing w:after="0" w:line="157" w:lineRule="exact"/>
        <w:rPr>
          <w:rFonts w:ascii="Arial" w:cs="Arial" w:eastAsia="Arial" w:hAnsi="Arial"/>
          <w:sz w:val="16"/>
          <w:szCs w:val="16"/>
          <w:color w:val="231F20"/>
        </w:rPr>
      </w:pPr>
    </w:p>
    <w:p>
      <w:pPr>
        <w:ind w:left="720" w:right="259" w:hanging="319"/>
        <w:spacing w:after="0" w:line="273"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GCU shifted its move-in date for its residential students in the Fall 2020 semester to the week of September 21, 2020, which reduced housing revenue and certain ancillary revenue for residential students by three weeks. In addition, approximately 4,900 of GCU’s traditional campus students elected to attend the Fall 2020 semester entirely in the online modality. Residential enrollment for the Fall 2020 semester was approximately 11,500 whereas residential bed capacity is approximately 14,500. This reduction in residential students caused a reduction in GCU’s revenue and thus the service revenues earned by GCE;</w:t>
      </w:r>
    </w:p>
    <w:p>
      <w:pPr>
        <w:spacing w:after="0" w:line="177" w:lineRule="exact"/>
        <w:rPr>
          <w:rFonts w:ascii="Arial" w:cs="Arial" w:eastAsia="Arial" w:hAnsi="Arial"/>
          <w:sz w:val="17"/>
          <w:szCs w:val="17"/>
          <w:color w:val="231F20"/>
        </w:rPr>
      </w:pPr>
    </w:p>
    <w:p>
      <w:pPr>
        <w:ind w:left="720" w:right="79" w:hanging="319"/>
        <w:spacing w:after="0" w:line="293" w:lineRule="auto"/>
        <w:tabs>
          <w:tab w:leader="none" w:pos="7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The first week of the Spring 2021 semester was completed in an online modality for GCU’s traditional students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2021 semester entirely in the online modality. These changes had the effect of reducing GCU’s dormitory and ancillary revenues in the Spring of 2021 and thus the service revenues earned by GCE;</w:t>
      </w:r>
    </w:p>
    <w:p>
      <w:pPr>
        <w:spacing w:after="0" w:line="164" w:lineRule="exact"/>
        <w:rPr>
          <w:rFonts w:ascii="Arial" w:cs="Arial" w:eastAsia="Arial" w:hAnsi="Arial"/>
          <w:sz w:val="16"/>
          <w:szCs w:val="16"/>
          <w:color w:val="231F20"/>
        </w:rPr>
      </w:pPr>
    </w:p>
    <w:p>
      <w:pPr>
        <w:ind w:left="720" w:right="119" w:hanging="319"/>
        <w:spacing w:after="0" w:line="291" w:lineRule="auto"/>
        <w:tabs>
          <w:tab w:leader="none" w:pos="7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During the second quarter of 2020, GCU’s online enrollment growth accelerated significantly into the high single digits. The increased level of online enrollment at that time resulted from a combination of factors including an acceleration of new students starting programs, a higher than expected number of students returning to the university that had taken a break from their program (“re-enters”) and a lower than expected number of students deciding to drop out of or take a break from their program. We believe these trends were primarily caused by the shutdowns precipitated by the COVID-19 outbreak as greater numbers of working adults decided to return to school to finish undergraduate degree programs that they had previously started or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90" w:lineRule="auto"/>
        <w:rPr>
          <w:sz w:val="20"/>
          <w:szCs w:val="20"/>
          <w:color w:val="auto"/>
        </w:rPr>
      </w:pPr>
      <w:r>
        <w:rPr>
          <w:rFonts w:ascii="Arial" w:cs="Arial" w:eastAsia="Arial" w:hAnsi="Arial"/>
          <w:sz w:val="16"/>
          <w:szCs w:val="16"/>
          <w:color w:val="231F20"/>
        </w:rPr>
        <w:t>start new graduate degree programs during this time. These trends generally continued through the first quarter of 2021. Beginning in the second quarter of 2021, online enrollment growth rates as compared to the prior year period began to slow as both new enrollments and re-enters were down year over year, the numbers of students dropping out of school or taking periodic breaks in their program returned to historical levels and students completing their programs increased significantly on a year over year basis. We anticipate that some or all of these trends will continue through the rest of 2021 and thus the year over year online growth rate might continue to decline. We believe that as the year over year comparables return to historical levels and schools, hospitals and businesses fully reopen, our online enrollment growth rate will begin to re-accelerate;</w:t>
      </w:r>
    </w:p>
    <w:p>
      <w:pPr>
        <w:spacing w:after="0" w:line="165" w:lineRule="exact"/>
        <w:rPr>
          <w:sz w:val="20"/>
          <w:szCs w:val="20"/>
          <w:color w:val="auto"/>
        </w:rPr>
      </w:pPr>
    </w:p>
    <w:p>
      <w:pPr>
        <w:ind w:left="720" w:right="119" w:hanging="319"/>
        <w:spacing w:after="0" w:line="257"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Professional studies students have declined significantly since the onset of the COVID-19 outbreak. Professional studies students at that time were converted to the online learning environment; since then, most have completed their programs while no new cohorts have been started until very recently. Now that the university has approved the recruitment of new professional studies cohorts, we anticipate that the number of these students will begin to grow.</w:t>
      </w:r>
    </w:p>
    <w:p>
      <w:pPr>
        <w:spacing w:after="0" w:line="18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231F20"/>
        </w:rPr>
        <w:t xml:space="preserve">GCE also has long-term services agreements with </w:t>
      </w:r>
      <w:r>
        <w:rPr>
          <w:rFonts w:ascii="Arial" w:cs="Arial" w:eastAsia="Arial" w:hAnsi="Arial"/>
          <w:sz w:val="16"/>
          <w:szCs w:val="16"/>
          <w:color w:val="000000"/>
        </w:rPr>
        <w:t>numerous other university partners across the United States.</w:t>
      </w:r>
      <w:r>
        <w:rPr>
          <w:rFonts w:ascii="Arial" w:cs="Arial" w:eastAsia="Arial" w:hAnsi="Arial"/>
          <w:sz w:val="16"/>
          <w:szCs w:val="16"/>
          <w:color w:val="231F20"/>
        </w:rPr>
        <w:t xml:space="preserve"> </w:t>
      </w:r>
      <w:r>
        <w:rPr>
          <w:rFonts w:ascii="Arial" w:cs="Arial" w:eastAsia="Arial" w:hAnsi="Arial"/>
          <w:sz w:val="16"/>
          <w:szCs w:val="16"/>
          <w:color w:val="000000"/>
        </w:rPr>
        <w:t>The majority of these other university partners’ students are studying in the Accelerated Bachelor of Science in Nursing program which is offered in a 12-16 month format in three or four academic semesters. The Spring, Summer and Fall 2020 and Spring and Summer 2021 semesters were completed without interruption and each university partner has started its Fall 2021 semester. Some students who were scheduled to start their programs in the Summer 2020 semester delayed their start until the Fall 2020 semester, which resulted in lower enrollments and revenues in the Summer 2020 semester than was planned. In a number of locations, the demand to start in the Fall 2020 semester was greater than initially planned but a number of our university or healthcare partners chose not to increase the Fall 2020 cohort size to compensate for the Summer 2020 start shortfall due to concerns about clinical availability. The Fall 2020 enrollment was only slightly lower than our original expectations as the Summer 2020 new start shortfall was offset by higher retention rates and slightly higher than expected Fall 2020 new starts. Beginning with the Summer 2021 semester and continuing into the Fall 2021 semester, we have experienced a decline in revenue per student from students in these programs caused primarily by some students delaying their scheduled clinical courses due to vaccine mandates at hospital partners.</w:t>
      </w:r>
    </w:p>
    <w:p>
      <w:pPr>
        <w:spacing w:after="0" w:line="17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No other changes are currently anticipated with our other university partners related to the Fall 2021 semester that would have a material impact on GCE’s service revenue, operating profit and operating margins. However, if one of our university partners were to close an off-campus classroom and laboratory site prior to the end of the Fall 2021 semester, or take some other action that adversely impacted program enrollment, such an event would reduce the service revenues earned by GCE.</w:t>
      </w:r>
    </w:p>
    <w:p>
      <w:pPr>
        <w:spacing w:after="0" w:line="188"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212529"/>
        </w:rPr>
        <w:t>The COVID-19 outbreak also presents operational challenges to GCE as a large percentage of our workforce is currently working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critical accounting policies are disclosed in the 2020 Form 10-K for the fiscal year ended December 31,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nine months ended September 30, 2021, there were no significant changes in our critical accounting policies.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Amortization of intangible assets has been excluded from the table below:</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Three Months Ended</w:t>
            </w: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380" w:type="dxa"/>
            <w:vAlign w:val="bottom"/>
          </w:tcPr>
          <w:p>
            <w:pPr>
              <w:spacing w:after="0"/>
              <w:rPr>
                <w:sz w:val="14"/>
                <w:szCs w:val="14"/>
                <w:color w:val="auto"/>
              </w:rPr>
            </w:pPr>
          </w:p>
        </w:tc>
        <w:tc>
          <w:tcPr>
            <w:tcW w:w="18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3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17.2 %</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15.5 %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15.7 %</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13.9 %</w:t>
            </w: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0" w:type="dxa"/>
            <w:vAlign w:val="bottom"/>
            <w:shd w:val="clear" w:color="auto" w:fill="CCEEFF"/>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w:t>
            </w:r>
          </w:p>
        </w:tc>
        <w:tc>
          <w:tcPr>
            <w:tcW w:w="400" w:type="dxa"/>
            <w:vAlign w:val="bottom"/>
          </w:tcPr>
          <w:p>
            <w:pPr>
              <w:spacing w:after="0"/>
              <w:rPr>
                <w:sz w:val="18"/>
                <w:szCs w:val="18"/>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225"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September 30, 2021 was $206.8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 of $8.4 million, or 4.2%, as compared to service revenue of $198.4 million for the three months ended September 30, 2020. The increase year over year in service revenue was primarily due to year over year increases in university partner enrollments and in revenue per student. Partner enrollments totaled 118,832 at September 30, 2021 as compared to 117,772 at September 30, 2020. University partner enrollments at our off-campus classroom and laboratory sites were 5,652, an increase of 12.1% over enrollments at September 30, 2020, which includes 286 GCU students at September 30, 2021. Enrollments at GCU grew to 113,466 at September 30, 2021, an increase of 0.6% over enrollments at September 30, 2020. Enrollments for GCU ground traditional students were 23,628 at September 30, 2021 up from 22,363 at September 30, 2020 primarily due to a 9.5% increase in traditional ground students between years. GCU’s ground traditional students residing on campus in GCU’s residence halls increased from 11,441 in the Fall of 2020 to 15,570 in the Fall of 2021, an increase of 36.1%, representing approximately 65.9% of GCU’s ground traditional students. GCU had a decline in its working adult students (online and professional studies) between September 30, 2020 and September 30, 2021 (see – </w:t>
      </w: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above). The increase in revenue per student between years is primarily due to the service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impact of the increased room, board and other ancillary revenues at GCU in the third quarter of 2021 as compared to the prior year period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the growth in the enrollment for students at off-campus classroom and laboratory sites. Service revenue per student for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are studying in the Accelerated Bachelor of Science in Nursing program and take more credits on average per semester. The ten new off-campus classroom and laboratory sites opened in the past 15 months, partially offset by the non-renewal of the contract with a university partner with two sites in the first quarter of 2021 increased the total number of these sites to 31.</w:t>
      </w:r>
    </w:p>
    <w:p>
      <w:pPr>
        <w:spacing w:after="0" w:line="180"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were $35.6 million, an increase of $4.8 million, or 15.7%, as compared to technology and academic services expenses of $30.8 million for the three months ended September 30, 2020. This increase was primarily due to increases in employee compensation and related expenses including share-based compensation and in occupancy and depreciation including lease expenses of $4.6 million and $0.4 million, respectively, partially offset by a slight decrease in technology and academic supply costs of $0.2 million. These increases were primarily due to increased headcount to support our 27 university partners, and their increased enrollment growth, tenure-based salary adjustments, an increase in benefit costs and the increased number of off-campus classroom and laboratory sites year over year. Our technology and academic services expenses as a percentage of net revenue increased 1.7% to 17.2% for the three months ended September 30, 2021, from 15.5% for the three months ended September 30, 2020. This increase was primarily due to partnership agreements with university partners that have off-campus classroom and laboratory sites requiring a higher level of technology and academic services than our agreement with GCU partially offset by the increased Summer and Fall 2021 semester ancillary revenues at GCU. GCE has 31 off-campus classroom and laboratory sites open as of</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September 30, 2021. Additionally, in the third quarter of 2021 we incurred costs for a number of locations that we anticipate will open in the next 12 months.</w:t>
      </w:r>
    </w:p>
    <w:p>
      <w:pPr>
        <w:spacing w:after="0" w:line="170"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were $62.2 million, an increase of $4.0 million, or 6.9%, as compared to counseling services and support expenses of $58.2 million for the three months ended September 30, 2020. This increase was primarily attributable to increases in employee compensation and related expenses including share-based compensation and increases in other counseling services and support expenses of $2.7 million and $1.4 million, respectively, partially offset by a slight decrease in occupancy and depreciation expenses of $0.1 million. The increases in employee compensation and related expenses were primarily due to increased headcount to support our university partners, and their increased enrollment growth, tenure-based salary adjustments, an increase in benefit costs and the increased number of off-campus classroom and laboratory sites open year over year. The increase in other counseling services and support expenses is primarily the result of increased travel costs to service our 27 university partners as compared to the COVID-19 impacted third quarter of 2020, during which all non-essential travel ceased. Occupancy and depreciation costs declined slightly as a large percentage of our workforce continues to work remotely. Our counseling services and support expenses as a percentage of net revenue increased 0.8% to 30.1% for the three months ended September 30, 2021, from 29.3% for the three months ended September 30, 2020 primarily due to an increase in benefit costs and the return to historical levels for travel costs, partially offset by our ability to leverage our counseling services and support expense across an increasing revenue base primarily due to the increased Summer and Fall 2021 semester ancillary revenues at GCU.</w:t>
      </w:r>
    </w:p>
    <w:p>
      <w:pPr>
        <w:spacing w:after="0" w:line="176"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were $47.1 million, an increase of $4.9 million, or 11.5%, as compared to marketing and communication expenses of $42.2 million for the three months ended September 30, 2020. This increase was primarily attributable to the increased cost to market our university partners’ programs and to the marketing of new university partners and new locations which resulted in increased advertising of $4.3 million, increased other communications expenses of $0.3 million, increased employee compensation, including share-based compensation, and related expenses of $0.2 million and increased occupancy and depreciation costs of $0.1 million. Our marketing and communication expenses as a percentage of net revenue increased by 1.5% to 22.8% for the three months ended September 30, 2021, from 21.3% for the three months ended September 30, 2020, primarily due to the increase in the number of new off-campus classroom and laboratory sites opened in the past 15 months and sites planned to open in the next 12 months.</w:t>
      </w:r>
    </w:p>
    <w:p>
      <w:pPr>
        <w:spacing w:after="0" w:line="168"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were $14.4 million, an increase of $0.4 million, or 3.0%, as compared to general and administrative expenses of $14.0 million for the three months ended September 30, 2020. This increase was primarily attributable to an increase in professional fees of $1.0 million and an increase in occupancy and depreciation expense of $0.1 million, partially offset by decreases in other general and administrative expenses of $0.4 million and in employee compensation, including share-based compensation, and related expenses of $0.2 million. The increase in professional fees is primarily due to increased legal and audit fees between years. The decrease in employee compensation and related expenses is primarily related to lower headcount at our office in Indiana as we have transitioned a number of back office functions to Arizona. Our decrease in other general and administrative expenses is primarily related to reduced travel costs. Our general and administrative expenses as a percentage of net revenue decreased by 0.1% to 7.0% for the three months ended September 30, 2021, from 7.1% for the three months ended September 30, 2020 due to the cost savings realized by consolidating certain back office functions and reduced travel costs, our ability to leverage our other general and administrative expenses across an increasing revenue base primarily due to the increased Summer and Fall 2021 semester ancillary revenues at GCU.</w:t>
      </w:r>
    </w:p>
    <w:p>
      <w:pPr>
        <w:spacing w:after="0" w:line="18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were $2.1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i w:val="1"/>
          <w:iCs w:val="1"/>
          <w:color w:val="auto"/>
        </w:rPr>
        <w:t>Interest income on Secured Note</w:t>
      </w:r>
      <w:r>
        <w:rPr>
          <w:rFonts w:ascii="Arial" w:cs="Arial" w:eastAsia="Arial" w:hAnsi="Arial"/>
          <w:sz w:val="16"/>
          <w:szCs w:val="16"/>
          <w:color w:val="auto"/>
        </w:rPr>
        <w:t>. Interest income on the Secured Note from GCU in the initial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$870.1 million (the “Secured Note”) for the three months ended September 30, 2021 was $15.0 million, an increase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$0.1 million, as compared to $14.9 million for the three months ended September 30, 2020. The Secured Note bears interest at 6% annually, and GCU makes monthly interest payments.</w:t>
      </w:r>
    </w:p>
    <w:p>
      <w:pPr>
        <w:spacing w:after="0" w:line="17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$0.7 million for the three months ended September 30, 2021,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as compared to interest expense of $0.9 million for the three months ended September 30, 2020. The decrease in interest expense was primarily due to a decline in the average credit facility outstanding balance between periods due to paydowns of the credit facility during the past twelve months and a slight decline in the average interest rate between periods.</w:t>
      </w:r>
    </w:p>
    <w:p>
      <w:pPr>
        <w:spacing w:after="0" w:line="188"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three months ended September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was $0.2 million for both periods.</w:t>
      </w:r>
    </w:p>
    <w:p>
      <w:pPr>
        <w:spacing w:after="0" w:line="170"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September 30, 2021 was $12.2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$0.9 million, or 7.4%, as compared to income tax expense of $13.1 million for the three months ended September 30, 2020. This decrease was the result of a decrease in our taxable income partially offset by a slight increase in our effective tax rate between periods. Our effective tax rate was 20.3% during the third quarter of 2021 compared to 20.2% during the third quarter of 2020.</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September 30, 2021 was $47.7 million, a decrease of $4.3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8.4%, as compared to $52.0 million for the three months ended September 30, 2020, due to the factors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225"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nine months ended September 30, 2021 was $645.2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 of $39.4 million, or 6.5%, as compared to service revenue of $605.8 million for the nine months ended September 30, 2020. The increase year over year in service revenue was primarily due to year over year increases in university partner enrollments and in revenue per student. Partner enrollments totaled 118,832 at September 30, 2021 as compared to 117,772 at September 30, 2020. University partner enrollments at our off-campus classroom and laboratory sites were 5,652, an increase of 12.1% over enrollments at September 30, 2020, which includes 286 GCU students at September 30, 2021. Enrollments at GCU grew to 113,466 at September 30, 2021, an increase of 0.6% over enrollments at September 30, 2020. Enrollments for GCU ground traditional students were 23,628 at September 30, 2021 up from 22,363 at September 30, 2020 primarily due to a 9.5% increase in traditional ground students between years. GCU’s ground traditional students residing on campus in GCU’s residence halls increased from 11,441 in the Fall of 2020 to 15,570 in the Fall of 2021, an increase of 36.1%, representing approximately 65.9% of GCU’s ground traditional students. GCU had a decline in its working adult students (online and professional studies) between September 30, 2020 to September 30, 2021 (see – </w:t>
      </w:r>
      <w:r>
        <w:rPr>
          <w:rFonts w:ascii="Arial" w:cs="Arial" w:eastAsia="Arial" w:hAnsi="Arial"/>
          <w:sz w:val="16"/>
          <w:szCs w:val="16"/>
          <w:i w:val="1"/>
          <w:iCs w:val="1"/>
          <w:color w:val="auto"/>
        </w:rPr>
        <w:t>Impact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COVID-19 </w:t>
      </w:r>
      <w:r>
        <w:rPr>
          <w:rFonts w:ascii="Arial" w:cs="Arial" w:eastAsia="Arial" w:hAnsi="Arial"/>
          <w:sz w:val="16"/>
          <w:szCs w:val="16"/>
          <w:color w:val="auto"/>
        </w:rPr>
        <w:t>above). The increase in revenue per student between years is primarily due to the service revenue impact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increased room, board and other ancillary revenues at GCU in the nine months ended September 30, 2021 as compared to the nine months ended September 30, 2020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the growth in the enrollment for students at off-campus classroom and laboratory sites. Service revenue per student for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are studying in the Accelerated Bachelor of Science in Nursing program and take more credits on average per semester. The ten new off-campus classroom and laboratory sites opened in the past 15 months, partially offset by the non-renewal of the contract with a university partner with two sites in the first quarter of 2021 increased the total number of these sites to 31. In addition, we generated slightly more revenues in 2020 as compared to the same period in 2021 due to 2020 being a Leap Year and thus providing an extra day of revenue in 2020 as compared to 2021.</w:t>
      </w:r>
    </w:p>
    <w:p>
      <w:pPr>
        <w:spacing w:after="0" w:line="393"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were $101.3 million, an increase of $17.1 million, or 20.3%, as compared to technology and academic services expenses of $84.2 million for the nine months ended September 30, 2020. This increase was primarily due to increases in employee compensation and related expenses including share-based compensation, in occupancy and depreciation including lease expenses, and in technology and academic supply costs of $13.4 million, $3.2 million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$0.5 million, respectively. These increases were primarily due to increased headcount to support our 27 university partners, and their increased enrollment growth, tenure-based salary adjustments, an increase in benefit costs and the increased number of off-campus classroom and laboratory sites year over year. Our technology and academic services expenses as</w:t>
      </w:r>
    </w:p>
    <w:p>
      <w:pPr>
        <w:spacing w:after="0" w:line="2"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a percentage of net revenue increased 1.8% to 15.7% for the nine months ended September 30, 2021, from 13.9% for the nine months ended September 30, 2020. This increase was primarily due to partnership agreements with university partners that have off-campus classroom and laboratory sites requiring a higher level of technology and academic services than our agreement with GCU partially offset by increased Spring, Summer and Fall semester ancillary revenues at GCU. GCE has 31 off-campus classroom and laboratory sites open as of September 30, 2021. Additionally, in the third quarter of 2021 we incurred costs for a number of locations that we anticipate will open in the next twelve months.</w:t>
      </w:r>
    </w:p>
    <w:p>
      <w:pPr>
        <w:spacing w:after="0" w:line="164"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were $184.4 million, an increase of $8.4 million, or 4.7%, as compared to counseling services and support expenses of $176.0 million for the nine months ended September 30, 2020. This increase was primarily attributable to increases in employee compensation and related expenses including share-based compensation and increase in other counseling services and support expenses of $7.1 million and $1.3 million, respectively. The increases in employee compensation and related expenses were primarily due to increased headcount to support our university partners, and their increased enrollment growth, tenure-based salary adjustments, an increase in benefit costs and the increased number of off-campus classroom and laboratory sites open year over year. The increase in other counseling services and support expenses is primarily the result of increased travel costs to service our 27 university partners. All non-essential travel ceased when the COVID-19 national emergency was announced in mid-March 2020. Travel costs remained low through the rest of</w:t>
      </w:r>
    </w:p>
    <w:p>
      <w:pPr>
        <w:spacing w:after="0" w:line="5"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2020 and the first quarter of 2021 but returned to historical levels in the second and third quarters of 2021. Our counseling services and support expenses as a percentage of net revenue decreased 0.5% to 28.6% for the nine months ended September 30, 2021, from 29.1% for the nine months ended September 30, 2020 primarily due to our ability to leverage our counseling services and support expense across an increasing revenue base primarily due to the increased Spring, Summer and Fall 2021 semester ancillary revenues at GCU.</w:t>
      </w:r>
    </w:p>
    <w:p>
      <w:pPr>
        <w:spacing w:after="0" w:line="19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Marketing and communication</w:t>
      </w:r>
      <w:r>
        <w:rPr>
          <w:rFonts w:ascii="Arial" w:cs="Arial" w:eastAsia="Arial" w:hAnsi="Arial"/>
          <w:sz w:val="17"/>
          <w:szCs w:val="17"/>
          <w:color w:val="auto"/>
        </w:rPr>
        <w:t>. Our marketing and communication expenses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were $140.3 million, an increase of $14.3 million, or 11.3%, as compared to marketing and communication expenses of $126.0 million for the nine months ended September 30, 2020. This increase was primarily attributable to the increased cost to market our university partners’ programs and to the marketing of new university partners and new locations which resulted in increased advertising of $12.9 million, increased employee compensation, including share-based compensation, and related expenses of $0.7 million and increased other communications expenses of $0.7 million. Our marketing and communication expenses as a percentage of net revenue increased by 0.9% to 21.7% for the nine months ended September 30, 2021, from 20.8% for the nine months ended September 30, 2020, primarily due to the increase in the number of new off-campus classroom and laboratory sites opened in the past 15 months and sites planned for opening in the next twelve months.</w:t>
      </w:r>
    </w:p>
    <w:p>
      <w:pPr>
        <w:spacing w:after="0" w:line="18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2020 were $33.1 million for both periods. The decreases in employee compensation, including share-based compensation, and related expenses and in other general and administrative expenses of $0.9 million and $0.9 million, respectively, were offset by an increase in professional fees of $1.8 million. The decrease in employee compensation and related expenses is primarily related to lower headcount at our office in Indiana as we have transitioned a number of back office functions to Arizona. Our decrease in other general and administrative expenses is primarily related to reduced travel costs. The increase in professional fees is primarily due to increased legal and audit fees between years. Our general and administrative expenses as a percentage of net revenue decreased by 0.4% to 5.1% for the nine months ended September 30, 2021, from 5.5% for the nine months ended September 30, 2020 due to the cost savings realized by consolidating certain back office functions, reduced travel costs, our ability to leverage our other general and administrative expenses across an increasing revenue base primarily due to the increased Spring, Summer and Fall 2021 semester ancillary revenues at GCU.</w:t>
      </w:r>
    </w:p>
    <w:p>
      <w:pPr>
        <w:spacing w:after="0" w:line="179"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Amortization of intangible assets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2020 were $6.3 million for both periods. As a result of the acquisition of our wholly owned subsidiary, Orbis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Education, certain identifiable intangible assets were created (primarily customer relationships) that will be amortized over their expected lives.</w:t>
      </w:r>
    </w:p>
    <w:p>
      <w:pPr>
        <w:spacing w:after="0" w:line="170" w:lineRule="exact"/>
        <w:rPr>
          <w:sz w:val="20"/>
          <w:szCs w:val="20"/>
          <w:color w:val="auto"/>
        </w:rPr>
      </w:pPr>
    </w:p>
    <w:p>
      <w:pPr>
        <w:jc w:val="both"/>
        <w:ind w:left="60" w:right="259" w:firstLine="648"/>
        <w:spacing w:after="0" w:line="311" w:lineRule="auto"/>
        <w:rPr>
          <w:sz w:val="20"/>
          <w:szCs w:val="20"/>
          <w:color w:val="auto"/>
        </w:rPr>
      </w:pPr>
      <w:r>
        <w:rPr>
          <w:rFonts w:ascii="Arial" w:cs="Arial" w:eastAsia="Arial" w:hAnsi="Arial"/>
          <w:sz w:val="16"/>
          <w:szCs w:val="16"/>
          <w:i w:val="1"/>
          <w:iCs w:val="1"/>
          <w:color w:val="auto"/>
        </w:rPr>
        <w:t>Interest income on Secured Note</w:t>
      </w:r>
      <w:r>
        <w:rPr>
          <w:rFonts w:ascii="Arial" w:cs="Arial" w:eastAsia="Arial" w:hAnsi="Arial"/>
          <w:sz w:val="16"/>
          <w:szCs w:val="16"/>
          <w:color w:val="auto"/>
        </w:rPr>
        <w:t>. Interest income on the Secured Note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was $44.4 million, an increase of $0.1 million, as compared to $44.3 million for the nine months ended September 30, 2020. The Secured Note bears interest at 6% annually, and GCU makes monthly interest payments.</w:t>
      </w:r>
    </w:p>
    <w:p>
      <w:pPr>
        <w:spacing w:after="0" w:line="149"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$2.3 million for the nine months ended September 30, 2021,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$1.2 million, as compared to interest expense of $3.5 million for the nine months ended September 30, 2020. The decrease in interest expense was primarily due to a decline in the average credit facility outstanding balance between periods due to paydowns of the credit facility during the past twelve months and an average interest rate reduction of approximately 68 basis points from the first nine months of 2020 to the first nine months of 2021 partially offset by 2020 being a Leap Year with one additional day of interest.</w:t>
      </w:r>
    </w:p>
    <w:p>
      <w:pPr>
        <w:spacing w:after="0" w:line="178"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nine months ended September 30,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$0.6 million, a decrease of $0.2 million, as compared to $0.8 million in the nine months ended September 30, 2020. This decrease was primarily attributable to a decline in interest income on excess cash due to lower interest rates and a lower average investment balance.</w:t>
      </w:r>
    </w:p>
    <w:p>
      <w:pPr>
        <w:spacing w:after="0" w:line="187"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nine months ended September 30, 2021 was $47.2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$4.1 million, or 8.0%, as compared to income tax expense of $51.3 million for the nine months ended September 30, 2020. This decrease was the result of a decrease in our effective tax rate between periods. Our effective tax rate was 21.2% during the nine months ended September 30, 2021 compared to 23.1% during the nine months ended September 30, 2020. In the nine months ended September 30, 2021, the effective tax rate was impacted by an increase in excess tax benefits, which increased to $4.4 million in the nine months ended September 30, 2021 as compared to $0.7 million in the same period in 2020 due to a higher stock price and higher stock option exercises in the first nine months of 2021.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 Also, the lower effective tax rate was impacted due to favorable adjustments as a result of the completion of several state audits.</w:t>
      </w:r>
    </w:p>
    <w:p>
      <w:pPr>
        <w:spacing w:after="0" w:line="174" w:lineRule="exact"/>
        <w:rPr>
          <w:sz w:val="20"/>
          <w:szCs w:val="20"/>
          <w:color w:val="auto"/>
        </w:rPr>
      </w:pPr>
    </w:p>
    <w:p>
      <w:pPr>
        <w:jc w:val="both"/>
        <w:ind w:left="60" w:right="35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nine months ended September 30, 2021 was $175.2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$4.8 million, or 2.8%, as compared to $170.4 million for the nine months ended September 30, 2020, due to the factors discussed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Our unrestricted cash and cash equivalents and investments were $61.0 million at September 30, 2021.</w:t>
      </w:r>
    </w:p>
    <w:p>
      <w:pPr>
        <w:spacing w:after="0" w:line="248"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In conjunction with the Asset Purchase Agreement with GCU, we received a Secured Note as consideration for the transferred assets (the “Transferred Assets”).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GCU has been funding its capital expenditures using its own funds except that, in both June 2021 and 2020 GCU requested additional loan amounts that approximated its previous capital expenditures during those fiscal years. In both instances GCU repaid the amounts borrowed in the following month. As of September 30, 2021, the Company had loaned an additional $99,815 to GCU, net of repayments.</w:t>
      </w:r>
    </w:p>
    <w:p>
      <w:pPr>
        <w:spacing w:after="0" w:line="185"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On October 28, 2021, the Company received formal notice from GCU of GCU’s entry into a refinancing transaction (the “Refinancing”) the proceeds of which will be used to repay $500.0 million of the outstanding balance of the Secured Note on October 29, 2021. In connection with the Refinancing and related partial repayment of the Secured Note, the Company entered into a Modification of Credit Agreement with GCU (the “Modification”). The Modification provides that, in exchange for the partial repayment, (i) the Company will release its first priority lien on GCU’s assets, (ii) GCU will grant a first priority lien to a financial institution as master trustee under a master trust indenture (the “Master Trust Indenture”), and (iii) the Company will receive an obligation from the master trust evidencing the remaining balance of the Secured Note due to the Company (the “Trust Obligation”). The Trust Obligation continues to bear interest at an annual rate of 6.0%, has a maturity date of June 30, 2025, and is secured on an equal and proportional basis with all other obligations issued under the Master Trust Indenture by all of the assets of GCU.</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Termination of GCE Credit Agreement</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Company is a party to that certain Amended and Restated Credit Agreement, dated as of January 22, 2019, among the Company, Orbis Education Services, LLC, a wholly owned subsidiary of the Company, as guarantor, Bank of America, N.A. as administrative agent, swing line lender and letter of credit issuers, and the other lenders names therein (as amended, the “GCE Credit Agreement”). Upon its receipt of the proceeds from the Refinancing in partial payment of the Secured Note, the Company repaid all amounts due under the outstanding term loan and revolving credit facilities of, and terminated, the GCE Credit Agreement and plans to use the balance of such proceeds for general corporate purposes, including repurchases of shares under the Company’s share repurchase program.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419" w:firstLine="648"/>
        <w:spacing w:after="0" w:line="296" w:lineRule="auto"/>
        <w:rPr>
          <w:sz w:val="20"/>
          <w:szCs w:val="20"/>
          <w:color w:val="auto"/>
        </w:rPr>
      </w:pPr>
      <w:r>
        <w:rPr>
          <w:rFonts w:ascii="Arial" w:cs="Arial" w:eastAsia="Arial" w:hAnsi="Arial"/>
          <w:sz w:val="16"/>
          <w:szCs w:val="16"/>
          <w:color w:val="auto"/>
        </w:rPr>
        <w:t>In January 2021 and July 2021, our Board of Directors increased the authorization under its existing stock repurchase program by $100.0 million and $970.0 million, respectively, reflecting an aggregate authorization for share repurchases since the initiation of the program of $1,470.0 million. The current expiration date on the repurchase authorization by our Board of Directors is December 31, 2021. Repurchases occur at the Company’s discretion and the Company may modify, suspend or discontinue the repurchase authorization at any time.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84"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 million of its outstanding shares of common stock as part of the Company’s share repurchase program. Under the ASR agreement, the Company received initial delivery of approximately 275,889 shares of common stock, representing approximately 80% of the number of shares of common stock initially underlying the ASR agreement based on the closing price of the common stock of $101.49, on March 9, 2021. The total number of shares that the Company repurchased under the ASR program was based on the volume-weighted average price of the common stock during the term of the ASR agreement, less a discount, and was subject to potential adjustments pursuant to the terms and conditions of the ASR agreement. The final settlement of the share repurchases under the ASR agreement was completed on May 4, 2021 with additional delivery of 45,914 shares of common stock. The ASR agreement resulted in a total of 321,803 shares repurchased at an average cost of $108.76.</w:t>
      </w:r>
    </w:p>
    <w:p>
      <w:pPr>
        <w:spacing w:after="0" w:line="168"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On May 14, 2021, the Company entered into an ASR agreement with Morgan Stanley to repurchase up to $50.0 million of its outstanding shares of common stock as part of the Company’s share repurchase program. Under the ASR agreement, the Company received initial delivery on May 17, 2021 of approximately 418,279 shares of common stock, representing approximately 80% of the number of shares of common stock initially underlying the ASR agreement based on the closing price of the common stock of $95.63, on May 14, 2021. The total number of shares that the Company will repurchase under the ASR program will be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August 13, 2021 with additional delivery of 139,270 shares of common stock. The ASR agreement resulted in a total of 557,549 shares repurchased at an average cost of $89.68.</w:t>
      </w:r>
    </w:p>
    <w:p>
      <w:pPr>
        <w:spacing w:after="0" w:line="18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We repurchased 2,324,316 shares of common stock in the three months ended September 30, 2021, including the shares delivered during the quarter as part of the ASR transactions discussed above. At September 30, 2021, there remains $864.1 million available under our share repurchase authorization.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nine months ended September 30, 2021 was</w:t>
      </w:r>
      <w:r>
        <w:rPr>
          <w:rFonts w:ascii="Arial" w:cs="Arial" w:eastAsia="Arial" w:hAnsi="Arial"/>
          <w:sz w:val="17"/>
          <w:szCs w:val="17"/>
          <w:i w:val="1"/>
          <w:iCs w:val="1"/>
          <w:color w:val="auto"/>
        </w:rPr>
        <w:t xml:space="preserve"> </w:t>
      </w:r>
      <w:r>
        <w:rPr>
          <w:rFonts w:ascii="Arial" w:cs="Arial" w:eastAsia="Arial" w:hAnsi="Arial"/>
          <w:sz w:val="17"/>
          <w:szCs w:val="17"/>
          <w:color w:val="auto"/>
        </w:rPr>
        <w:t>$208.9 million as compared to $180.1 million for the nine months ended September 30, 2020. The increase in cash generated from operating activities between the nine months ended September 30, 2020 and the nine months ended September 30, 2021 was primarily due to changes between years in the working capital balances, primarily accounts payable and accounts receivable.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spacing w:after="0" w:line="17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$11.3 million and $13.7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2021 and 2020, respectively. The net cash used in investing activities in the nine months ended September 30, 2021 consisted of capital expenditures of $21.4 million and proceeds from investments, net of purchases of investments of $10.5 million. Funding to GCU during the first nine months of 2021 totaled $190.0 million, which was repaid in July 2021. During the nine months ended September 30, 2020, we paid $22.2 million for capital expenditures and received proceeds from investments of $8.7 million. Funding to GCU during the first nine months of 2020 totaled $75.0 million, which was repaid in July 2020. During the nine-month period for 2021 and 2020, capital expenditures primarily consisted of leasehold improvements and equipment for new university partner locations, as well as purchases of computer equipment, other internal use software projects and furniture and equipment to support our increasing employee headcount. The increase in capital expenditures between periods is primarily due to the increase in the number of sites opened or those that will be opened during the next 15 months. We invest approximately $1.5 million in leasehold improvements and equipment for each off-campus classroom and laboratory site. We have opened ten off-campus classroom and laboratory sites in the past 15 months. We plan to open a number of additional sites in the next 15 months.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used in financing activities was $382.4 million and $122.0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and 2020, respectively. During the nine months ended September 30, 2021, $6.0 million was used to purchase common shares withheld in lieu of income taxes resulting from the vesting of restricted share awards, $354.2 million was used to purchase treasury stock in accordance with the Company’s share repurchase program. Principal payments on notes payable and capital leases totaled $24.9 million, partially offset by proceeds from the exercise of stock options of $2.7 million. During the nine months ended September 30, 2020, $5.0 million was used to purchase common shares withheld in lieu of income taxes resulting from the vesting of restricted share awards and $92.3 million was used to purchase treasury stock in accordance with the Company’s share repurchase program. Principal payments on notes payable and capital leases totaled $24.9 million, partially offset by proceeds from the exercise of stock options of $0.2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or 2020. There can be no assurance that future inflation will not have an adverse impact on our operating results and financial condition.</w:t>
      </w:r>
    </w:p>
    <w:p>
      <w:pPr>
        <w:spacing w:after="0" w:line="184" w:lineRule="exact"/>
        <w:rPr>
          <w:sz w:val="20"/>
          <w:szCs w:val="20"/>
          <w:color w:val="auto"/>
        </w:rPr>
      </w:pPr>
    </w:p>
    <w:p>
      <w:pPr>
        <w:jc w:val="both"/>
        <w:ind w:left="60" w:right="459" w:firstLine="648"/>
        <w:spacing w:after="0" w:line="263"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As of September 30, 2021, we have no derivative financial instruments or derivative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We invest cash in excess of current operating requirements in money market instruments and commercial paper at multiple financial institutions.</w:t>
      </w:r>
    </w:p>
    <w:p>
      <w:pPr>
        <w:spacing w:after="0" w:line="184"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BBB or higher rated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bonds, commercial paper,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September 30, 2021, a 10% increase or decrease in interest rates would not have a material impact on our future earnings, fair values, or cash flows. For information regarding our variable rate debt, see “Market risk” above.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September 30, 2021,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2020.</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In January 2021 and July 2021, our Board of Directors increased the authorization under its existing stock repurchase program by $100.0 million and $970.0 million, respectively, reflecting an aggregate authorization for share repurchases since the initiation of the program of $1,470.0 million. The current expiration date on the repurchase authorization by our Board of Directors is December 31, 2021.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66"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 million of its outstanding shares of common stock as part of the Company’s share repurchase program. Under the ASR agreement, the Company received initial delivery of approximately 275,889 shares of common stock, representing approximately 80% of the number of shares of common stock initially underlying the ASR agreement based on the closing price of the common stock of $101.49, on March 9, 2021. The total number of shares that the Company repurchased under the ASR program was based on the volume-weighted average price of the common stock during the term of the ASR agreement, less a discount, and was subject to potential adjustments pursuant to the terms and conditions of the ASR agreement. The final settlement of the share repurchases under the ASR agreement was completed on May 4, 2021 with additional delivery of 45,914 shares of common stock. The ASR agreement resulted in a total of 321,803 shares repurchased at an average cost of $108.76.</w:t>
      </w:r>
    </w:p>
    <w:p>
      <w:pPr>
        <w:spacing w:after="0" w:line="168"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On May 14, 2021, the Company entered into an ASR agreement with Morgan Stanley to repurchase up to $50.0 million of its outstanding shares of common stock as part of the Company’s share repurchase program. Under the ASR agreement, the Company received initial delivery on May 17, 2021 of approximately 418,279 shares of common stock, representing approximately 80% of the number of shares of common stock initially underlying the ASR agreement based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on the closing price of the common stock of $95.63, on May 14, 2021. The total number of shares that the Company will repurchase under the ASR program will be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August 13, 2021 with additional delivery of 139,270 shares of common stock. The ASR agreement resulted in a total of 557,549 shares repurchased at an average cost of $89.68.</w:t>
      </w:r>
    </w:p>
    <w:p>
      <w:pPr>
        <w:spacing w:after="0" w:line="178"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During the nine months ended September 30, 2021, 3,873,002 shares of common stock were repurchased by the Company, which includes the shares delivered as of September 30, 2021 from the ASR agreements on March 10, 2021 and May 17, 2021. At September 30, 2021, there remains $864.1 million available under our share repurchase authorization.</w:t>
      </w:r>
    </w:p>
    <w:p>
      <w:pPr>
        <w:spacing w:after="0" w:line="149"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2021:</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9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Price Paid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July 1, 2021 – July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198,161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91.15</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198,161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w w:val="93"/>
              </w:rPr>
              <w:t>1,048,500,000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2021 – August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811,473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84.61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979,900,000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September 1, 2021 – September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1,314,682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88.07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1,314,682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864,100,000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2,324,316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87.13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2,324,316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864,100,000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2021 – July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August 1, 2021 – August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2021 – September 30,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 Safety Disclosures</w:t>
      </w:r>
    </w:p>
    <w:p>
      <w:pPr>
        <w:spacing w:after="0" w:line="222" w:lineRule="exact"/>
        <w:rPr>
          <w:sz w:val="20"/>
          <w:szCs w:val="20"/>
          <w:color w:val="auto"/>
        </w:rPr>
      </w:pPr>
    </w:p>
    <w:p>
      <w:pPr>
        <w:sectPr>
          <w:pgSz w:w="11900" w:h="16838" w:orient="portrait"/>
          <w:cols w:equalWidth="0" w:num="2">
            <w:col w:w="600" w:space="120"/>
            <w:col w:w="8299"/>
          </w:cols>
          <w:pgMar w:left="1440" w:top="517" w:right="1440" w:bottom="1440" w:gutter="0" w:footer="0" w:header="0"/>
          <w:type w:val="continuous"/>
        </w:sectPr>
      </w:pPr>
    </w:p>
    <w:p>
      <w:pPr>
        <w:spacing w:after="0" w:line="4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9019"/>
          </w:cols>
          <w:pgMar w:left="1440" w:top="517" w:right="1440" w:bottom="1440" w:gutter="0" w:footer="0" w:header="0"/>
          <w:type w:val="continuous"/>
        </w:sect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00" w:lineRule="exact"/>
        <w:rPr>
          <w:sz w:val="20"/>
          <w:szCs w:val="20"/>
          <w:color w:val="auto"/>
        </w:rPr>
      </w:pPr>
    </w:p>
    <w:p>
      <w:pPr>
        <w:sectPr>
          <w:pgSz w:w="11900" w:h="16838" w:orient="portrait"/>
          <w:cols w:equalWidth="0" w:num="2">
            <w:col w:w="600" w:space="120"/>
            <w:col w:w="8299"/>
          </w:cols>
          <w:pgMar w:left="1440" w:top="517" w:right="1440" w:bottom="1440" w:gutter="0" w:footer="0" w:header="0"/>
          <w:type w:val="continuous"/>
        </w:sectPr>
      </w:pPr>
    </w:p>
    <w:p>
      <w:pPr>
        <w:spacing w:after="0" w:line="4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0" w:type="dxa"/>
            <w:vAlign w:val="bottom"/>
          </w:tcPr>
          <w:p>
            <w:pPr>
              <w:spacing w:after="0"/>
              <w:rPr>
                <w:sz w:val="20"/>
                <w:szCs w:val="20"/>
                <w:color w:val="auto"/>
              </w:rPr>
            </w:pPr>
          </w:p>
        </w:tc>
        <w:tc>
          <w:tcPr>
            <w:tcW w:w="4820" w:type="dxa"/>
            <w:vAlign w:val="bottom"/>
            <w:gridSpan w:val="17"/>
          </w:tcPr>
          <w:p>
            <w:pPr>
              <w:spacing w:after="0"/>
              <w:rPr>
                <w:sz w:val="20"/>
                <w:szCs w:val="20"/>
                <w:color w:val="auto"/>
              </w:rPr>
            </w:pPr>
            <w:r>
              <w:rPr>
                <w:rFonts w:ascii="Arial" w:cs="Arial" w:eastAsia="Arial" w:hAnsi="Arial"/>
                <w:sz w:val="18"/>
                <w:szCs w:val="18"/>
                <w:b w:val="1"/>
                <w:bCs w:val="1"/>
                <w:color w:val="auto"/>
              </w:rPr>
              <w:t>Exhibits</w:t>
            </w:r>
          </w:p>
        </w:tc>
        <w:tc>
          <w:tcPr>
            <w:tcW w:w="34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gridSpan w:val="18"/>
          </w:tcPr>
          <w:p>
            <w:pPr>
              <w:ind w:left="60"/>
              <w:spacing w:after="0"/>
              <w:rPr>
                <w:sz w:val="20"/>
                <w:szCs w:val="20"/>
                <w:color w:val="auto"/>
              </w:rPr>
            </w:pPr>
            <w:r>
              <w:rPr>
                <w:rFonts w:ascii="Arial" w:cs="Arial" w:eastAsia="Arial" w:hAnsi="Arial"/>
                <w:sz w:val="18"/>
                <w:szCs w:val="18"/>
                <w:color w:val="auto"/>
              </w:rPr>
              <w:t>(a)  Exhibits</w:t>
            </w:r>
          </w:p>
        </w:tc>
        <w:tc>
          <w:tcPr>
            <w:tcW w:w="3420" w:type="dxa"/>
            <w:vAlign w:val="bottom"/>
          </w:tcPr>
          <w:p>
            <w:pPr>
              <w:spacing w:after="0"/>
              <w:rPr>
                <w:sz w:val="24"/>
                <w:szCs w:val="24"/>
                <w:color w:val="auto"/>
              </w:rPr>
            </w:pPr>
          </w:p>
        </w:tc>
      </w:tr>
      <w:tr>
        <w:trPr>
          <w:trHeight w:val="270"/>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gridSpan w:val="16"/>
          </w:tcPr>
          <w:p>
            <w:pPr>
              <w:spacing w:after="0"/>
              <w:rPr>
                <w:sz w:val="20"/>
                <w:szCs w:val="20"/>
                <w:color w:val="auto"/>
              </w:rPr>
            </w:pPr>
            <w:r>
              <w:rPr>
                <w:rFonts w:ascii="Arial" w:cs="Arial" w:eastAsia="Arial" w:hAnsi="Arial"/>
                <w:sz w:val="14"/>
                <w:szCs w:val="14"/>
                <w:b w:val="1"/>
                <w:bCs w:val="1"/>
                <w:color w:val="auto"/>
              </w:rPr>
              <w:t>Description</w:t>
            </w:r>
          </w:p>
        </w:tc>
        <w:tc>
          <w:tcPr>
            <w:tcW w:w="3420" w:type="dxa"/>
            <w:vAlign w:val="bottom"/>
          </w:tcPr>
          <w:p>
            <w:pPr>
              <w:spacing w:after="0"/>
              <w:rPr>
                <w:sz w:val="20"/>
                <w:szCs w:val="20"/>
                <w:color w:val="auto"/>
              </w:rPr>
            </w:pPr>
            <w:r>
              <w:rPr>
                <w:rFonts w:ascii="Arial" w:cs="Arial" w:eastAsia="Arial" w:hAnsi="Arial"/>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500" w:type="dxa"/>
            <w:vAlign w:val="bottom"/>
            <w:tcBorders>
              <w:top w:val="single" w:sz="8" w:color="auto"/>
            </w:tcBorders>
            <w:gridSpan w:val="15"/>
          </w:tcPr>
          <w:p>
            <w:pPr>
              <w:spacing w:after="0" w:line="169" w:lineRule="exact"/>
              <w:rPr>
                <w:rFonts w:ascii="Arial" w:cs="Arial" w:eastAsia="Arial" w:hAnsi="Arial"/>
                <w:sz w:val="18"/>
                <w:szCs w:val="18"/>
                <w:color w:val="0000EE"/>
              </w:rPr>
            </w:pPr>
            <w:hyperlink r:id="rId52">
              <w:r>
                <w:rPr>
                  <w:rFonts w:ascii="Arial" w:cs="Arial" w:eastAsia="Arial" w:hAnsi="Arial"/>
                  <w:sz w:val="18"/>
                  <w:szCs w:val="18"/>
                  <w:color w:val="0000EE"/>
                </w:rPr>
                <w:t>Amended and Restated Certificate of Incorporation.</w:t>
              </w:r>
            </w:hyperlink>
          </w:p>
        </w:tc>
        <w:tc>
          <w:tcPr>
            <w:tcW w:w="140" w:type="dxa"/>
            <w:vAlign w:val="bottom"/>
          </w:tcPr>
          <w:p>
            <w:pPr>
              <w:spacing w:after="0"/>
              <w:rPr>
                <w:sz w:val="14"/>
                <w:szCs w:val="14"/>
                <w:color w:val="auto"/>
              </w:rPr>
            </w:pPr>
          </w:p>
        </w:tc>
        <w:tc>
          <w:tcPr>
            <w:tcW w:w="34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93"/>
              </w:rPr>
              <w:t>Incorporated by reference to Exhibit 3.1 to the</w:t>
            </w: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Company’s Annual Report on Form 10-K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February 20, 2019.</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6"/>
          </w:tcPr>
          <w:p>
            <w:pPr>
              <w:spacing w:after="0"/>
              <w:rPr>
                <w:rFonts w:ascii="Arial" w:cs="Arial" w:eastAsia="Arial" w:hAnsi="Arial"/>
                <w:sz w:val="18"/>
                <w:szCs w:val="18"/>
                <w:color w:val="0000EE"/>
              </w:rPr>
            </w:pPr>
            <w:hyperlink r:id="rId53">
              <w:r>
                <w:rPr>
                  <w:rFonts w:ascii="Arial" w:cs="Arial" w:eastAsia="Arial" w:hAnsi="Arial"/>
                  <w:sz w:val="18"/>
                  <w:szCs w:val="18"/>
                  <w:color w:val="0000EE"/>
                </w:rPr>
                <w:t>Third Amended and Restated Bylaws.</w:t>
              </w:r>
            </w:hyperlink>
          </w:p>
        </w:tc>
        <w:tc>
          <w:tcPr>
            <w:tcW w:w="3420" w:type="dxa"/>
            <w:vAlign w:val="bottom"/>
          </w:tcPr>
          <w:p>
            <w:pPr>
              <w:spacing w:after="0"/>
              <w:rPr>
                <w:sz w:val="20"/>
                <w:szCs w:val="20"/>
                <w:color w:val="auto"/>
              </w:rPr>
            </w:pPr>
            <w:r>
              <w:rPr>
                <w:rFonts w:ascii="Arial" w:cs="Arial" w:eastAsia="Arial" w:hAnsi="Arial"/>
                <w:sz w:val="18"/>
                <w:szCs w:val="18"/>
                <w:color w:val="auto"/>
                <w:w w:val="93"/>
              </w:rPr>
              <w:t>Incorporated by reference to Exhibit 3.1 to the</w:t>
            </w: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Company’s Current Report on Form 8-K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October 29, 2014.</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6"/>
          </w:tcPr>
          <w:p>
            <w:pPr>
              <w:spacing w:after="0"/>
              <w:rPr>
                <w:rFonts w:ascii="Arial" w:cs="Arial" w:eastAsia="Arial" w:hAnsi="Arial"/>
                <w:sz w:val="18"/>
                <w:szCs w:val="18"/>
                <w:color w:val="0000EE"/>
              </w:rPr>
            </w:pPr>
            <w:hyperlink r:id="rId54">
              <w:r>
                <w:rPr>
                  <w:rFonts w:ascii="Arial" w:cs="Arial" w:eastAsia="Arial" w:hAnsi="Arial"/>
                  <w:sz w:val="18"/>
                  <w:szCs w:val="18"/>
                  <w:color w:val="0000EE"/>
                </w:rPr>
                <w:t>Specimen of Stock Certificate.</w:t>
              </w:r>
            </w:hyperlink>
          </w:p>
        </w:tc>
        <w:tc>
          <w:tcPr>
            <w:tcW w:w="342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Amendment No. 2 to the Company’s</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Registration Statement on Form S-1 filed with</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SEC on September 29, 2008.</w:t>
            </w:r>
          </w:p>
        </w:tc>
      </w:tr>
      <w:tr>
        <w:trPr>
          <w:trHeight w:val="391"/>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Modification of Credit Agreement, dated October 29, 2021,</w:t>
              </w:r>
            </w:hyperlink>
          </w:p>
        </w:tc>
        <w:tc>
          <w:tcPr>
            <w:tcW w:w="360" w:type="dxa"/>
            <w:vAlign w:val="bottom"/>
            <w:gridSpan w:val="2"/>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16"/>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by and between Grand Canyon Education, Inc. and Grand</w:t>
              </w:r>
            </w:hyperlink>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Canyon University</w:t>
              </w:r>
            </w:hyperlink>
          </w:p>
        </w:tc>
        <w:tc>
          <w:tcPr>
            <w:tcW w:w="500" w:type="dxa"/>
            <w:vAlign w:val="bottom"/>
            <w:gridSpan w:val="5"/>
          </w:tcPr>
          <w:p>
            <w:pPr>
              <w:spacing w:after="0"/>
              <w:rPr>
                <w:sz w:val="17"/>
                <w:szCs w:val="17"/>
                <w:color w:val="auto"/>
              </w:rPr>
            </w:pPr>
          </w:p>
        </w:tc>
        <w:tc>
          <w:tcPr>
            <w:tcW w:w="34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Principal Executive Officer pursuant to</w:t>
              </w:r>
            </w:hyperlink>
          </w:p>
        </w:tc>
        <w:tc>
          <w:tcPr>
            <w:tcW w:w="680" w:type="dxa"/>
            <w:vAlign w:val="bottom"/>
            <w:gridSpan w:val="7"/>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Rules 13a-14(a) and 15d-14(a), as adopted pursuant to</w:t>
              </w:r>
            </w:hyperlink>
          </w:p>
        </w:tc>
        <w:tc>
          <w:tcPr>
            <w:tcW w:w="740" w:type="dxa"/>
            <w:vAlign w:val="bottom"/>
            <w:gridSpan w:val="9"/>
          </w:tcPr>
          <w:p>
            <w:pPr>
              <w:spacing w:after="0"/>
              <w:rPr>
                <w:sz w:val="17"/>
                <w:szCs w:val="17"/>
                <w:color w:val="auto"/>
              </w:rPr>
            </w:pPr>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Section 302 of the Sarbanes-Oxley Act of 2002.</w:t>
              </w:r>
            </w:hyperlink>
          </w:p>
        </w:tc>
        <w:tc>
          <w:tcPr>
            <w:tcW w:w="1200" w:type="dxa"/>
            <w:vAlign w:val="bottom"/>
            <w:gridSpan w:val="11"/>
          </w:tcPr>
          <w:p>
            <w:pPr>
              <w:spacing w:after="0"/>
              <w:rPr>
                <w:sz w:val="17"/>
                <w:szCs w:val="17"/>
                <w:color w:val="auto"/>
              </w:rPr>
            </w:pPr>
          </w:p>
        </w:tc>
        <w:tc>
          <w:tcPr>
            <w:tcW w:w="3420" w:type="dxa"/>
            <w:vAlign w:val="bottom"/>
          </w:tcPr>
          <w:p>
            <w:pPr>
              <w:spacing w:after="0"/>
              <w:rPr>
                <w:sz w:val="17"/>
                <w:szCs w:val="17"/>
                <w:color w:val="auto"/>
              </w:rPr>
            </w:pPr>
          </w:p>
        </w:tc>
      </w:tr>
      <w:tr>
        <w:trPr>
          <w:trHeight w:val="412"/>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Certification of Principal Financial Officer pursuant to</w:t>
              </w:r>
            </w:hyperlink>
          </w:p>
        </w:tc>
        <w:tc>
          <w:tcPr>
            <w:tcW w:w="720" w:type="dxa"/>
            <w:vAlign w:val="bottom"/>
            <w:gridSpan w:val="8"/>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Rules 13a-14(a) and 15d-14(a), as adopted pursuant to</w:t>
              </w:r>
            </w:hyperlink>
          </w:p>
        </w:tc>
        <w:tc>
          <w:tcPr>
            <w:tcW w:w="740" w:type="dxa"/>
            <w:vAlign w:val="bottom"/>
            <w:gridSpan w:val="9"/>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Section 302 of the Sarbanes-Oxley Act of 2002.</w:t>
              </w:r>
            </w:hyperlink>
          </w:p>
        </w:tc>
        <w:tc>
          <w:tcPr>
            <w:tcW w:w="1200" w:type="dxa"/>
            <w:vAlign w:val="bottom"/>
            <w:gridSpan w:val="11"/>
          </w:tcPr>
          <w:p>
            <w:pPr>
              <w:spacing w:after="0"/>
              <w:rPr>
                <w:sz w:val="17"/>
                <w:szCs w:val="17"/>
                <w:color w:val="auto"/>
              </w:rPr>
            </w:pPr>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Certification of Principal Executive Officer pursuant to 18</w:t>
              </w:r>
            </w:hyperlink>
          </w:p>
        </w:tc>
        <w:tc>
          <w:tcPr>
            <w:tcW w:w="460" w:type="dxa"/>
            <w:vAlign w:val="bottom"/>
            <w:gridSpan w:val="4"/>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U.S.C. Section 1350, as adopted pursuant to Section 906 of</w:t>
              </w:r>
            </w:hyperlink>
          </w:p>
        </w:tc>
        <w:tc>
          <w:tcPr>
            <w:tcW w:w="380" w:type="dxa"/>
            <w:vAlign w:val="bottom"/>
            <w:gridSpan w:val="3"/>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1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the Sarbanes-Oxley Act of 2002. ††</w:t>
              </w:r>
            </w:hyperlink>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4"/>
        </w:trPr>
        <w:tc>
          <w:tcPr>
            <w:tcW w:w="580" w:type="dxa"/>
            <w:vAlign w:val="bottom"/>
            <w:gridSpan w:val="2"/>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Principal Financial Officer pursuant to 18</w:t>
              </w:r>
            </w:hyperlink>
          </w:p>
        </w:tc>
        <w:tc>
          <w:tcPr>
            <w:tcW w:w="3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120" w:type="dxa"/>
            <w:vAlign w:val="bottom"/>
            <w:gridSpan w:val="10"/>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U.S.C. Section 1350, as adopted pursuant to Section 906 of</w:t>
              </w:r>
            </w:hyperlink>
          </w:p>
        </w:tc>
        <w:tc>
          <w:tcPr>
            <w:tcW w:w="380" w:type="dxa"/>
            <w:vAlign w:val="bottom"/>
            <w:gridSpan w:val="3"/>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1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the Sarbanes-Oxley Act of 2002. ††</w:t>
              </w:r>
            </w:hyperlink>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right="3639" w:hanging="824"/>
        <w:spacing w:after="0" w:line="284"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September 30, 2021, formatted in Inline XBRL: (i) Consolidated Income Statements, (ii) Consolidated Statements of Comprehensive Income, (iii) Consolidated Balance Sheets, (iv) Consolidated Statements of Stockholders’ Equity, (v)</w:t>
      </w:r>
    </w:p>
    <w:tbl>
      <w:tblPr>
        <w:tblLayout w:type="fixed"/>
        <w:tblInd w:w="60" w:type="dxa"/>
        <w:tblCellMar>
          <w:top w:w="0" w:type="dxa"/>
          <w:left w:w="0" w:type="dxa"/>
          <w:bottom w:w="0" w:type="dxa"/>
          <w:right w:w="0" w:type="dxa"/>
        </w:tblCellMar>
      </w:tblPr>
      <w:tr>
        <w:trPr>
          <w:trHeight w:val="206"/>
        </w:trPr>
        <w:tc>
          <w:tcPr>
            <w:tcW w:w="540" w:type="dxa"/>
            <w:vAlign w:val="bottom"/>
          </w:tcPr>
          <w:p>
            <w:pPr>
              <w:spacing w:after="0"/>
              <w:rPr>
                <w:sz w:val="17"/>
                <w:szCs w:val="17"/>
                <w:color w:val="auto"/>
              </w:rPr>
            </w:pPr>
          </w:p>
        </w:tc>
        <w:tc>
          <w:tcPr>
            <w:tcW w:w="4720" w:type="dxa"/>
            <w:vAlign w:val="bottom"/>
          </w:tcPr>
          <w:p>
            <w:pPr>
              <w:ind w:left="280"/>
              <w:spacing w:after="0" w:line="206" w:lineRule="exact"/>
              <w:rPr>
                <w:sz w:val="20"/>
                <w:szCs w:val="20"/>
                <w:color w:val="auto"/>
              </w:rPr>
            </w:pPr>
            <w:r>
              <w:rPr>
                <w:rFonts w:ascii="Arial" w:cs="Arial" w:eastAsia="Arial" w:hAnsi="Arial"/>
                <w:sz w:val="18"/>
                <w:szCs w:val="18"/>
                <w:color w:val="auto"/>
                <w:w w:val="95"/>
              </w:rPr>
              <w:t>Consolidated Statements of Cash Flows, and (vi) Notes to</w:t>
            </w:r>
          </w:p>
        </w:tc>
        <w:tc>
          <w:tcPr>
            <w:tcW w:w="130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w w:val="93"/>
              </w:rPr>
              <w:t>Consolidated Financial Statements tagged as blocks of text</w:t>
            </w:r>
          </w:p>
        </w:tc>
        <w:tc>
          <w:tcPr>
            <w:tcW w:w="13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and including detailed tags.</w:t>
            </w:r>
          </w:p>
        </w:tc>
        <w:tc>
          <w:tcPr>
            <w:tcW w:w="1300" w:type="dxa"/>
            <w:vAlign w:val="bottom"/>
          </w:tcPr>
          <w:p>
            <w:pPr>
              <w:ind w:left="220"/>
              <w:spacing w:after="0"/>
              <w:rPr>
                <w:sz w:val="20"/>
                <w:szCs w:val="20"/>
                <w:color w:val="auto"/>
              </w:rPr>
            </w:pPr>
            <w:r>
              <w:rPr>
                <w:rFonts w:ascii="Arial" w:cs="Arial" w:eastAsia="Arial" w:hAnsi="Arial"/>
                <w:sz w:val="18"/>
                <w:szCs w:val="18"/>
                <w:color w:val="auto"/>
                <w:w w:val="90"/>
              </w:rPr>
              <w:t>Filed herewith.</w:t>
            </w:r>
          </w:p>
        </w:tc>
      </w:tr>
      <w:tr>
        <w:trPr>
          <w:trHeight w:val="350"/>
        </w:trPr>
        <w:tc>
          <w:tcPr>
            <w:tcW w:w="540" w:type="dxa"/>
            <w:vAlign w:val="bottom"/>
          </w:tcPr>
          <w:p>
            <w:pPr>
              <w:jc w:val="right"/>
              <w:ind w:right="190"/>
              <w:spacing w:after="0"/>
              <w:rPr>
                <w:sz w:val="20"/>
                <w:szCs w:val="20"/>
                <w:color w:val="auto"/>
              </w:rPr>
            </w:pPr>
            <w:r>
              <w:rPr>
                <w:rFonts w:ascii="Arial" w:cs="Arial" w:eastAsia="Arial" w:hAnsi="Arial"/>
                <w:sz w:val="18"/>
                <w:szCs w:val="18"/>
                <w:color w:val="auto"/>
                <w:w w:val="79"/>
              </w:rPr>
              <w:t>104</w:t>
            </w:r>
          </w:p>
        </w:tc>
        <w:tc>
          <w:tcPr>
            <w:tcW w:w="4720" w:type="dxa"/>
            <w:vAlign w:val="bottom"/>
          </w:tcPr>
          <w:p>
            <w:pPr>
              <w:ind w:left="280"/>
              <w:spacing w:after="0"/>
              <w:rPr>
                <w:sz w:val="20"/>
                <w:szCs w:val="20"/>
                <w:color w:val="auto"/>
              </w:rPr>
            </w:pPr>
            <w:r>
              <w:rPr>
                <w:rFonts w:ascii="Arial" w:cs="Arial" w:eastAsia="Arial" w:hAnsi="Arial"/>
                <w:sz w:val="18"/>
                <w:szCs w:val="18"/>
                <w:color w:val="auto"/>
                <w:w w:val="97"/>
              </w:rPr>
              <w:t>The cover page from the Company’s Quarterly Report on</w:t>
            </w:r>
          </w:p>
        </w:tc>
        <w:tc>
          <w:tcPr>
            <w:tcW w:w="130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Form 10-Q for the quarter ended September 30, 2021,</w:t>
            </w:r>
          </w:p>
        </w:tc>
        <w:tc>
          <w:tcPr>
            <w:tcW w:w="13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formatted in Inline XBRL (included as Exhibit 101).</w:t>
            </w:r>
          </w:p>
        </w:tc>
        <w:tc>
          <w:tcPr>
            <w:tcW w:w="1300" w:type="dxa"/>
            <w:vAlign w:val="bottom"/>
          </w:tcPr>
          <w:p>
            <w:pPr>
              <w:ind w:left="220"/>
              <w:spacing w:after="0"/>
              <w:rPr>
                <w:sz w:val="20"/>
                <w:szCs w:val="20"/>
                <w:color w:val="auto"/>
              </w:rPr>
            </w:pPr>
            <w:r>
              <w:rPr>
                <w:rFonts w:ascii="Arial" w:cs="Arial" w:eastAsia="Arial" w:hAnsi="Arial"/>
                <w:sz w:val="18"/>
                <w:szCs w:val="18"/>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259" w:lineRule="auto"/>
        <w:tabs>
          <w:tab w:leader="none" w:pos="3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ind w:left="60" w:right="199" w:firstLine="648"/>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3, 2021</w:t>
            </w: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By: /s/ Daniel E. Bachus</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2"/>
        </w:trPr>
        <w:tc>
          <w:tcPr>
            <w:tcW w:w="3160" w:type="dxa"/>
            <w:vAlign w:val="bottom"/>
          </w:tcPr>
          <w:p>
            <w:pPr>
              <w:spacing w:after="0"/>
              <w:rPr>
                <w:sz w:val="15"/>
                <w:szCs w:val="15"/>
                <w:color w:val="auto"/>
              </w:rPr>
            </w:pPr>
          </w:p>
        </w:tc>
        <w:tc>
          <w:tcPr>
            <w:tcW w:w="5740" w:type="dxa"/>
            <w:vAlign w:val="bottom"/>
            <w:gridSpan w:val="2"/>
          </w:tcPr>
          <w:p>
            <w:pPr>
              <w:ind w:left="138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160" w:type="dxa"/>
            <w:vAlign w:val="bottom"/>
          </w:tcPr>
          <w:p>
            <w:pPr>
              <w:spacing w:after="0"/>
              <w:rPr>
                <w:sz w:val="18"/>
                <w:szCs w:val="18"/>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Chief Financial Officer</w:t>
            </w:r>
          </w:p>
        </w:tc>
      </w:tr>
      <w:tr>
        <w:trPr>
          <w:trHeight w:val="230"/>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8800"/>
        <w:spacing w:after="0"/>
        <w:rPr>
          <w:sz w:val="20"/>
          <w:szCs w:val="20"/>
          <w:color w:val="auto"/>
        </w:rPr>
      </w:pPr>
      <w:r>
        <w:rPr>
          <w:rFonts w:ascii="Arial" w:cs="Arial" w:eastAsia="Arial" w:hAnsi="Arial"/>
          <w:sz w:val="19"/>
          <w:szCs w:val="19"/>
          <w:b w:val="1"/>
          <w:bCs w:val="1"/>
          <w:color w:val="auto"/>
        </w:rPr>
        <w:t>Exhibit 10.1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MODIFICATION OF CREDIT AGREEMENT</w:t>
      </w:r>
    </w:p>
    <w:p>
      <w:pPr>
        <w:spacing w:after="0" w:line="206" w:lineRule="exact"/>
        <w:rPr>
          <w:sz w:val="20"/>
          <w:szCs w:val="20"/>
          <w:color w:val="auto"/>
        </w:rPr>
      </w:pPr>
    </w:p>
    <w:p>
      <w:pPr>
        <w:jc w:val="both"/>
        <w:ind w:firstLine="635"/>
        <w:spacing w:after="0" w:line="239" w:lineRule="auto"/>
        <w:rPr>
          <w:sz w:val="20"/>
          <w:szCs w:val="20"/>
          <w:color w:val="auto"/>
        </w:rPr>
      </w:pPr>
      <w:r>
        <w:rPr>
          <w:rFonts w:ascii="Arial" w:cs="Arial" w:eastAsia="Arial" w:hAnsi="Arial"/>
          <w:sz w:val="22"/>
          <w:szCs w:val="22"/>
          <w:b w:val="1"/>
          <w:bCs w:val="1"/>
          <w:color w:val="auto"/>
        </w:rPr>
        <w:t xml:space="preserve">THIS MODIFICATION OF CREDIT AGREEMENT </w:t>
      </w:r>
      <w:r>
        <w:rPr>
          <w:rFonts w:ascii="Arial" w:cs="Arial" w:eastAsia="Arial" w:hAnsi="Arial"/>
          <w:sz w:val="22"/>
          <w:szCs w:val="22"/>
          <w:color w:val="auto"/>
        </w:rPr>
        <w:t>(this “</w:t>
      </w:r>
      <w:r>
        <w:rPr>
          <w:rFonts w:ascii="Arial" w:cs="Arial" w:eastAsia="Arial" w:hAnsi="Arial"/>
          <w:sz w:val="22"/>
          <w:szCs w:val="22"/>
          <w:b w:val="1"/>
          <w:bCs w:val="1"/>
          <w:color w:val="auto"/>
        </w:rPr>
        <w:t>Amendment</w:t>
      </w:r>
      <w:r>
        <w:rPr>
          <w:rFonts w:ascii="Arial" w:cs="Arial" w:eastAsia="Arial" w:hAnsi="Arial"/>
          <w:sz w:val="22"/>
          <w:szCs w:val="22"/>
          <w:color w:val="auto"/>
        </w:rPr>
        <w:t>”) is executed as of October</w:t>
      </w:r>
      <w:r>
        <w:rPr>
          <w:rFonts w:ascii="Arial" w:cs="Arial" w:eastAsia="Arial" w:hAnsi="Arial"/>
          <w:sz w:val="22"/>
          <w:szCs w:val="22"/>
          <w:b w:val="1"/>
          <w:bCs w:val="1"/>
          <w:color w:val="auto"/>
        </w:rPr>
        <w:t xml:space="preserve"> </w:t>
      </w:r>
      <w:r>
        <w:rPr>
          <w:rFonts w:ascii="Arial" w:cs="Arial" w:eastAsia="Arial" w:hAnsi="Arial"/>
          <w:sz w:val="22"/>
          <w:szCs w:val="22"/>
          <w:color w:val="auto"/>
        </w:rPr>
        <w:t>29, 2021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GRAND CANYON EDUCATION, INC.</w:t>
      </w:r>
      <w:r>
        <w:rPr>
          <w:rFonts w:ascii="Arial" w:cs="Arial" w:eastAsia="Arial" w:hAnsi="Arial"/>
          <w:sz w:val="22"/>
          <w:szCs w:val="22"/>
          <w:color w:val="auto"/>
        </w:rPr>
        <w:t>, a Delaware corporation (together with its successors and assigns, “</w:t>
      </w:r>
      <w:r>
        <w:rPr>
          <w:rFonts w:ascii="Arial" w:cs="Arial" w:eastAsia="Arial" w:hAnsi="Arial"/>
          <w:sz w:val="22"/>
          <w:szCs w:val="22"/>
          <w:b w:val="1"/>
          <w:bCs w:val="1"/>
          <w:color w:val="auto"/>
        </w:rPr>
        <w:t>Lender</w:t>
      </w:r>
      <w:r>
        <w:rPr>
          <w:rFonts w:ascii="Arial" w:cs="Arial" w:eastAsia="Arial" w:hAnsi="Arial"/>
          <w:sz w:val="22"/>
          <w:szCs w:val="22"/>
          <w:color w:val="auto"/>
        </w:rPr>
        <w:t xml:space="preserve">”) and </w:t>
      </w:r>
      <w:r>
        <w:rPr>
          <w:rFonts w:ascii="Arial" w:cs="Arial" w:eastAsia="Arial" w:hAnsi="Arial"/>
          <w:sz w:val="22"/>
          <w:szCs w:val="22"/>
          <w:b w:val="1"/>
          <w:bCs w:val="1"/>
          <w:color w:val="auto"/>
        </w:rPr>
        <w:t>GRAND CANYON UNIVERSITY</w:t>
      </w:r>
      <w:r>
        <w:rPr>
          <w:rFonts w:ascii="Arial" w:cs="Arial" w:eastAsia="Arial" w:hAnsi="Arial"/>
          <w:sz w:val="22"/>
          <w:szCs w:val="22"/>
          <w:color w:val="auto"/>
        </w:rPr>
        <w:t>, an Arizona nonprofit corporation (formerly known as Gazelle University)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644"/>
        <w:spacing w:after="0" w:line="257" w:lineRule="auto"/>
        <w:tabs>
          <w:tab w:leader="none" w:pos="1296" w:val="left"/>
        </w:tabs>
        <w:numPr>
          <w:ilvl w:val="0"/>
          <w:numId w:val="12"/>
        </w:numPr>
        <w:rPr>
          <w:rFonts w:ascii="Arial" w:cs="Arial" w:eastAsia="Arial" w:hAnsi="Arial"/>
          <w:sz w:val="21"/>
          <w:szCs w:val="21"/>
          <w:color w:val="auto"/>
        </w:rPr>
      </w:pPr>
      <w:r>
        <w:rPr>
          <w:rFonts w:ascii="Arial" w:cs="Arial" w:eastAsia="Arial" w:hAnsi="Arial"/>
          <w:sz w:val="21"/>
          <w:szCs w:val="21"/>
          <w:color w:val="auto"/>
        </w:rPr>
        <w:t>Borrower obtained a loan in the original principal amount of $870,097,225.00 and other loans (the “</w:t>
      </w:r>
      <w:r>
        <w:rPr>
          <w:rFonts w:ascii="Arial" w:cs="Arial" w:eastAsia="Arial" w:hAnsi="Arial"/>
          <w:sz w:val="21"/>
          <w:szCs w:val="21"/>
          <w:b w:val="1"/>
          <w:bCs w:val="1"/>
          <w:color w:val="auto"/>
        </w:rPr>
        <w:t>Original Loan</w:t>
      </w:r>
      <w:r>
        <w:rPr>
          <w:rFonts w:ascii="Arial" w:cs="Arial" w:eastAsia="Arial" w:hAnsi="Arial"/>
          <w:sz w:val="21"/>
          <w:szCs w:val="21"/>
          <w:color w:val="auto"/>
        </w:rPr>
        <w:t>”) from Lender, pursuant to, among other documents, that certain Credit Agreement dated as of July 1, 2018 between Borrower and Lender (the “</w:t>
      </w:r>
      <w:r>
        <w:rPr>
          <w:rFonts w:ascii="Arial" w:cs="Arial" w:eastAsia="Arial" w:hAnsi="Arial"/>
          <w:sz w:val="21"/>
          <w:szCs w:val="21"/>
          <w:b w:val="1"/>
          <w:bCs w:val="1"/>
          <w:color w:val="auto"/>
        </w:rPr>
        <w:t>Original Credit Agreement</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644"/>
        <w:spacing w:after="0" w:line="244" w:lineRule="auto"/>
        <w:tabs>
          <w:tab w:leader="none" w:pos="1296"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Original Loan is evidenced by (i) that certain Note dated as of July 1, 2018 executed by Borrower and payable to Lender in the original principal amount of $853,068,387.00, as amended and restated by that certain Amended and Restated Note dated as of July 1, 2018 executed by Borrower and payable to Lender in the original principal amount of $870,097,225.00 (the “</w:t>
      </w:r>
      <w:r>
        <w:rPr>
          <w:rFonts w:ascii="Arial" w:cs="Arial" w:eastAsia="Arial" w:hAnsi="Arial"/>
          <w:sz w:val="21"/>
          <w:szCs w:val="21"/>
          <w:b w:val="1"/>
          <w:bCs w:val="1"/>
          <w:color w:val="auto"/>
        </w:rPr>
        <w:t>2018 Note</w:t>
      </w:r>
      <w:r>
        <w:rPr>
          <w:rFonts w:ascii="Arial" w:cs="Arial" w:eastAsia="Arial" w:hAnsi="Arial"/>
          <w:sz w:val="21"/>
          <w:szCs w:val="21"/>
          <w:color w:val="auto"/>
        </w:rPr>
        <w:t>”), (ii) that certain CapEx Line of Credit Promissory Note dated as of June 24, 2019 executed by Borrower and payable to Lender in the original principal amount of $199,815,000.00 (the “</w:t>
      </w:r>
      <w:r>
        <w:rPr>
          <w:rFonts w:ascii="Arial" w:cs="Arial" w:eastAsia="Arial" w:hAnsi="Arial"/>
          <w:sz w:val="21"/>
          <w:szCs w:val="21"/>
          <w:b w:val="1"/>
          <w:bCs w:val="1"/>
          <w:color w:val="auto"/>
        </w:rPr>
        <w:t>2019 CapEx Note</w:t>
      </w:r>
      <w:r>
        <w:rPr>
          <w:rFonts w:ascii="Arial" w:cs="Arial" w:eastAsia="Arial" w:hAnsi="Arial"/>
          <w:sz w:val="21"/>
          <w:szCs w:val="21"/>
          <w:color w:val="auto"/>
        </w:rPr>
        <w:t>”), (iii) that certain CapEx Line of Credit Promissory Note dated as of June 24, 2020 executed by Borrower and payable to Lender in the original principal amount of $75,000,000.00 (the “</w:t>
      </w:r>
      <w:r>
        <w:rPr>
          <w:rFonts w:ascii="Arial" w:cs="Arial" w:eastAsia="Arial" w:hAnsi="Arial"/>
          <w:sz w:val="21"/>
          <w:szCs w:val="21"/>
          <w:b w:val="1"/>
          <w:bCs w:val="1"/>
          <w:color w:val="auto"/>
        </w:rPr>
        <w:t>2020 CapEx Note</w:t>
      </w:r>
      <w:r>
        <w:rPr>
          <w:rFonts w:ascii="Arial" w:cs="Arial" w:eastAsia="Arial" w:hAnsi="Arial"/>
          <w:sz w:val="21"/>
          <w:szCs w:val="21"/>
          <w:color w:val="auto"/>
        </w:rPr>
        <w:t>”) and (iv) that certain CapEx Line of Credit Promissory Note dated as of June 24, 2019 executed by Borrower and payable to Lender in the original principal amount of $115,000,000.00 (the “</w:t>
      </w:r>
      <w:r>
        <w:rPr>
          <w:rFonts w:ascii="Arial" w:cs="Arial" w:eastAsia="Arial" w:hAnsi="Arial"/>
          <w:sz w:val="21"/>
          <w:szCs w:val="21"/>
          <w:b w:val="1"/>
          <w:bCs w:val="1"/>
          <w:color w:val="auto"/>
        </w:rPr>
        <w:t>2021 Capex Note</w:t>
      </w:r>
      <w:r>
        <w:rPr>
          <w:rFonts w:ascii="Arial" w:cs="Arial" w:eastAsia="Arial" w:hAnsi="Arial"/>
          <w:sz w:val="21"/>
          <w:szCs w:val="21"/>
          <w:color w:val="auto"/>
        </w:rPr>
        <w:t>”, and collectively with the 2018 Note, the 2019 CapEx Note and the 2020 CapEx Note, the “</w:t>
      </w:r>
      <w:r>
        <w:rPr>
          <w:rFonts w:ascii="Arial" w:cs="Arial" w:eastAsia="Arial" w:hAnsi="Arial"/>
          <w:sz w:val="21"/>
          <w:szCs w:val="21"/>
          <w:b w:val="1"/>
          <w:bCs w:val="1"/>
          <w:color w:val="auto"/>
        </w:rPr>
        <w:t>Original Note</w:t>
      </w:r>
      <w:r>
        <w:rPr>
          <w:rFonts w:ascii="Arial" w:cs="Arial" w:eastAsia="Arial" w:hAnsi="Arial"/>
          <w:sz w:val="21"/>
          <w:szCs w:val="21"/>
          <w:color w:val="auto"/>
        </w:rPr>
        <w:t>”).</w:t>
      </w:r>
    </w:p>
    <w:p>
      <w:pPr>
        <w:spacing w:after="0" w:line="188" w:lineRule="exact"/>
        <w:rPr>
          <w:rFonts w:ascii="Arial" w:cs="Arial" w:eastAsia="Arial" w:hAnsi="Arial"/>
          <w:sz w:val="21"/>
          <w:szCs w:val="21"/>
          <w:color w:val="auto"/>
        </w:rPr>
      </w:pPr>
    </w:p>
    <w:p>
      <w:pPr>
        <w:jc w:val="both"/>
        <w:ind w:firstLine="644"/>
        <w:spacing w:after="0" w:line="246" w:lineRule="auto"/>
        <w:tabs>
          <w:tab w:leader="none" w:pos="1296"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Original Loan and the Original Note are secured by that certain Deed of Trust, Assignment of Leases and Rents, Security Agreement and Financing Statement dated as of July 1, 2018, executed by Borrower to Fidelity National Title Agency, Inc., as trustee, for the benefit of Lender, recorded in the Official Records of Maricopa County Recorder (the “</w:t>
      </w:r>
      <w:r>
        <w:rPr>
          <w:rFonts w:ascii="Arial" w:cs="Arial" w:eastAsia="Arial" w:hAnsi="Arial"/>
          <w:sz w:val="21"/>
          <w:szCs w:val="21"/>
          <w:b w:val="1"/>
          <w:bCs w:val="1"/>
          <w:color w:val="auto"/>
        </w:rPr>
        <w:t>Recorder’s Office</w:t>
      </w:r>
      <w:r>
        <w:rPr>
          <w:rFonts w:ascii="Arial" w:cs="Arial" w:eastAsia="Arial" w:hAnsi="Arial"/>
          <w:sz w:val="21"/>
          <w:szCs w:val="21"/>
          <w:color w:val="auto"/>
        </w:rPr>
        <w:t>”) on July 2, 2018 as document number 20180504061 (the “</w:t>
      </w:r>
      <w:r>
        <w:rPr>
          <w:rFonts w:ascii="Arial" w:cs="Arial" w:eastAsia="Arial" w:hAnsi="Arial"/>
          <w:sz w:val="21"/>
          <w:szCs w:val="21"/>
          <w:b w:val="1"/>
          <w:bCs w:val="1"/>
          <w:color w:val="auto"/>
        </w:rPr>
        <w:t>Original Security Instrument</w:t>
      </w:r>
      <w:r>
        <w:rPr>
          <w:rFonts w:ascii="Arial" w:cs="Arial" w:eastAsia="Arial" w:hAnsi="Arial"/>
          <w:sz w:val="21"/>
          <w:szCs w:val="21"/>
          <w:color w:val="auto"/>
        </w:rPr>
        <w:t>”). The Original Security Instrument encumbers a fee estate in certain real property located in Maricopa County, Arizona, more particularly described therein, together with certain other personal property and other property as set forth therein.</w:t>
      </w:r>
    </w:p>
    <w:p>
      <w:pPr>
        <w:spacing w:after="0" w:line="184" w:lineRule="exact"/>
        <w:rPr>
          <w:rFonts w:ascii="Arial" w:cs="Arial" w:eastAsia="Arial" w:hAnsi="Arial"/>
          <w:sz w:val="21"/>
          <w:szCs w:val="21"/>
          <w:color w:val="auto"/>
        </w:rPr>
      </w:pPr>
    </w:p>
    <w:p>
      <w:pPr>
        <w:jc w:val="both"/>
        <w:ind w:firstLine="644"/>
        <w:spacing w:after="0" w:line="277" w:lineRule="auto"/>
        <w:tabs>
          <w:tab w:leader="none" w:pos="1296" w:val="left"/>
        </w:tabs>
        <w:numPr>
          <w:ilvl w:val="0"/>
          <w:numId w:val="12"/>
        </w:numPr>
        <w:rPr>
          <w:rFonts w:ascii="Arial" w:cs="Arial" w:eastAsia="Arial" w:hAnsi="Arial"/>
          <w:sz w:val="19"/>
          <w:szCs w:val="19"/>
          <w:color w:val="auto"/>
        </w:rPr>
      </w:pPr>
      <w:r>
        <w:rPr>
          <w:rFonts w:ascii="Arial" w:cs="Arial" w:eastAsia="Arial" w:hAnsi="Arial"/>
          <w:sz w:val="19"/>
          <w:szCs w:val="19"/>
          <w:color w:val="auto"/>
        </w:rPr>
        <w:t>Borrower (collectively with any other entities that may join in and become members of the Obligated Group pursuant to the terms of the Master Indenture, the “</w:t>
      </w:r>
      <w:r>
        <w:rPr>
          <w:rFonts w:ascii="Arial" w:cs="Arial" w:eastAsia="Arial" w:hAnsi="Arial"/>
          <w:sz w:val="19"/>
          <w:szCs w:val="19"/>
          <w:b w:val="1"/>
          <w:bCs w:val="1"/>
          <w:color w:val="auto"/>
        </w:rPr>
        <w:t>Obligated Group</w:t>
      </w:r>
      <w:r>
        <w:rPr>
          <w:rFonts w:ascii="Arial" w:cs="Arial" w:eastAsia="Arial" w:hAnsi="Arial"/>
          <w:sz w:val="19"/>
          <w:szCs w:val="19"/>
          <w:color w:val="auto"/>
        </w:rPr>
        <w:t>”) and UMB Bank, National Association, a national banking association organized and existing under and by virtue of the laws of the United States, as master trustee (in such capacity, “</w:t>
      </w:r>
      <w:r>
        <w:rPr>
          <w:rFonts w:ascii="Arial" w:cs="Arial" w:eastAsia="Arial" w:hAnsi="Arial"/>
          <w:sz w:val="19"/>
          <w:szCs w:val="19"/>
          <w:b w:val="1"/>
          <w:bCs w:val="1"/>
          <w:color w:val="auto"/>
        </w:rPr>
        <w:t>Master Trustee</w:t>
      </w:r>
      <w:r>
        <w:rPr>
          <w:rFonts w:ascii="Arial" w:cs="Arial" w:eastAsia="Arial" w:hAnsi="Arial"/>
          <w:sz w:val="19"/>
          <w:szCs w:val="19"/>
          <w:color w:val="auto"/>
        </w:rPr>
        <w:t>”), have entered into that certain Master Trust Indenture, as supplemented by that certain First Supplemental Master Trust Indenture and that certain Second Supplemental Master Trust Indenture each dated as of October 1, 2021 (collectively and together with all future supplements, amendments, modification and restatements thereof, the “</w:t>
      </w:r>
      <w:r>
        <w:rPr>
          <w:rFonts w:ascii="Arial" w:cs="Arial" w:eastAsia="Arial" w:hAnsi="Arial"/>
          <w:sz w:val="19"/>
          <w:szCs w:val="19"/>
          <w:b w:val="1"/>
          <w:bCs w:val="1"/>
          <w:color w:val="auto"/>
        </w:rPr>
        <w:t>Master Indenture</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ind w:right="20" w:firstLine="647"/>
        <w:spacing w:after="0" w:line="250" w:lineRule="auto"/>
        <w:tabs>
          <w:tab w:leader="none" w:pos="1296"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connection with the Master Indenture, Borrower is entering into a Deed of Trust and Fixture Filing dated October 29, 2021, as trustor, to Fidelity National Title Agency, Inc.,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39" w:name="page40"/>
    <w:bookmarkEnd w:id="39"/>
    <w:p>
      <w:pPr>
        <w:jc w:val="both"/>
        <w:spacing w:after="0" w:line="275" w:lineRule="auto"/>
        <w:rPr>
          <w:sz w:val="20"/>
          <w:szCs w:val="20"/>
          <w:color w:val="auto"/>
        </w:rPr>
      </w:pPr>
      <w:r>
        <w:rPr>
          <w:rFonts w:ascii="Arial" w:cs="Arial" w:eastAsia="Arial" w:hAnsi="Arial"/>
          <w:sz w:val="19"/>
          <w:szCs w:val="19"/>
          <w:color w:val="auto"/>
        </w:rPr>
        <w:t>trustee for the benefit of the Master Trustee, as beneficiary (as the same may be amended, supplemented, restated, modified or spread to include additional property from time to time, the “</w:t>
      </w:r>
      <w:r>
        <w:rPr>
          <w:rFonts w:ascii="Arial" w:cs="Arial" w:eastAsia="Arial" w:hAnsi="Arial"/>
          <w:sz w:val="19"/>
          <w:szCs w:val="19"/>
          <w:b w:val="1"/>
          <w:bCs w:val="1"/>
          <w:color w:val="auto"/>
        </w:rPr>
        <w:t>Mortgage</w:t>
      </w:r>
      <w:r>
        <w:rPr>
          <w:rFonts w:ascii="Arial" w:cs="Arial" w:eastAsia="Arial" w:hAnsi="Arial"/>
          <w:sz w:val="19"/>
          <w:szCs w:val="19"/>
          <w:color w:val="auto"/>
        </w:rPr>
        <w:t>”), encumbering a fee estate in certain real property located in Maricopa County, Arizona, more particularly described therein, together with certain other personal property and other property as set forth therein, which Mortgage secures the payment by the Obligated Group of all Obligations (as defined in the Master Indenture) from time to time issued and outstanding under the Master Indenture and the performance by the Obligated Group of all of their covenants and duties under the Master Indenture and each Related Indebtedness Document (as defined in the Master Indenture) and each Ancillary Commitment Document (as defined in the Master Indenture).</w:t>
      </w:r>
    </w:p>
    <w:p>
      <w:pPr>
        <w:spacing w:after="0" w:line="158" w:lineRule="exact"/>
        <w:rPr>
          <w:sz w:val="20"/>
          <w:szCs w:val="20"/>
          <w:color w:val="auto"/>
        </w:rPr>
      </w:pPr>
    </w:p>
    <w:p>
      <w:pPr>
        <w:jc w:val="both"/>
        <w:ind w:firstLine="647"/>
        <w:spacing w:after="0" w:line="236" w:lineRule="auto"/>
        <w:tabs>
          <w:tab w:leader="none" w:pos="12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Concurrently herewith, Borrower intends to prepay a portion of the outstanding principal balance of the Original Note and has agreed to secure and evidence its remaining obligations under the Original Credit Agreement with the issuance of that certain GCE 2018 Related Indebtedness Obligation No. 2 to Lender in the principal amount of $469,912,418.74, dated October 29, 2021 (“</w:t>
      </w:r>
      <w:r>
        <w:rPr>
          <w:rFonts w:ascii="Arial" w:cs="Arial" w:eastAsia="Arial" w:hAnsi="Arial"/>
          <w:sz w:val="22"/>
          <w:szCs w:val="22"/>
          <w:b w:val="1"/>
          <w:bCs w:val="1"/>
          <w:color w:val="auto"/>
        </w:rPr>
        <w:t>Obligation No. 2</w:t>
      </w:r>
      <w:r>
        <w:rPr>
          <w:rFonts w:ascii="Arial" w:cs="Arial" w:eastAsia="Arial" w:hAnsi="Arial"/>
          <w:sz w:val="22"/>
          <w:szCs w:val="22"/>
          <w:color w:val="auto"/>
        </w:rPr>
        <w:t>”), in exchange for Lender releasing the Original Deed of Trust.</w:t>
      </w:r>
    </w:p>
    <w:p>
      <w:pPr>
        <w:spacing w:after="0" w:line="187" w:lineRule="exact"/>
        <w:rPr>
          <w:rFonts w:ascii="Arial" w:cs="Arial" w:eastAsia="Arial" w:hAnsi="Arial"/>
          <w:sz w:val="22"/>
          <w:szCs w:val="22"/>
          <w:color w:val="auto"/>
        </w:rPr>
      </w:pPr>
    </w:p>
    <w:p>
      <w:pPr>
        <w:jc w:val="both"/>
        <w:ind w:firstLine="647"/>
        <w:spacing w:after="0" w:line="287" w:lineRule="auto"/>
        <w:tabs>
          <w:tab w:leader="none" w:pos="1296"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parties hereto now wish to amend and modify the Original Credit Agreement to reflect the foregoing and related matters. Capitalized terms used herein and not otherwise defined shall have the same meanings as in the Original Credit Agreement. The Original Credit Agreement, as heretofore amended, modified and supplemented and as further modified and amended hereby, is referred to herein as the “</w:t>
      </w:r>
      <w:r>
        <w:rPr>
          <w:rFonts w:ascii="Arial" w:cs="Arial" w:eastAsia="Arial" w:hAnsi="Arial"/>
          <w:sz w:val="19"/>
          <w:szCs w:val="19"/>
          <w:b w:val="1"/>
          <w:bCs w:val="1"/>
          <w:color w:val="auto"/>
        </w:rPr>
        <w:t>Credit Agreement</w:t>
      </w:r>
      <w:r>
        <w:rPr>
          <w:rFonts w:ascii="Arial" w:cs="Arial" w:eastAsia="Arial" w:hAnsi="Arial"/>
          <w:sz w:val="19"/>
          <w:szCs w:val="19"/>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firstLine="639"/>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Borrower, Guarantor and Lender agree as follows:</w:t>
      </w:r>
    </w:p>
    <w:p>
      <w:pPr>
        <w:spacing w:after="0" w:line="175" w:lineRule="exact"/>
        <w:rPr>
          <w:sz w:val="20"/>
          <w:szCs w:val="20"/>
          <w:color w:val="auto"/>
        </w:rPr>
      </w:pPr>
    </w:p>
    <w:p>
      <w:pPr>
        <w:ind w:firstLine="644"/>
        <w:spacing w:after="0" w:line="250"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Incorporation of Recitals</w:t>
      </w:r>
      <w:r>
        <w:rPr>
          <w:rFonts w:ascii="Arial" w:cs="Arial" w:eastAsia="Arial" w:hAnsi="Arial"/>
          <w:sz w:val="22"/>
          <w:szCs w:val="22"/>
          <w:color w:val="auto"/>
        </w:rPr>
        <w:t>. The Recitals set forth above are hereby incorporated into and made a part of this Amendment.</w:t>
      </w:r>
    </w:p>
    <w:p>
      <w:pPr>
        <w:spacing w:after="0" w:line="174" w:lineRule="exact"/>
        <w:rPr>
          <w:rFonts w:ascii="Arial" w:cs="Arial" w:eastAsia="Arial" w:hAnsi="Arial"/>
          <w:sz w:val="22"/>
          <w:szCs w:val="22"/>
          <w:color w:val="auto"/>
        </w:rPr>
      </w:pPr>
    </w:p>
    <w:p>
      <w:pPr>
        <w:ind w:left="1300" w:hanging="653"/>
        <w:spacing w:after="0"/>
        <w:tabs>
          <w:tab w:leader="none" w:pos="130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Modification of Original Credit Agreement</w:t>
      </w:r>
      <w:r>
        <w:rPr>
          <w:rFonts w:ascii="Arial" w:cs="Arial" w:eastAsia="Arial" w:hAnsi="Arial"/>
          <w:sz w:val="19"/>
          <w:szCs w:val="19"/>
          <w:color w:val="auto"/>
        </w:rPr>
        <w:t>. The Original Credit Agreement is hereby modified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88" w:lineRule="exact"/>
        <w:rPr>
          <w:rFonts w:ascii="Arial" w:cs="Arial" w:eastAsia="Arial" w:hAnsi="Arial"/>
          <w:sz w:val="19"/>
          <w:szCs w:val="19"/>
          <w:color w:val="auto"/>
        </w:rPr>
      </w:pPr>
    </w:p>
    <w:p>
      <w:pPr>
        <w:ind w:right="20" w:firstLine="1304"/>
        <w:spacing w:after="0" w:line="250" w:lineRule="auto"/>
        <w:tabs>
          <w:tab w:leader="none" w:pos="1607"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following definitions are hereby added to the Defined Terms of the Credit Agreement, to appear in alphabetical order:</w:t>
      </w:r>
    </w:p>
    <w:p>
      <w:pPr>
        <w:spacing w:after="0" w:line="175" w:lineRule="exact"/>
        <w:rPr>
          <w:sz w:val="20"/>
          <w:szCs w:val="20"/>
          <w:color w:val="auto"/>
        </w:rPr>
      </w:pPr>
    </w:p>
    <w:p>
      <w:pPr>
        <w:jc w:val="both"/>
        <w:ind w:left="660" w:firstLine="63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Indenture</w:t>
      </w:r>
      <w:r>
        <w:rPr>
          <w:rFonts w:ascii="Arial" w:cs="Arial" w:eastAsia="Arial" w:hAnsi="Arial"/>
          <w:sz w:val="22"/>
          <w:szCs w:val="22"/>
          <w:color w:val="auto"/>
        </w:rPr>
        <w:t>” means that certain Master Trust Indenture dated as of October 1, 2021, as amended and supplemented from time to time, between Borrower and the other members of the Obligated Group (as defined therein) and UMB Bank, National Association, a national banking association, as master trustee.</w:t>
      </w:r>
    </w:p>
    <w:p>
      <w:pPr>
        <w:spacing w:after="0" w:line="185" w:lineRule="exact"/>
        <w:rPr>
          <w:sz w:val="20"/>
          <w:szCs w:val="20"/>
          <w:color w:val="auto"/>
        </w:rPr>
      </w:pPr>
    </w:p>
    <w:p>
      <w:pPr>
        <w:jc w:val="both"/>
        <w:ind w:left="660" w:firstLine="63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Trustee</w:t>
      </w:r>
      <w:r>
        <w:rPr>
          <w:rFonts w:ascii="Arial" w:cs="Arial" w:eastAsia="Arial" w:hAnsi="Arial"/>
          <w:sz w:val="22"/>
          <w:szCs w:val="22"/>
          <w:color w:val="auto"/>
        </w:rPr>
        <w:t>” means UMB Bank, National Association, a national banking association, in its capacity as master trustee under the Master Indenture.</w:t>
      </w:r>
    </w:p>
    <w:p>
      <w:pPr>
        <w:spacing w:after="0" w:line="175" w:lineRule="exact"/>
        <w:rPr>
          <w:sz w:val="20"/>
          <w:szCs w:val="20"/>
          <w:color w:val="auto"/>
        </w:rPr>
      </w:pPr>
    </w:p>
    <w:p>
      <w:pPr>
        <w:jc w:val="both"/>
        <w:ind w:left="660" w:firstLine="63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Modification Agreement</w:t>
      </w:r>
      <w:r>
        <w:rPr>
          <w:rFonts w:ascii="Arial" w:cs="Arial" w:eastAsia="Arial" w:hAnsi="Arial"/>
          <w:sz w:val="22"/>
          <w:szCs w:val="22"/>
          <w:color w:val="auto"/>
        </w:rPr>
        <w:t>” shall mean that certain Modification of Credit Agreement dated as of October 29, 2021 by Lender and Borrower.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 w:name="page41"/>
    <w:bookmarkEnd w:id="40"/>
    <w:p>
      <w:pPr>
        <w:ind w:left="660" w:firstLine="63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 No. 2</w:t>
      </w:r>
      <w:r>
        <w:rPr>
          <w:rFonts w:ascii="Arial" w:cs="Arial" w:eastAsia="Arial" w:hAnsi="Arial"/>
          <w:sz w:val="22"/>
          <w:szCs w:val="22"/>
          <w:color w:val="auto"/>
        </w:rPr>
        <w:t>” shall mean that certain GCE 2018 Related Indebtedness Obligation No. 2 made by Borrower to Lender in the amount of $469,912,418.74, dated October 29, 2021.</w:t>
      </w:r>
    </w:p>
    <w:p>
      <w:pPr>
        <w:spacing w:after="0" w:line="173" w:lineRule="exact"/>
        <w:rPr>
          <w:sz w:val="20"/>
          <w:szCs w:val="20"/>
          <w:color w:val="auto"/>
        </w:rPr>
      </w:pPr>
    </w:p>
    <w:p>
      <w:pPr>
        <w:ind w:left="1960" w:hanging="656"/>
        <w:spacing w:after="0"/>
        <w:tabs>
          <w:tab w:leader="none" w:pos="19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definition of “Agreement” is hereby amended and restated in its entirety to read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Credit Agreement, as modified by the Modification Agreement, as may be subsequently amended or modified.</w:t>
      </w:r>
    </w:p>
    <w:p>
      <w:pPr>
        <w:spacing w:after="0" w:line="175" w:lineRule="exact"/>
        <w:rPr>
          <w:sz w:val="20"/>
          <w:szCs w:val="20"/>
          <w:color w:val="auto"/>
        </w:rPr>
      </w:pPr>
    </w:p>
    <w:p>
      <w:pPr>
        <w:ind w:left="1960" w:hanging="656"/>
        <w:spacing w:after="0"/>
        <w:tabs>
          <w:tab w:leader="none" w:pos="19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definition of “Collateral Documents” is hereby amended and restated in its entirety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read as follows:</w:t>
      </w:r>
    </w:p>
    <w:p>
      <w:pPr>
        <w:spacing w:after="0" w:line="188" w:lineRule="exact"/>
        <w:rPr>
          <w:sz w:val="20"/>
          <w:szCs w:val="20"/>
          <w:color w:val="auto"/>
        </w:rPr>
      </w:pPr>
    </w:p>
    <w:p>
      <w:pPr>
        <w:jc w:val="both"/>
        <w:ind w:left="660" w:firstLine="63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means a collective reference to the Master Indenture, the Mortgage and the other security documents as may be executed and delivered by any Loan Party pursuant to the terms of Section 7.13.</w:t>
      </w:r>
    </w:p>
    <w:p>
      <w:pPr>
        <w:spacing w:after="0" w:line="18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The definition of “Mortgage” is hereby amended and restated in its entirety to read as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left="660" w:firstLine="63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means that certain Deed of Trust and Fixture Filing dated October 29, 2021 of Borrower, as mortgagor, for the benefit of UMB Bank, National Association, a national banking association organized and existing under and by virtue of the laws of the United States, as master trustee, as mortgagee, securing the Obligations (as defined in the Master Indenture), as the same may be amended, supplemented, restated, modified or spread to include additional property from time to time.</w:t>
      </w:r>
    </w:p>
    <w:p>
      <w:pPr>
        <w:spacing w:after="0" w:line="147" w:lineRule="exact"/>
        <w:rPr>
          <w:sz w:val="20"/>
          <w:szCs w:val="20"/>
          <w:color w:val="auto"/>
        </w:rPr>
      </w:pPr>
    </w:p>
    <w:p>
      <w:pPr>
        <w:ind w:left="1960" w:hanging="656"/>
        <w:spacing w:after="0"/>
        <w:tabs>
          <w:tab w:leader="none" w:pos="19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Section 2.11 is hereby amended and restated in its entirety to read as follows:</w:t>
      </w:r>
    </w:p>
    <w:p>
      <w:pPr>
        <w:spacing w:after="0" w:line="206" w:lineRule="exact"/>
        <w:rPr>
          <w:sz w:val="20"/>
          <w:szCs w:val="20"/>
          <w:color w:val="auto"/>
        </w:rPr>
      </w:pPr>
    </w:p>
    <w:p>
      <w:pPr>
        <w:jc w:val="both"/>
        <w:ind w:left="660" w:firstLine="639"/>
        <w:spacing w:after="0" w:line="275"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Evidence of Debt</w:t>
      </w:r>
      <w:r>
        <w:rPr>
          <w:rFonts w:ascii="Arial" w:cs="Arial" w:eastAsia="Arial" w:hAnsi="Arial"/>
          <w:sz w:val="19"/>
          <w:szCs w:val="19"/>
          <w:color w:val="auto"/>
        </w:rPr>
        <w:t>. The Credit Extensions made by the Lender shall be evidenced by one or more accounts or records maintained by the Lender in the ordinary course of business. The accounts or records maintained by the Lender shall be conclusive absent manifest error of the amount of the Credit Extensions made by the Lender to the Borrower and the interest and payments thereon. Any failure to so record or any error in doing so shall not, however, limit or otherwise affect the obligation of the Borrower hereunder to pay any amount owing with respect to the Obligations. Borrower has executed and delivered to Lender that certain Obligation No. 2, which secures each Loan under the Credit Agreement (as amended, restated and replaced from time to time, the “</w:t>
      </w:r>
      <w:r>
        <w:rPr>
          <w:rFonts w:ascii="Arial" w:cs="Arial" w:eastAsia="Arial" w:hAnsi="Arial"/>
          <w:sz w:val="19"/>
          <w:szCs w:val="19"/>
          <w:u w:val="single" w:color="auto"/>
          <w:color w:val="auto"/>
        </w:rPr>
        <w:t>Note</w:t>
      </w:r>
      <w:r>
        <w:rPr>
          <w:rFonts w:ascii="Arial" w:cs="Arial" w:eastAsia="Arial" w:hAnsi="Arial"/>
          <w:sz w:val="19"/>
          <w:szCs w:val="19"/>
          <w:color w:val="auto"/>
        </w:rPr>
        <w:t>”).</w:t>
      </w:r>
    </w:p>
    <w:p>
      <w:pPr>
        <w:spacing w:after="0" w:line="157" w:lineRule="exact"/>
        <w:rPr>
          <w:sz w:val="20"/>
          <w:szCs w:val="20"/>
          <w:color w:val="auto"/>
        </w:rPr>
      </w:pPr>
    </w:p>
    <w:p>
      <w:pPr>
        <w:ind w:left="660" w:right="1280" w:firstLine="644"/>
        <w:spacing w:after="0" w:line="435" w:lineRule="auto"/>
        <w:tabs>
          <w:tab w:leader="none" w:pos="1956" w:val="left"/>
        </w:tabs>
        <w:numPr>
          <w:ilvl w:val="1"/>
          <w:numId w:val="18"/>
        </w:numPr>
        <w:rPr>
          <w:rFonts w:ascii="Arial" w:cs="Arial" w:eastAsia="Arial" w:hAnsi="Arial"/>
          <w:sz w:val="22"/>
          <w:szCs w:val="22"/>
          <w:color w:val="auto"/>
        </w:rPr>
      </w:pPr>
      <w:r>
        <w:rPr>
          <w:rFonts w:ascii="Arial" w:cs="Arial" w:eastAsia="Arial" w:hAnsi="Arial"/>
          <w:sz w:val="22"/>
          <w:szCs w:val="22"/>
          <w:color w:val="auto"/>
        </w:rPr>
        <w:t xml:space="preserve">Section 7.13 is hereby amended and restated in its entirety to read as follows: 7.13 </w:t>
      </w:r>
      <w:r>
        <w:rPr>
          <w:rFonts w:ascii="Arial" w:cs="Arial" w:eastAsia="Arial" w:hAnsi="Arial"/>
          <w:sz w:val="22"/>
          <w:szCs w:val="22"/>
          <w:u w:val="single" w:color="auto"/>
          <w:color w:val="auto"/>
        </w:rPr>
        <w:t>Pledged Assets</w:t>
      </w:r>
      <w:r>
        <w:rPr>
          <w:rFonts w:ascii="Arial" w:cs="Arial" w:eastAsia="Arial" w:hAnsi="Arial"/>
          <w:sz w:val="22"/>
          <w:szCs w:val="22"/>
          <w:color w:val="auto"/>
        </w:rPr>
        <w:t>.</w:t>
      </w:r>
    </w:p>
    <w:p>
      <w:pPr>
        <w:ind w:left="1300" w:hanging="644"/>
        <w:spacing w:after="0"/>
        <w:tabs>
          <w:tab w:leader="none" w:pos="130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1" w:name="page42"/>
    <w:bookmarkEnd w:id="41"/>
    <w:p>
      <w:pPr>
        <w:jc w:val="both"/>
        <w:ind w:left="660" w:hanging="4"/>
        <w:spacing w:after="0" w:line="246" w:lineRule="auto"/>
        <w:tabs>
          <w:tab w:leader="none" w:pos="1308"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Personal Property</w:t>
      </w:r>
      <w:r>
        <w:rPr>
          <w:rFonts w:ascii="Arial" w:cs="Arial" w:eastAsia="Arial" w:hAnsi="Arial"/>
          <w:sz w:val="21"/>
          <w:szCs w:val="21"/>
          <w:color w:val="auto"/>
        </w:rPr>
        <w:t>. Cause certain personal property as described in the Mortgage (other than Excluded Personal Property) of each Loan Party to be subject at all times to first priority, perfected Liens in favor of Master Trustee to secure the Obligation No. 2 and the other Obligations (as defined in the Master Indenture) pursuant to Section 3.1 of the Master Indenture (subject to Permitted Liens) and, in connection with the foregoing, deliver to the Lender such other documentation as the Lender may reasonably request including filings and deliveries necessary to perfect such Liens, Organization Documents, resolutions and favorable opinions of counsel to such Person, all in form, content and scope reasonably satisfactory to the Lender.</w:t>
      </w:r>
    </w:p>
    <w:p>
      <w:pPr>
        <w:spacing w:after="0" w:line="180" w:lineRule="exact"/>
        <w:rPr>
          <w:rFonts w:ascii="Arial" w:cs="Arial" w:eastAsia="Arial" w:hAnsi="Arial"/>
          <w:sz w:val="21"/>
          <w:szCs w:val="21"/>
          <w:color w:val="auto"/>
        </w:rPr>
      </w:pPr>
    </w:p>
    <w:p>
      <w:pPr>
        <w:jc w:val="both"/>
        <w:ind w:left="660" w:hanging="4"/>
        <w:spacing w:after="0" w:line="246" w:lineRule="auto"/>
        <w:tabs>
          <w:tab w:leader="none" w:pos="1308"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Real Property</w:t>
      </w:r>
      <w:r>
        <w:rPr>
          <w:rFonts w:ascii="Arial" w:cs="Arial" w:eastAsia="Arial" w:hAnsi="Arial"/>
          <w:sz w:val="21"/>
          <w:szCs w:val="21"/>
          <w:color w:val="auto"/>
        </w:rPr>
        <w:t>. Cause the real property of the Loan Parties as described in the Mortgage to be subject at all times to first priority, perfected Liens in favor of Master Trustee pursuant to Section 3.1 of the Master Indenture, to secure Obligation No. 2 and the other Obligations (as defined in the Master Indenture) and, in connection with the foregoing, deliver to the Lender the Real Property Deliverables for such real property (other than, with respect to any such real property acquired after the Closing Date, an Appraisal), favorable opinions of counsel and such other documentation as the Lender may request, all in form, content and scope reasonably satisfactory to the Lender.</w:t>
      </w:r>
    </w:p>
    <w:p>
      <w:pPr>
        <w:spacing w:after="0" w:line="184" w:lineRule="exact"/>
        <w:rPr>
          <w:rFonts w:ascii="Arial" w:cs="Arial" w:eastAsia="Arial" w:hAnsi="Arial"/>
          <w:sz w:val="21"/>
          <w:szCs w:val="21"/>
          <w:color w:val="auto"/>
        </w:rPr>
      </w:pPr>
    </w:p>
    <w:p>
      <w:pPr>
        <w:ind w:left="1300" w:hanging="656"/>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Amendments to the Loan Documents</w:t>
      </w:r>
      <w:r>
        <w:rPr>
          <w:rFonts w:ascii="Arial" w:cs="Arial" w:eastAsia="Arial" w:hAnsi="Arial"/>
          <w:sz w:val="19"/>
          <w:szCs w:val="19"/>
          <w:color w:val="auto"/>
        </w:rPr>
        <w:t>. Each of the Loan Documents is hereby amended as follows:</w:t>
      </w:r>
    </w:p>
    <w:p>
      <w:pPr>
        <w:spacing w:after="0" w:line="24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(a)The Loan Documents are hereby modified to provide that all references therein to the “Original Credit Agreement” or to any other Loan Document shall be deemed to refer to the Original Credit Agreement and any such other Loan Document, each as modified by this Amendment. It is the intention of the parties hereto that this Amendment shall be deemed to form a part of the Original Credit Agreement and other Loan Documents that it amends, and shall constitute a “Loan Document” as referred to herein and therein. Except as specifically supplemented and amended hereby, the Loan Documents shall each remain in full force and effect. All references to the Original Security Instrument in any of the Loan Documents and in any documents executed in connection therewith shall be deemed to refer to the Master Indenture, the Mortgage and Obligation No. 2, as applicable. All references to the Note in the Original Credit Agreement, the other Loan Documents and in any other documents executed in connection therewith shall be deemed to refer to such Note as secured by the Master Indenture, the Mortgage and Obligation No. 2.</w:t>
      </w:r>
    </w:p>
    <w:p>
      <w:pPr>
        <w:spacing w:after="0" w:line="155" w:lineRule="exact"/>
        <w:rPr>
          <w:sz w:val="20"/>
          <w:szCs w:val="20"/>
          <w:color w:val="auto"/>
        </w:rPr>
      </w:pPr>
    </w:p>
    <w:p>
      <w:pPr>
        <w:jc w:val="both"/>
        <w:ind w:firstLine="644"/>
        <w:spacing w:after="0" w:line="235" w:lineRule="auto"/>
        <w:tabs>
          <w:tab w:leader="none" w:pos="129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Modifications, Supplements and Amendments to Master Indenture</w:t>
      </w:r>
      <w:r>
        <w:rPr>
          <w:rFonts w:ascii="Arial" w:cs="Arial" w:eastAsia="Arial" w:hAnsi="Arial"/>
          <w:sz w:val="22"/>
          <w:szCs w:val="22"/>
          <w:color w:val="auto"/>
        </w:rPr>
        <w:t>. Borrower shall not enter into any amendments, supplements or modifications to the Master Indenture that shall impair or otherwise adversely affect the interests of Lender without its prior written consent; provided, however, that Borrower may enter into such amendments, supplements or modifications to the Master Indenture if the purpose thereof is to secure Related Indebtedness, the proceeds of which shall be used to prepay or repay amounts owned by Borrower under the Loan Documents.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Confirmation of Obligations</w:t>
      </w:r>
      <w:r>
        <w:rPr>
          <w:rFonts w:ascii="Arial" w:cs="Arial" w:eastAsia="Arial" w:hAnsi="Arial"/>
          <w:sz w:val="22"/>
          <w:szCs w:val="22"/>
          <w:color w:val="auto"/>
        </w:rPr>
        <w:t>. Borrower hereby ratifies, reaffirms and confirms each of the covenants, agreements and obligations of Borrower set forth in the Loan Documents. Borrower and Lender hereby acknowledge and confirm that the outstanding principal amount of the Loan is $969,912,225.00, consisting of a CapEx Loan in the outstanding principal amount of $99,815,000.00 and a Term Loan in the outstanding principal amount of $870,097,225.00.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2" w:name="page43"/>
    <w:bookmarkEnd w:id="42"/>
    <w:p>
      <w:pPr>
        <w:jc w:val="both"/>
        <w:spacing w:after="0" w:line="252" w:lineRule="auto"/>
        <w:rPr>
          <w:sz w:val="20"/>
          <w:szCs w:val="20"/>
          <w:color w:val="auto"/>
        </w:rPr>
      </w:pPr>
      <w:r>
        <w:rPr>
          <w:rFonts w:ascii="Arial" w:cs="Arial" w:eastAsia="Arial" w:hAnsi="Arial"/>
          <w:sz w:val="21"/>
          <w:szCs w:val="21"/>
          <w:color w:val="auto"/>
        </w:rPr>
        <w:t>indebtedness evidenced by that certain Amended and Restated Note dated as of July 1, 2018 executed by Borrower and payable to Lender in the original principal amount of $870,097,225.00 is the same as the indebtedness evidenced by that certain Term Loan Promissory Note dated as of July 18, 2018 executed by Borrower and payable to Lender in the original principal amount of $870,097,225.00.</w:t>
      </w:r>
    </w:p>
    <w:p>
      <w:pPr>
        <w:spacing w:after="0" w:line="174" w:lineRule="exact"/>
        <w:rPr>
          <w:sz w:val="20"/>
          <w:szCs w:val="20"/>
          <w:color w:val="auto"/>
        </w:rPr>
      </w:pPr>
    </w:p>
    <w:p>
      <w:pPr>
        <w:jc w:val="both"/>
        <w:ind w:firstLine="647"/>
        <w:spacing w:after="0"/>
        <w:tabs>
          <w:tab w:leader="none" w:pos="1296"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No Rights Conferred on Others</w:t>
      </w:r>
      <w:r>
        <w:rPr>
          <w:rFonts w:ascii="Arial" w:cs="Arial" w:eastAsia="Arial" w:hAnsi="Arial"/>
          <w:sz w:val="22"/>
          <w:szCs w:val="22"/>
          <w:color w:val="auto"/>
        </w:rPr>
        <w:t>. Nothing contained in the Loan Documents, including this Amendment, shall be construed as giving any person, other than the parties hereto, any right, remedy or claim under or in respect of the Loan Documents, including this Amendment.</w:t>
      </w:r>
    </w:p>
    <w:p>
      <w:pPr>
        <w:spacing w:after="0" w:line="186" w:lineRule="exact"/>
        <w:rPr>
          <w:rFonts w:ascii="Arial" w:cs="Arial" w:eastAsia="Arial" w:hAnsi="Arial"/>
          <w:sz w:val="22"/>
          <w:szCs w:val="22"/>
          <w:color w:val="auto"/>
        </w:rPr>
      </w:pPr>
    </w:p>
    <w:p>
      <w:pPr>
        <w:ind w:left="1300" w:hanging="653"/>
        <w:spacing w:after="0"/>
        <w:tabs>
          <w:tab w:leader="none" w:pos="1300"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Non-Impairment</w:t>
      </w:r>
      <w:r>
        <w:rPr>
          <w:rFonts w:ascii="Arial" w:cs="Arial" w:eastAsia="Arial" w:hAnsi="Arial"/>
          <w:sz w:val="19"/>
          <w:szCs w:val="19"/>
          <w:color w:val="auto"/>
        </w:rPr>
        <w:t>. Except as expressly provided herein, nothing contained in this Amendment shall</w:t>
      </w:r>
    </w:p>
    <w:p>
      <w:pPr>
        <w:spacing w:after="0" w:line="42" w:lineRule="exact"/>
        <w:rPr>
          <w:rFonts w:ascii="Arial" w:cs="Arial" w:eastAsia="Arial" w:hAnsi="Arial"/>
          <w:sz w:val="19"/>
          <w:szCs w:val="19"/>
          <w:color w:val="auto"/>
        </w:rPr>
      </w:pPr>
    </w:p>
    <w:p>
      <w:pPr>
        <w:jc w:val="both"/>
        <w:ind w:firstLine="8"/>
        <w:spacing w:after="0" w:line="248" w:lineRule="auto"/>
        <w:tabs>
          <w:tab w:leader="none" w:pos="283" w:val="left"/>
        </w:tabs>
        <w:numPr>
          <w:ilvl w:val="0"/>
          <w:numId w:val="24"/>
        </w:numPr>
        <w:rPr>
          <w:rFonts w:ascii="Arial" w:cs="Arial" w:eastAsia="Arial" w:hAnsi="Arial"/>
          <w:sz w:val="21"/>
          <w:szCs w:val="21"/>
          <w:color w:val="auto"/>
        </w:rPr>
      </w:pPr>
      <w:r>
        <w:rPr>
          <w:rFonts w:ascii="Arial" w:cs="Arial" w:eastAsia="Arial" w:hAnsi="Arial"/>
          <w:sz w:val="21"/>
          <w:szCs w:val="21"/>
          <w:color w:val="auto"/>
        </w:rPr>
        <w:t>alter or affect any provision, condition or covenant contained in the Original Credit Agreement or affect or impair any rights, powers or remedies thereunder, it being the intent hereof that the provisions of the Original Credit Agreement shall continue in full force and effect except as expressly modified hereby.</w:t>
      </w:r>
    </w:p>
    <w:p>
      <w:pPr>
        <w:spacing w:after="0" w:line="178" w:lineRule="exact"/>
        <w:rPr>
          <w:rFonts w:ascii="Arial" w:cs="Arial" w:eastAsia="Arial" w:hAnsi="Arial"/>
          <w:sz w:val="21"/>
          <w:szCs w:val="21"/>
          <w:color w:val="auto"/>
        </w:rPr>
      </w:pPr>
    </w:p>
    <w:p>
      <w:pPr>
        <w:jc w:val="both"/>
        <w:ind w:firstLine="647"/>
        <w:spacing w:after="0"/>
        <w:tabs>
          <w:tab w:leader="none" w:pos="1296"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each of which when executed and delivered to Lender will be deemed to be an original, and all of which, taken together, will be deemed to be one and the same instrument.</w:t>
      </w:r>
    </w:p>
    <w:p>
      <w:pPr>
        <w:spacing w:after="0" w:line="186" w:lineRule="exact"/>
        <w:rPr>
          <w:rFonts w:ascii="Arial" w:cs="Arial" w:eastAsia="Arial" w:hAnsi="Arial"/>
          <w:sz w:val="22"/>
          <w:szCs w:val="22"/>
          <w:color w:val="auto"/>
        </w:rPr>
      </w:pPr>
    </w:p>
    <w:p>
      <w:pPr>
        <w:jc w:val="both"/>
        <w:ind w:firstLine="647"/>
        <w:spacing w:after="0" w:line="246" w:lineRule="auto"/>
        <w:tabs>
          <w:tab w:leader="none" w:pos="1296"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Prior Agreements</w:t>
      </w:r>
      <w:r>
        <w:rPr>
          <w:rFonts w:ascii="Arial" w:cs="Arial" w:eastAsia="Arial" w:hAnsi="Arial"/>
          <w:sz w:val="21"/>
          <w:szCs w:val="21"/>
          <w:color w:val="auto"/>
        </w:rPr>
        <w:t>. The Loan Documents, including this Amendment, (i) integrate all the terms and conditions mentioned in or incidental to the Loan Documents, (ii) supersede all oral negotiations and prior and other writings with respect to the subject matter thereof, and (iii) are intended by the parties as the final expression of the agreement with respect to the terms and conditions set forth in the Loan Documents and as the complete and exclusive statement of the terms agreed to by the parties. If there is any conflict between the terms, conditions and provisions of this Amendment and those of any of the original Loan Documents, the terms, conditions and provisions of this Amendment shall prevail.</w:t>
      </w:r>
    </w:p>
    <w:p>
      <w:pPr>
        <w:spacing w:after="0" w:line="184" w:lineRule="exact"/>
        <w:rPr>
          <w:rFonts w:ascii="Arial" w:cs="Arial" w:eastAsia="Arial" w:hAnsi="Arial"/>
          <w:sz w:val="21"/>
          <w:szCs w:val="21"/>
          <w:color w:val="auto"/>
        </w:rPr>
      </w:pPr>
    </w:p>
    <w:p>
      <w:pPr>
        <w:ind w:firstLine="647"/>
        <w:spacing w:after="0" w:line="250" w:lineRule="auto"/>
        <w:tabs>
          <w:tab w:leader="none" w:pos="1296"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Amendment shall be binding upon and inure to the benefit of the successors and permitted assigns of each party 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3" w:name="page44"/>
    <w:bookmarkEnd w:id="43"/>
    <w:p>
      <w:pPr>
        <w:ind w:left="660"/>
        <w:spacing w:after="0"/>
        <w:rPr>
          <w:sz w:val="20"/>
          <w:szCs w:val="20"/>
          <w:color w:val="auto"/>
        </w:rPr>
      </w:pPr>
      <w:r>
        <w:rPr>
          <w:rFonts w:ascii="Arial" w:cs="Arial" w:eastAsia="Arial" w:hAnsi="Arial"/>
          <w:sz w:val="19"/>
          <w:szCs w:val="19"/>
          <w:color w:val="auto"/>
        </w:rPr>
        <w:t>IN WITNESS WHEREOF, the parties have executed this Amendment as of the date first set forth above.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GRAND CANYON EDUCATION,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6985</wp:posOffset>
            </wp:positionV>
            <wp:extent cx="3111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2"/>
          <w:szCs w:val="22"/>
          <w:color w:val="auto"/>
        </w:rPr>
        <w:t>Name:Daniel E. Bachus</w:t>
      </w:r>
    </w:p>
    <w:p>
      <w:pPr>
        <w:ind w:left="340"/>
        <w:spacing w:after="0"/>
        <w:rPr>
          <w:sz w:val="20"/>
          <w:szCs w:val="20"/>
          <w:color w:val="auto"/>
        </w:rPr>
      </w:pPr>
      <w:r>
        <w:rPr>
          <w:rFonts w:ascii="Arial" w:cs="Arial" w:eastAsia="Arial" w:hAnsi="Arial"/>
          <w:sz w:val="22"/>
          <w:szCs w:val="22"/>
          <w:color w:val="auto"/>
        </w:rPr>
        <w:t>Title: Chief Financial Officer</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1087120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980" w:top="118" w:right="119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u w:val="single" w:color="auto"/>
          <w:color w:val="auto"/>
        </w:rPr>
        <w:t>BORROWER</w:t>
      </w:r>
      <w:r>
        <w:rPr>
          <w:rFonts w:ascii="Arial" w:cs="Arial" w:eastAsia="Arial" w:hAnsi="Arial"/>
          <w:sz w:val="22"/>
          <w:szCs w:val="22"/>
          <w:b w:val="1"/>
          <w:bCs w:val="1"/>
          <w:color w:val="auto"/>
        </w:rPr>
        <w: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G</w:t>
      </w:r>
      <w:r>
        <w:rPr>
          <w:rFonts w:ascii="Arial" w:cs="Arial" w:eastAsia="Arial" w:hAnsi="Arial"/>
          <w:sz w:val="17"/>
          <w:szCs w:val="17"/>
          <w:b w:val="1"/>
          <w:bCs w:val="1"/>
          <w:color w:val="auto"/>
        </w:rPr>
        <w:t>RAND</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ANYON</w:t>
      </w:r>
      <w:r>
        <w:rPr>
          <w:rFonts w:ascii="Arial" w:cs="Arial" w:eastAsia="Arial" w:hAnsi="Arial"/>
          <w:sz w:val="22"/>
          <w:szCs w:val="22"/>
          <w:b w:val="1"/>
          <w:bCs w:val="1"/>
          <w:color w:val="auto"/>
        </w:rPr>
        <w:t xml:space="preserve"> U</w:t>
      </w:r>
      <w:r>
        <w:rPr>
          <w:rFonts w:ascii="Arial" w:cs="Arial" w:eastAsia="Arial" w:hAnsi="Arial"/>
          <w:sz w:val="17"/>
          <w:szCs w:val="17"/>
          <w:b w:val="1"/>
          <w:bCs w:val="1"/>
          <w:color w:val="auto"/>
        </w:rPr>
        <w:t>NIVERSITY</w:t>
      </w:r>
      <w:r>
        <w:rPr>
          <w:rFonts w:ascii="Arial" w:cs="Arial" w:eastAsia="Arial" w:hAnsi="Arial"/>
          <w:sz w:val="22"/>
          <w:szCs w:val="22"/>
          <w:color w:val="auto"/>
        </w:rPr>
        <w:t>, an Arizona</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nonprofit corporation, on behalf of itself and</w:t>
      </w:r>
    </w:p>
    <w:p>
      <w:pPr>
        <w:ind w:left="340"/>
        <w:spacing w:after="0" w:line="230" w:lineRule="auto"/>
        <w:rPr>
          <w:sz w:val="20"/>
          <w:szCs w:val="20"/>
          <w:color w:val="auto"/>
        </w:rPr>
      </w:pPr>
      <w:r>
        <w:rPr>
          <w:rFonts w:ascii="Arial" w:cs="Arial" w:eastAsia="Arial" w:hAnsi="Arial"/>
          <w:sz w:val="22"/>
          <w:szCs w:val="22"/>
          <w:color w:val="auto"/>
        </w:rPr>
        <w:t>all other organizations that may hereafter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become Members of the Obligated Group</w:t>
      </w: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By:/s/ Junette C.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6985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Name:Junette C. West</w:t>
      </w:r>
    </w:p>
    <w:p>
      <w:pPr>
        <w:jc w:val="right"/>
        <w:ind w:right="4839"/>
        <w:spacing w:after="0"/>
        <w:rPr>
          <w:sz w:val="20"/>
          <w:szCs w:val="20"/>
          <w:color w:val="auto"/>
        </w:rPr>
      </w:pPr>
      <w:r>
        <w:rPr>
          <w:rFonts w:ascii="Arial" w:cs="Arial" w:eastAsia="Arial" w:hAnsi="Arial"/>
          <w:sz w:val="22"/>
          <w:szCs w:val="22"/>
          <w:color w:val="auto"/>
        </w:rPr>
        <w:t>Title: Vice President of Business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904240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2" w:right="1440" w:bottom="1440" w:gutter="0" w:footer="0" w:header="0"/>
        </w:sectPr>
      </w:pPr>
    </w:p>
    <w:bookmarkStart w:id="45" w:name="page46"/>
    <w:bookmarkEnd w:id="45"/>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8"/>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September 30, 2021 of Grand Canyon Education, Inc.;</w:t>
      </w:r>
    </w:p>
    <w:p>
      <w:pPr>
        <w:spacing w:after="0" w:line="248" w:lineRule="exact"/>
        <w:rPr>
          <w:rFonts w:ascii="Arial" w:cs="Arial" w:eastAsia="Arial" w:hAnsi="Arial"/>
          <w:sz w:val="16"/>
          <w:szCs w:val="16"/>
          <w:color w:val="auto"/>
        </w:rPr>
      </w:pPr>
    </w:p>
    <w:p>
      <w:pPr>
        <w:ind w:right="500" w:firstLine="332"/>
        <w:spacing w:after="0" w:line="263" w:lineRule="auto"/>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November 3,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6" w:name="page47"/>
    <w:bookmarkEnd w:id="46"/>
    <w:p>
      <w:pPr>
        <w:ind w:left="9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8"/>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September 30, 2021 of Grand Canyon Education, Inc.;</w:t>
      </w:r>
    </w:p>
    <w:p>
      <w:pPr>
        <w:spacing w:after="0" w:line="248" w:lineRule="exact"/>
        <w:rPr>
          <w:rFonts w:ascii="Arial" w:cs="Arial" w:eastAsia="Arial" w:hAnsi="Arial"/>
          <w:sz w:val="16"/>
          <w:szCs w:val="16"/>
          <w:color w:val="auto"/>
        </w:rPr>
      </w:pPr>
    </w:p>
    <w:p>
      <w:pPr>
        <w:ind w:right="500" w:firstLine="332"/>
        <w:spacing w:after="0" w:line="263" w:lineRule="auto"/>
        <w:tabs>
          <w:tab w:leader="none" w:pos="5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November 3,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2021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2021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2)"/>
      <w:numFmt w:val="decimal"/>
      <w:start w:val="1"/>
    </w:lvl>
  </w:abstractNum>
  <w:abstractNum w:abstractNumId="3">
    <w:nsid w:val="6B68079A"/>
    <w:multiLevelType w:val="hybridMultilevel"/>
    <w:lvl w:ilvl="0">
      <w:lvlJc w:val="left"/>
      <w:lvlText w:val="%1."/>
      <w:numFmt w:val="decimal"/>
      <w:start w:val="6"/>
    </w:lvl>
    <w:lvl w:ilvl="1">
      <w:lvlJc w:val="left"/>
      <w:lvlText w:val="%2"/>
      <w:numFmt w:val="decimal"/>
      <w:start w:val="1"/>
    </w:lvl>
  </w:abstractNum>
  <w:abstractNum w:abstractNumId="4">
    <w:nsid w:val="4E6AFB66"/>
    <w:multiLevelType w:val="hybridMultilevel"/>
    <w:lvl w:ilvl="0">
      <w:lvlJc w:val="left"/>
      <w:lvlText w:val="%1."/>
      <w:numFmt w:val="decimal"/>
      <w:start w:val="1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0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upperLetter"/>
      <w:start w:val="1"/>
    </w:lvl>
  </w:abstractNum>
  <w:abstractNum w:abstractNumId="12">
    <w:nsid w:val="436C6125"/>
    <w:multiLevelType w:val="hybridMultilevel"/>
    <w:lvl w:ilvl="0">
      <w:lvlJc w:val="left"/>
      <w:lvlText w:val="%1."/>
      <w:numFmt w:val="upperLetter"/>
      <w:start w:val="6"/>
    </w:lvl>
  </w:abstractNum>
  <w:abstractNum w:abstractNumId="13">
    <w:nsid w:val="628C895D"/>
    <w:multiLevelType w:val="hybridMultilevel"/>
    <w:lvl w:ilvl="0">
      <w:lvlJc w:val="left"/>
      <w:lvlText w:val="%1."/>
      <w:numFmt w:val="decimal"/>
      <w:start w:val="1"/>
    </w:lvl>
    <w:lvl w:ilvl="1">
      <w:lvlJc w:val="left"/>
      <w:lvlText w:val="(%2)"/>
      <w:numFmt w:val="lowerLetter"/>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2"/>
    </w:lvl>
  </w:abstractNum>
  <w:abstractNum w:abstractNumId="16">
    <w:nsid w:val="2443A858"/>
    <w:multiLevelType w:val="hybridMultilevel"/>
    <w:lvl w:ilvl="0">
      <w:lvlJc w:val="left"/>
      <w:lvlText w:val="(%1)"/>
      <w:numFmt w:val="lowerLetter"/>
      <w:start w:val="4"/>
    </w:lvl>
  </w:abstractNum>
  <w:abstractNum w:abstractNumId="17">
    <w:nsid w:val="2D1D5AE9"/>
    <w:multiLevelType w:val="hybridMultilevel"/>
    <w:lvl w:ilvl="0">
      <w:lvlJc w:val="left"/>
      <w:lvlText w:val="%1"/>
      <w:numFmt w:val="lowerLetter"/>
      <w:start w:val="1"/>
    </w:lvl>
    <w:lvl w:ilvl="1">
      <w:lvlJc w:val="left"/>
      <w:lvlText w:val="(%2)"/>
      <w:numFmt w:val="lowerLetter"/>
      <w:start w:val="5"/>
    </w:lvl>
  </w:abstractNum>
  <w:abstractNum w:abstractNumId="18">
    <w:nsid w:val="6763845E"/>
    <w:multiLevelType w:val="hybridMultilevel"/>
    <w:lvl w:ilvl="0">
      <w:lvlJc w:val="left"/>
      <w:lvlText w:val="(%1)"/>
      <w:numFmt w:val="lowerLetter"/>
      <w:start w:val="1"/>
    </w:lvl>
    <w:lvl w:ilvl="1">
      <w:lvlJc w:val="left"/>
      <w:lvlText w:val="%2"/>
      <w:numFmt w:val="lowerLetter"/>
      <w:start w:val="1"/>
    </w:lvl>
  </w:abstractNum>
  <w:abstractNum w:abstractNumId="19">
    <w:nsid w:val="75A2A8D4"/>
    <w:multiLevelType w:val="hybridMultilevel"/>
    <w:lvl w:ilvl="0">
      <w:lvlJc w:val="left"/>
      <w:lvlText w:val="%1"/>
      <w:numFmt w:val="decimal"/>
      <w:start w:val="1"/>
    </w:lvl>
    <w:lvl w:ilvl="1">
      <w:lvlJc w:val="left"/>
      <w:lvlText w:val="(%2)"/>
      <w:numFmt w:val="lowerLetter"/>
      <w:start w:val="2"/>
    </w:lvl>
  </w:abstractNum>
  <w:abstractNum w:abstractNumId="20">
    <w:nsid w:val="8EDBDAB"/>
    <w:multiLevelType w:val="hybridMultilevel"/>
    <w:lvl w:ilvl="0">
      <w:lvlJc w:val="left"/>
      <w:lvlText w:val="%1."/>
      <w:numFmt w:val="decimal"/>
      <w:start w:val="3"/>
    </w:lvl>
    <w:lvl w:ilvl="1">
      <w:lvlJc w:val="left"/>
      <w:lvlText w:val="%2"/>
      <w:numFmt w:val="lowerLetter"/>
      <w:start w:val="1"/>
    </w:lvl>
  </w:abstractNum>
  <w:abstractNum w:abstractNumId="21">
    <w:nsid w:val="79838CB2"/>
    <w:multiLevelType w:val="hybridMultilevel"/>
    <w:lvl w:ilvl="0">
      <w:lvlJc w:val="left"/>
      <w:lvlText w:val="%1."/>
      <w:numFmt w:val="decimal"/>
      <w:start w:val="4"/>
    </w:lvl>
  </w:abstractNum>
  <w:abstractNum w:abstractNumId="22">
    <w:nsid w:val="4353D0CD"/>
    <w:multiLevelType w:val="hybridMultilevel"/>
    <w:lvl w:ilvl="0">
      <w:lvlJc w:val="left"/>
      <w:lvlText w:val="%1"/>
      <w:numFmt w:val="lowerRoman"/>
      <w:start w:val="1"/>
    </w:lvl>
    <w:lvl w:ilvl="1">
      <w:lvlJc w:val="left"/>
      <w:lvlText w:val="%2."/>
      <w:numFmt w:val="decimal"/>
      <w:start w:val="5"/>
    </w:lvl>
  </w:abstractNum>
  <w:abstractNum w:abstractNumId="23">
    <w:nsid w:val="B03E0C6"/>
    <w:multiLevelType w:val="hybridMultilevel"/>
    <w:lvl w:ilvl="0">
      <w:lvlJc w:val="left"/>
      <w:lvlText w:val="(%1)"/>
      <w:numFmt w:val="lowerRoman"/>
      <w:start w:val="1"/>
    </w:lvl>
    <w:lvl w:ilvl="1">
      <w:lvlJc w:val="left"/>
      <w:lvlText w:val="%2."/>
      <w:numFmt w:val="decimal"/>
      <w:start w:val="7"/>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52" Type="http://schemas.openxmlformats.org/officeDocument/2006/relationships/hyperlink" Target="http://www.sec.gov/Archives/edgar/data/1434588/000155837019000782/lope-20181231ex31395dfc9.htm" TargetMode="External"/><Relationship Id="rId53" Type="http://schemas.openxmlformats.org/officeDocument/2006/relationships/hyperlink" Target="http://www.sec.gov/Archives/edgar/data/1434588/000119312514387149/d812440dex31.htm" TargetMode="External"/><Relationship Id="rId54"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2021-11-03T08:03:47Z</dcterms:created>
  <dcterms:modified xsi:type="dcterms:W3CDTF">2021-11-03T08:03:47Z</dcterms:modified>
</cp:coreProperties>
</file>