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right="7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#38526M106</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1,396,283</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4,178,772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4,178,772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8.683%</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#38526M106</w:t>
            </w:r>
          </w:p>
        </w:tc>
        <w:tc>
          <w:tcPr>
            <w:tcW w:w="416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4,178,772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4,178,772</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8.683%</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GRAND CANYON EDUCATION INC</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330 W Camelback Rd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Phoenix, AZ 85017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38526M106</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6480" w:type="dxa"/>
            <w:vAlign w:val="bottom"/>
            <w:gridSpan w:val="4"/>
            <w:vMerge w:val="restart"/>
          </w:tcPr>
          <w:p>
            <w:pPr>
              <w:ind w:left="60"/>
              <w:spacing w:after="0"/>
              <w:rPr>
                <w:sz w:val="20"/>
                <w:szCs w:val="20"/>
                <w:color w:val="auto"/>
              </w:rPr>
            </w:pPr>
            <w:r>
              <w:rPr>
                <w:rFonts w:ascii="Courier New" w:cs="Courier New" w:eastAsia="Courier New" w:hAnsi="Courier New"/>
                <w:sz w:val="18"/>
                <w:szCs w:val="18"/>
                <w:color w:val="auto"/>
              </w:rPr>
              <w:t>is a parent holding company in accordance with</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640" w:type="dxa"/>
            <w:vAlign w:val="bottom"/>
            <w:gridSpan w:val="4"/>
          </w:tcPr>
          <w:p>
            <w:pPr>
              <w:spacing w:after="0"/>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4,178,772</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8.683%</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1,396,283</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4,178,772</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firstLine="948"/>
        <w:spacing w:after="0" w:line="25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ind w:right="2319"/>
        <w:spacing w:after="0" w:line="273" w:lineRule="auto"/>
        <w:rPr>
          <w:sz w:val="20"/>
          <w:szCs w:val="20"/>
          <w:color w:val="auto"/>
        </w:rPr>
      </w:pPr>
      <w:r>
        <w:rPr>
          <w:rFonts w:ascii="Courier New" w:cs="Courier New" w:eastAsia="Courier New" w:hAnsi="Courier New"/>
          <w:sz w:val="18"/>
          <w:szCs w:val="18"/>
          <w:color w:val="auto"/>
        </w:rPr>
        <w:t>sale of, the COMMON STOCK of GRAND CANYON EDUCATION INC. No one other person's interest in the COMMON STOCK of GRAND CANYON EDUCATION INC is more than five percent of the total outstanding COMMON STOCK.</w:t>
      </w:r>
    </w:p>
    <w:p>
      <w:pPr>
        <w:spacing w:after="0" w:line="82"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10" w:right="1440" w:bottom="39"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0" w:right="1440" w:bottom="3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0" w:right="1440" w:bottom="3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31" w:lineRule="exact"/>
        <w:rPr>
          <w:sz w:val="20"/>
          <w:szCs w:val="20"/>
          <w:color w:val="auto"/>
        </w:rPr>
      </w:pPr>
    </w:p>
    <w:p>
      <w:pPr>
        <w:ind w:right="1999" w:firstLine="948"/>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207" w:lineRule="exact"/>
        <w:rPr>
          <w:sz w:val="20"/>
          <w:szCs w:val="20"/>
          <w:color w:val="auto"/>
        </w:rPr>
      </w:pPr>
    </w:p>
    <w:p>
      <w:pPr>
        <w:ind w:right="2419" w:firstLine="8"/>
        <w:spacing w:after="0" w:line="292"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619" w:firstLine="1791"/>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10" w:right="1440" w:bottom="3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940" w:type="dxa"/>
            <w:vAlign w:val="bottom"/>
          </w:tcPr>
          <w:p>
            <w:pPr>
              <w:spacing w:after="0"/>
              <w:rPr>
                <w:sz w:val="17"/>
                <w:szCs w:val="17"/>
                <w:color w:val="auto"/>
              </w:rPr>
            </w:pPr>
          </w:p>
        </w:tc>
        <w:tc>
          <w:tcPr>
            <w:tcW w:w="1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FI</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3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(Canada) Asset Management ULC</w:t>
            </w:r>
          </w:p>
        </w:tc>
        <w:tc>
          <w:tcPr>
            <w:tcW w:w="1580" w:type="dxa"/>
            <w:vAlign w:val="bottom"/>
            <w:vMerge w:val="continue"/>
          </w:tcPr>
          <w:p>
            <w:pPr>
              <w:spacing w:after="0"/>
              <w:rPr>
                <w:sz w:val="17"/>
                <w:szCs w:val="17"/>
                <w:color w:val="auto"/>
              </w:rPr>
            </w:pPr>
          </w:p>
        </w:tc>
        <w:tc>
          <w:tcPr>
            <w:tcW w:w="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BK</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3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Institutional Asset Management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Company</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3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COMPANY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9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IA</w:t>
            </w: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STRATEGIC ADVISERS, INC.</w:t>
            </w:r>
          </w:p>
        </w:tc>
        <w:tc>
          <w:tcPr>
            <w:tcW w:w="9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519" w:firstLine="8"/>
        <w:spacing w:after="0" w:line="34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39" w:firstLine="1685"/>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23" w:lineRule="exact"/>
        <w:rPr>
          <w:sz w:val="20"/>
          <w:szCs w:val="20"/>
          <w:color w:val="auto"/>
        </w:rPr>
      </w:pPr>
    </w:p>
    <w:p>
      <w:pPr>
        <w:ind w:right="2319" w:firstLine="1685"/>
        <w:spacing w:after="0" w:line="276"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374" w:lineRule="exact"/>
        <w:rPr>
          <w:sz w:val="20"/>
          <w:szCs w:val="20"/>
          <w:color w:val="auto"/>
        </w:rPr>
      </w:pPr>
    </w:p>
    <w:p>
      <w:pPr>
        <w:ind w:right="2319" w:firstLine="1685"/>
        <w:spacing w:after="0" w:line="253"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309" w:lineRule="exact"/>
        <w:rPr>
          <w:sz w:val="20"/>
          <w:szCs w:val="20"/>
          <w:color w:val="auto"/>
        </w:rPr>
      </w:pPr>
    </w:p>
    <w:p>
      <w:pPr>
        <w:ind w:right="2319" w:firstLine="1685"/>
        <w:spacing w:after="0" w:line="293"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4" w:lineRule="exact"/>
        <w:rPr>
          <w:sz w:val="20"/>
          <w:szCs w:val="20"/>
          <w:color w:val="auto"/>
        </w:rPr>
      </w:pPr>
    </w:p>
    <w:p>
      <w:pPr>
        <w:ind w:right="2619" w:firstLine="1685"/>
        <w:spacing w:after="0" w:line="274"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GRAND CANYON EDUCATION INC at December 29, 2017.</w:t>
      </w:r>
    </w:p>
    <w:p>
      <w:pPr>
        <w:spacing w:after="0" w:line="2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0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19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08" w:right="1440" w:bottom="0" w:gutter="0" w:footer="0" w:header="0"/>
        </w:sectPr>
      </w:pPr>
    </w:p>
    <w:bookmarkStart w:id="3" w:name="page4"/>
    <w:bookmarkEnd w:id="3"/>
    <w:p>
      <w:pPr>
        <w:ind w:left="-8" w:right="2419" w:firstLine="8"/>
        <w:spacing w:after="0" w:line="292" w:lineRule="auto"/>
        <w:tabs>
          <w:tab w:leader="none" w:pos="2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2019-12-07T12:48:38Z</dcterms:created>
  <dcterms:modified xsi:type="dcterms:W3CDTF">2019-12-07T12:48:38Z</dcterms:modified>
</cp:coreProperties>
</file>