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333-150876</w:t>
      </w:r>
    </w:p>
    <w:p>
      <w:pPr>
        <w:spacing w:after="0" w:line="330" w:lineRule="exact"/>
        <w:rPr>
          <w:sz w:val="20"/>
          <w:szCs w:val="20"/>
          <w:color w:val="auto"/>
        </w:rPr>
      </w:pPr>
    </w:p>
    <w:p>
      <w:pPr>
        <w:ind w:left="4720"/>
        <w:spacing w:after="0"/>
        <w:rPr>
          <w:sz w:val="20"/>
          <w:szCs w:val="20"/>
          <w:color w:val="auto"/>
        </w:rPr>
      </w:pPr>
      <w:r>
        <w:rPr>
          <w:rFonts w:ascii="Arial" w:cs="Arial" w:eastAsia="Arial" w:hAnsi="Arial"/>
          <w:sz w:val="25"/>
          <w:szCs w:val="25"/>
          <w:color w:val="auto"/>
        </w:rPr>
        <w:t>10,500,000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93980</wp:posOffset>
            </wp:positionV>
            <wp:extent cx="83185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185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Grand Canyon Education, Inc.</w:t>
      </w:r>
    </w:p>
    <w:p>
      <w:pPr>
        <w:spacing w:after="0" w:line="32"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131445</wp:posOffset>
            </wp:positionV>
            <wp:extent cx="1637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This is the initial public offering of common stock of Grand Canyon Education, Inc. We are offering 10,500,000 shares of our common stock.</w:t>
      </w:r>
    </w:p>
    <w:p>
      <w:pPr>
        <w:spacing w:after="0" w:line="76" w:lineRule="exact"/>
        <w:rPr>
          <w:sz w:val="20"/>
          <w:szCs w:val="20"/>
          <w:color w:val="auto"/>
        </w:rPr>
      </w:pPr>
    </w:p>
    <w:p>
      <w:pPr>
        <w:ind w:left="700" w:right="100" w:firstLine="397"/>
        <w:spacing w:after="0" w:line="34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of our common stock is $12.00 per share. We have received approval to list our common stock on the Nasdaq Global Market under the symbol “LOPE.”</w:t>
      </w:r>
    </w:p>
    <w:p>
      <w:pPr>
        <w:spacing w:after="0" w:line="29" w:lineRule="exact"/>
        <w:rPr>
          <w:sz w:val="20"/>
          <w:szCs w:val="20"/>
          <w:color w:val="auto"/>
        </w:rPr>
      </w:pPr>
    </w:p>
    <w:p>
      <w:pPr>
        <w:ind w:left="700" w:right="700" w:firstLine="397"/>
        <w:spacing w:after="0" w:line="308" w:lineRule="auto"/>
        <w:rPr>
          <w:sz w:val="20"/>
          <w:szCs w:val="20"/>
          <w:color w:val="auto"/>
        </w:rPr>
      </w:pPr>
      <w:r>
        <w:rPr>
          <w:rFonts w:ascii="Arial" w:cs="Arial" w:eastAsia="Arial" w:hAnsi="Arial"/>
          <w:sz w:val="17"/>
          <w:szCs w:val="17"/>
          <w:color w:val="auto"/>
        </w:rPr>
        <w:t>Seventy-five percent (75%) of the gross proceeds from the sale of stock in this offering, before underwriting discounts and commissions and estimated offering expenses, will be paid to our existing stockholders as a special distribution.</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11.</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Total</w:t>
            </w:r>
          </w:p>
        </w:tc>
      </w:tr>
      <w:tr>
        <w:trPr>
          <w:trHeight w:val="249"/>
        </w:trPr>
        <w:tc>
          <w:tcPr>
            <w:tcW w:w="6700" w:type="dxa"/>
            <w:vAlign w:val="bottom"/>
          </w:tcPr>
          <w:p>
            <w:pPr>
              <w:spacing w:after="0"/>
              <w:rPr>
                <w:sz w:val="20"/>
                <w:szCs w:val="20"/>
                <w:color w:val="auto"/>
              </w:rPr>
            </w:pPr>
            <w:r>
              <w:rPr>
                <w:rFonts w:ascii="Arial" w:cs="Arial" w:eastAsia="Arial" w:hAnsi="Arial"/>
                <w:sz w:val="18"/>
                <w:szCs w:val="18"/>
                <w:color w:val="auto"/>
              </w:rPr>
              <w:t>Public offering price</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w w:val="87"/>
              </w:rPr>
              <w:t>126,000,000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Underwriting discounts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0.84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rPr>
              <w:t>8,820,000</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11.16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w w:val="87"/>
              </w:rPr>
              <w:t>117,180,000</w:t>
            </w:r>
          </w:p>
        </w:tc>
      </w:tr>
    </w:tbl>
    <w:p>
      <w:pPr>
        <w:spacing w:after="0" w:line="107" w:lineRule="exact"/>
        <w:rPr>
          <w:sz w:val="20"/>
          <w:szCs w:val="20"/>
          <w:color w:val="auto"/>
        </w:rPr>
      </w:pPr>
    </w:p>
    <w:p>
      <w:pPr>
        <w:ind w:left="700" w:right="300" w:firstLine="397"/>
        <w:spacing w:after="0" w:line="308" w:lineRule="auto"/>
        <w:rPr>
          <w:sz w:val="20"/>
          <w:szCs w:val="20"/>
          <w:color w:val="auto"/>
        </w:rPr>
      </w:pPr>
      <w:r>
        <w:rPr>
          <w:rFonts w:ascii="Arial" w:cs="Arial" w:eastAsia="Arial" w:hAnsi="Arial"/>
          <w:sz w:val="17"/>
          <w:szCs w:val="17"/>
          <w:color w:val="auto"/>
        </w:rPr>
        <w:t>We have granted the underwriters a 30-day option to purchase up to 1,575,000 additional shares of common stock from us at the public offering price, less the underwriting discounts and commissions, to cover over-allotments of shares, if any.</w:t>
      </w:r>
    </w:p>
    <w:p>
      <w:pPr>
        <w:spacing w:after="0" w:line="52" w:lineRule="exact"/>
        <w:rPr>
          <w:sz w:val="20"/>
          <w:szCs w:val="20"/>
          <w:color w:val="auto"/>
        </w:rPr>
      </w:pPr>
    </w:p>
    <w:p>
      <w:pPr>
        <w:ind w:left="700" w:right="620" w:firstLine="397"/>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Delivery of the shares of common stock will be made on or about November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135255</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27"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620"/>
          </w:cols>
          <w:pgMar w:left="240" w:top="122" w:right="1039" w:bottom="1440" w:gutter="0" w:footer="0" w:header="0"/>
        </w:sectPr>
      </w:pPr>
    </w:p>
    <w:p>
      <w:pPr>
        <w:spacing w:after="0" w:line="50" w:lineRule="exact"/>
        <w:rPr>
          <w:sz w:val="20"/>
          <w:szCs w:val="20"/>
          <w:color w:val="auto"/>
        </w:rPr>
      </w:pPr>
    </w:p>
    <w:p>
      <w:pPr>
        <w:ind w:left="700"/>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284480</wp:posOffset>
            </wp:positionV>
            <wp:extent cx="1637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Merrill Lynch &amp; Co.</w:t>
      </w:r>
    </w:p>
    <w:p>
      <w:pPr>
        <w:spacing w:after="0" w:line="200" w:lineRule="exact"/>
        <w:rPr>
          <w:sz w:val="20"/>
          <w:szCs w:val="20"/>
          <w:color w:val="auto"/>
        </w:rPr>
      </w:pPr>
    </w:p>
    <w:p>
      <w:pPr>
        <w:sectPr>
          <w:pgSz w:w="11900" w:h="16838" w:orient="portrait"/>
          <w:cols w:equalWidth="0" w:num="2">
            <w:col w:w="7040" w:space="720"/>
            <w:col w:w="2860"/>
          </w:cols>
          <w:pgMar w:left="240" w:top="122" w:right="1039" w:bottom="1440" w:gutter="0" w:footer="0" w:header="0"/>
          <w:type w:val="continuous"/>
        </w:sectPr>
      </w:pPr>
    </w:p>
    <w:p>
      <w:pPr>
        <w:spacing w:after="0" w:line="385"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auto"/>
        </w:rPr>
        <w:t>BMO Capital Markets William Blair &amp; Company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80645</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4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date of this prospectus is November 19,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8423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42327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407"/>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15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6380" w:type="dxa"/>
            <w:vAlign w:val="bottom"/>
            <w:gridSpan w:val="15"/>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7000" w:type="dxa"/>
            <w:vAlign w:val="bottom"/>
            <w:gridSpan w:val="22"/>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11</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34</w:t>
            </w:r>
          </w:p>
        </w:tc>
      </w:tr>
      <w:tr>
        <w:trPr>
          <w:trHeight w:val="196"/>
        </w:trPr>
        <w:tc>
          <w:tcPr>
            <w:tcW w:w="2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5800" w:type="dxa"/>
            <w:vAlign w:val="bottom"/>
            <w:gridSpan w:val="13"/>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Special Distribution</w:t>
              </w:r>
            </w:hyperlink>
          </w:p>
        </w:tc>
        <w:tc>
          <w:tcPr>
            <w:tcW w:w="6460" w:type="dxa"/>
            <w:vAlign w:val="bottom"/>
            <w:gridSpan w:val="16"/>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36</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Dividend Policy</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6740" w:type="dxa"/>
            <w:vAlign w:val="bottom"/>
            <w:gridSpan w:val="17"/>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38</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Dilution</w:t>
              </w:r>
            </w:hyperlink>
          </w:p>
        </w:tc>
        <w:tc>
          <w:tcPr>
            <w:tcW w:w="7300" w:type="dxa"/>
            <w:vAlign w:val="bottom"/>
            <w:gridSpan w:val="25"/>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40</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Financial and Other Data</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42</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1440" w:type="dxa"/>
            <w:vAlign w:val="bottom"/>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46</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Business</w:t>
              </w:r>
            </w:hyperlink>
          </w:p>
        </w:tc>
        <w:tc>
          <w:tcPr>
            <w:tcW w:w="7260" w:type="dxa"/>
            <w:vAlign w:val="bottom"/>
            <w:gridSpan w:val="24"/>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65</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Regulation</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9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Management</w:t>
              </w:r>
            </w:hyperlink>
          </w:p>
        </w:tc>
        <w:tc>
          <w:tcPr>
            <w:tcW w:w="6960" w:type="dxa"/>
            <w:vAlign w:val="bottom"/>
            <w:gridSpan w:val="21"/>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100</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Compensation Discussion and Analysis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105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9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Beneficial Ownership of Common Stock</w:t>
              </w:r>
            </w:hyperlink>
          </w:p>
        </w:tc>
        <w:tc>
          <w:tcPr>
            <w:tcW w:w="460" w:type="dxa"/>
            <w:vAlign w:val="bottom"/>
            <w:tcBorders>
              <w:top w:val="single" w:sz="8" w:color="0000EE"/>
            </w:tcBorders>
            <w:gridSpan w:val="2"/>
          </w:tcPr>
          <w:p>
            <w:pPr>
              <w:spacing w:after="0"/>
              <w:rPr>
                <w:sz w:val="17"/>
                <w:szCs w:val="17"/>
                <w:color w:val="auto"/>
              </w:rPr>
            </w:pPr>
          </w:p>
        </w:tc>
        <w:tc>
          <w:tcPr>
            <w:tcW w:w="4500" w:type="dxa"/>
            <w:vAlign w:val="bottom"/>
            <w:gridSpan w:val="3"/>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121</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Description of Capital Stock</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125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Shares Eligible for Future Sale</w:t>
              </w:r>
            </w:hyperlink>
          </w:p>
        </w:tc>
        <w:tc>
          <w:tcPr>
            <w:tcW w:w="5680" w:type="dxa"/>
            <w:vAlign w:val="bottom"/>
            <w:gridSpan w:val="10"/>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130</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Material U.S. Federal Income and Estate Tax Considerations for Non-U.S. Holders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132</w:t>
            </w:r>
          </w:p>
        </w:tc>
      </w:tr>
      <w:tr>
        <w:trPr>
          <w:trHeight w:val="196"/>
        </w:trPr>
        <w:tc>
          <w:tcPr>
            <w:tcW w:w="59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Underwriting</w:t>
              </w:r>
            </w:hyperlink>
          </w:p>
        </w:tc>
        <w:tc>
          <w:tcPr>
            <w:tcW w:w="1940" w:type="dxa"/>
            <w:vAlign w:val="bottom"/>
            <w:gridSpan w:val="2"/>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Notice to European Economic Area Residents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138</w:t>
            </w:r>
          </w:p>
        </w:tc>
      </w:tr>
      <w:tr>
        <w:trPr>
          <w:trHeight w:val="196"/>
        </w:trPr>
        <w:tc>
          <w:tcPr>
            <w:tcW w:w="3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Notice to United Kingdom Residents</w:t>
              </w:r>
            </w:hyperlink>
          </w:p>
        </w:tc>
        <w:tc>
          <w:tcPr>
            <w:tcW w:w="4600" w:type="dxa"/>
            <w:vAlign w:val="bottom"/>
            <w:gridSpan w:val="4"/>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138</w:t>
            </w:r>
          </w:p>
        </w:tc>
      </w:tr>
      <w:tr>
        <w:trPr>
          <w:trHeight w:val="196"/>
        </w:trPr>
        <w:tc>
          <w:tcPr>
            <w:tcW w:w="2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Notice to Canadian Residents</w:t>
              </w:r>
            </w:hyperlink>
          </w:p>
        </w:tc>
        <w:tc>
          <w:tcPr>
            <w:tcW w:w="5240" w:type="dxa"/>
            <w:vAlign w:val="bottom"/>
            <w:gridSpan w:val="8"/>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Legal Matters</w:t>
              </w:r>
            </w:hyperlink>
          </w:p>
        </w:tc>
        <w:tc>
          <w:tcPr>
            <w:tcW w:w="1120" w:type="dxa"/>
            <w:vAlign w:val="bottom"/>
            <w:tcBorders>
              <w:top w:val="single" w:sz="8" w:color="0000EE"/>
            </w:tcBorders>
            <w:gridSpan w:val="7"/>
          </w:tcPr>
          <w:p>
            <w:pPr>
              <w:spacing w:after="0"/>
              <w:rPr>
                <w:sz w:val="17"/>
                <w:szCs w:val="17"/>
                <w:color w:val="auto"/>
              </w:rPr>
            </w:pPr>
          </w:p>
        </w:tc>
        <w:tc>
          <w:tcPr>
            <w:tcW w:w="5780" w:type="dxa"/>
            <w:vAlign w:val="bottom"/>
            <w:gridSpan w:val="12"/>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140</w:t>
            </w:r>
          </w:p>
        </w:tc>
      </w:tr>
      <w:tr>
        <w:trPr>
          <w:trHeight w:val="196"/>
        </w:trPr>
        <w:tc>
          <w:tcPr>
            <w:tcW w:w="7900" w:type="dxa"/>
            <w:vAlign w:val="bottom"/>
            <w:gridSpan w:val="2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Experts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140</w:t>
            </w: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Where You Can Find More Information</w:t>
              </w:r>
            </w:hyperlink>
          </w:p>
        </w:tc>
        <w:tc>
          <w:tcPr>
            <w:tcW w:w="5040" w:type="dxa"/>
            <w:vAlign w:val="bottom"/>
            <w:gridSpan w:val="6"/>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140</w:t>
            </w:r>
          </w:p>
        </w:tc>
      </w:tr>
      <w:tr>
        <w:trPr>
          <w:trHeight w:val="196"/>
        </w:trPr>
        <w:tc>
          <w:tcPr>
            <w:tcW w:w="21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Index to Financial Statements</w:t>
              </w:r>
            </w:hyperlink>
          </w:p>
        </w:tc>
        <w:tc>
          <w:tcPr>
            <w:tcW w:w="5760" w:type="dxa"/>
            <w:vAlign w:val="bottom"/>
            <w:gridSpan w:val="11"/>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6017895</wp:posOffset>
            </wp:positionH>
            <wp:positionV relativeFrom="paragraph">
              <wp:posOffset>-3729990</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131" w:lineRule="exact"/>
        <w:rPr>
          <w:sz w:val="20"/>
          <w:szCs w:val="20"/>
          <w:color w:val="auto"/>
        </w:rPr>
      </w:pPr>
    </w:p>
    <w:p>
      <w:pPr>
        <w:ind w:firstLine="397"/>
        <w:spacing w:after="0" w:line="298"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64" w:lineRule="exact"/>
        <w:rPr>
          <w:sz w:val="20"/>
          <w:szCs w:val="20"/>
          <w:color w:val="auto"/>
        </w:rPr>
      </w:pPr>
    </w:p>
    <w:p>
      <w:pPr>
        <w:jc w:val="both"/>
        <w:ind w:right="220" w:firstLine="397"/>
        <w:spacing w:after="0" w:line="312" w:lineRule="auto"/>
        <w:rPr>
          <w:sz w:val="20"/>
          <w:szCs w:val="20"/>
          <w:color w:val="auto"/>
        </w:rPr>
      </w:pPr>
      <w:r>
        <w:rPr>
          <w:rFonts w:ascii="Arial" w:cs="Arial" w:eastAsia="Arial" w:hAnsi="Arial"/>
          <w:sz w:val="16"/>
          <w:szCs w:val="16"/>
          <w:color w:val="auto"/>
        </w:rPr>
        <w:t>Until December 14,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100330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940" w:top="972" w:right="11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PROSPECTUS SUMMARY</w:t>
      </w:r>
    </w:p>
    <w:p>
      <w:pPr>
        <w:spacing w:after="0" w:line="135" w:lineRule="exact"/>
        <w:rPr>
          <w:sz w:val="20"/>
          <w:szCs w:val="20"/>
          <w:color w:val="auto"/>
        </w:rPr>
      </w:pPr>
    </w:p>
    <w:p>
      <w:pPr>
        <w:ind w:left="920" w:right="100" w:firstLine="397"/>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920" w:firstLine="397"/>
        <w:spacing w:after="0" w:line="290" w:lineRule="auto"/>
        <w:rPr>
          <w:sz w:val="20"/>
          <w:szCs w:val="20"/>
          <w:color w:val="auto"/>
        </w:rPr>
      </w:pPr>
      <w:r>
        <w:rPr>
          <w:rFonts w:ascii="Arial" w:cs="Arial" w:eastAsia="Arial" w:hAnsi="Arial"/>
          <w:sz w:val="16"/>
          <w:szCs w:val="16"/>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72" w:lineRule="exact"/>
        <w:rPr>
          <w:sz w:val="20"/>
          <w:szCs w:val="20"/>
          <w:color w:val="auto"/>
        </w:rPr>
      </w:pPr>
    </w:p>
    <w:p>
      <w:pPr>
        <w:ind w:left="920" w:firstLine="397"/>
        <w:spacing w:after="0" w:line="293" w:lineRule="auto"/>
        <w:rPr>
          <w:sz w:val="20"/>
          <w:szCs w:val="20"/>
          <w:color w:val="auto"/>
        </w:rPr>
      </w:pPr>
      <w:r>
        <w:rPr>
          <w:rFonts w:ascii="Arial" w:cs="Arial" w:eastAsia="Arial" w:hAnsi="Arial"/>
          <w:sz w:val="16"/>
          <w:szCs w:val="16"/>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0" w:lineRule="exact"/>
        <w:rPr>
          <w:sz w:val="20"/>
          <w:szCs w:val="20"/>
          <w:color w:val="auto"/>
        </w:rPr>
      </w:pPr>
    </w:p>
    <w:p>
      <w:pPr>
        <w:ind w:left="920" w:right="220" w:firstLine="397"/>
        <w:spacing w:after="0" w:line="273" w:lineRule="auto"/>
        <w:rPr>
          <w:sz w:val="20"/>
          <w:szCs w:val="20"/>
          <w:color w:val="auto"/>
        </w:rPr>
      </w:pPr>
      <w:r>
        <w:rPr>
          <w:rFonts w:ascii="Arial" w:cs="Arial" w:eastAsia="Arial" w:hAnsi="Arial"/>
          <w:sz w:val="17"/>
          <w:szCs w:val="17"/>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84" w:lineRule="exact"/>
        <w:rPr>
          <w:sz w:val="20"/>
          <w:szCs w:val="20"/>
          <w:color w:val="auto"/>
        </w:rPr>
      </w:pPr>
    </w:p>
    <w:p>
      <w:pPr>
        <w:ind w:left="920" w:right="120" w:firstLine="397"/>
        <w:spacing w:after="0" w:line="270" w:lineRule="auto"/>
        <w:rPr>
          <w:sz w:val="20"/>
          <w:szCs w:val="20"/>
          <w:color w:val="auto"/>
        </w:rPr>
      </w:pPr>
      <w:r>
        <w:rPr>
          <w:rFonts w:ascii="Arial" w:cs="Arial" w:eastAsia="Arial" w:hAnsi="Arial"/>
          <w:sz w:val="17"/>
          <w:szCs w:val="17"/>
          <w:color w:val="auto"/>
        </w:rPr>
        <w:t>We have experienced significant growth in enrollment, net revenue, and operating income over the last several years. Our enrollment at December 31, 2007 was approximately 14,800, representing an increase of approximately 38% over our enrollment at December 31, 2006. Our net revenue and operating income for the year ended December 31, 2007 were $99.3 million and $4.3 million, respectively, representing increases of 37.7% and 42.8%, respectively, over the year ended December 31, 2006. Our enrollment at September 30, 2008 was approximately 22,000, representing an increase of approximately 63% over our enrollment at September 30, 2007. Our net revenue and operating income for the nine months ended September 30, 2008 were $109.6 million, and $9.0 million, respectively, representing increases of 60.1% and 305.5%, respectively, over the nine months ended September 30, 2007. We seek to achieve continued growth in a manner that reinforces our reputation for providing academically rigorous, career-oriented educational programs that advance the careers of our students.</w:t>
      </w:r>
    </w:p>
    <w:p>
      <w:pPr>
        <w:spacing w:after="0" w:line="87" w:lineRule="exact"/>
        <w:rPr>
          <w:sz w:val="20"/>
          <w:szCs w:val="20"/>
          <w:color w:val="auto"/>
        </w:rPr>
      </w:pPr>
    </w:p>
    <w:p>
      <w:pPr>
        <w:ind w:left="920" w:firstLine="397"/>
        <w:spacing w:after="0" w:line="257" w:lineRule="auto"/>
        <w:rPr>
          <w:sz w:val="20"/>
          <w:szCs w:val="20"/>
          <w:color w:val="auto"/>
        </w:rPr>
      </w:pPr>
      <w:r>
        <w:rPr>
          <w:rFonts w:ascii="Arial" w:cs="Arial" w:eastAsia="Arial" w:hAnsi="Arial"/>
          <w:sz w:val="18"/>
          <w:szCs w:val="18"/>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Training Education. We believe that our regional accreditation, together with these specialized accreditations, reflect the quality of our programs, enhance their marketability, and improve the employability of our graduates.</w:t>
      </w:r>
    </w:p>
    <w:p>
      <w:pPr>
        <w:spacing w:after="0" w:line="76" w:lineRule="exact"/>
        <w:rPr>
          <w:sz w:val="20"/>
          <w:szCs w:val="20"/>
          <w:color w:val="auto"/>
        </w:rPr>
      </w:pPr>
    </w:p>
    <w:p>
      <w:pPr>
        <w:ind w:left="920" w:right="40" w:firstLine="397"/>
        <w:spacing w:after="0" w:line="302" w:lineRule="auto"/>
        <w:rPr>
          <w:sz w:val="20"/>
          <w:szCs w:val="20"/>
          <w:color w:val="auto"/>
        </w:rPr>
      </w:pPr>
      <w:r>
        <w:rPr>
          <w:rFonts w:ascii="Arial" w:cs="Arial" w:eastAsia="Arial" w:hAnsi="Arial"/>
          <w:sz w:val="16"/>
          <w:szCs w:val="16"/>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Industry</w:t>
      </w:r>
    </w:p>
    <w:p>
      <w:pPr>
        <w:spacing w:after="0" w:line="135" w:lineRule="exact"/>
        <w:rPr>
          <w:sz w:val="20"/>
          <w:szCs w:val="20"/>
          <w:color w:val="auto"/>
        </w:rPr>
      </w:pPr>
    </w:p>
    <w:p>
      <w:pPr>
        <w:ind w:left="920" w:firstLine="397"/>
        <w:spacing w:after="0" w:line="253" w:lineRule="auto"/>
        <w:rPr>
          <w:sz w:val="20"/>
          <w:szCs w:val="20"/>
          <w:color w:val="auto"/>
        </w:rPr>
      </w:pPr>
      <w:r>
        <w:rPr>
          <w:rFonts w:ascii="Arial" w:cs="Arial" w:eastAsia="Arial" w:hAnsi="Arial"/>
          <w:sz w:val="18"/>
          <w:szCs w:val="18"/>
          <w:color w:val="auto"/>
        </w:rPr>
        <w:t>The United States market for postsecondary education represents a large and growing opportunity. According to the March 2008 NCES report, total revenue for all degree-granting postsecondary institutions was over $385 billion for the 2004-05 school year. In addition, according to a September 2008 NCES report, approximately 18.0 million students were projected to be enrolled in postsecondary institutions in 2007 and the number was projected to grow to 18.6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103" w:lineRule="exact"/>
        <w:rPr>
          <w:sz w:val="20"/>
          <w:szCs w:val="20"/>
          <w:color w:val="auto"/>
        </w:rPr>
      </w:pPr>
    </w:p>
    <w:p>
      <w:pPr>
        <w:ind w:left="920" w:right="80" w:firstLine="397"/>
        <w:spacing w:after="0" w:line="270" w:lineRule="auto"/>
        <w:rPr>
          <w:sz w:val="20"/>
          <w:szCs w:val="20"/>
          <w:color w:val="auto"/>
        </w:rPr>
      </w:pPr>
      <w:r>
        <w:rPr>
          <w:rFonts w:ascii="Arial" w:cs="Arial" w:eastAsia="Arial" w:hAnsi="Arial"/>
          <w:sz w:val="17"/>
          <w:szCs w:val="17"/>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believe we have the following competitive strengths:</w:t>
      </w:r>
    </w:p>
    <w:p>
      <w:pPr>
        <w:spacing w:after="0" w:line="131" w:lineRule="exact"/>
        <w:rPr>
          <w:sz w:val="20"/>
          <w:szCs w:val="20"/>
          <w:color w:val="auto"/>
        </w:rPr>
      </w:pPr>
    </w:p>
    <w:p>
      <w:pPr>
        <w:ind w:left="920" w:right="160" w:firstLine="397"/>
        <w:spacing w:after="0" w:line="259" w:lineRule="auto"/>
        <w:rPr>
          <w:sz w:val="20"/>
          <w:szCs w:val="20"/>
          <w:color w:val="auto"/>
        </w:rPr>
      </w:pPr>
      <w:r>
        <w:rPr>
          <w:rFonts w:ascii="Arial" w:cs="Arial" w:eastAsia="Arial" w:hAnsi="Arial"/>
          <w:sz w:val="18"/>
          <w:szCs w:val="18"/>
          <w:i w:val="1"/>
          <w:iCs w:val="1"/>
          <w:color w:val="auto"/>
        </w:rPr>
        <w:t xml:space="preserve">Established presence in targeted, high demand disciplines. </w:t>
      </w:r>
      <w:r>
        <w:rPr>
          <w:rFonts w:ascii="Arial" w:cs="Arial" w:eastAsia="Arial" w:hAnsi="Arial"/>
          <w:sz w:val="18"/>
          <w:szCs w:val="18"/>
          <w:color w:val="auto"/>
        </w:rPr>
        <w:t>We have an established presence within our three core disciplines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business, and healthcare.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92" w:lineRule="exact"/>
        <w:rPr>
          <w:sz w:val="20"/>
          <w:szCs w:val="20"/>
          <w:color w:val="auto"/>
        </w:rPr>
      </w:pPr>
    </w:p>
    <w:p>
      <w:pPr>
        <w:ind w:left="920" w:right="20" w:firstLine="397"/>
        <w:spacing w:after="0" w:line="264" w:lineRule="auto"/>
        <w:rPr>
          <w:sz w:val="20"/>
          <w:szCs w:val="20"/>
          <w:color w:val="auto"/>
        </w:rPr>
      </w:pPr>
      <w:r>
        <w:rPr>
          <w:rFonts w:ascii="Arial" w:cs="Arial" w:eastAsia="Arial" w:hAnsi="Arial"/>
          <w:sz w:val="18"/>
          <w:szCs w:val="18"/>
          <w:i w:val="1"/>
          <w:iCs w:val="1"/>
          <w:color w:val="auto"/>
        </w:rPr>
        <w:t xml:space="preserve">Focus on graduate degrees for working adults. </w:t>
      </w:r>
      <w:r>
        <w:rPr>
          <w:rFonts w:ascii="Arial" w:cs="Arial" w:eastAsia="Arial" w:hAnsi="Arial"/>
          <w:sz w:val="18"/>
          <w:szCs w:val="18"/>
          <w:color w:val="auto"/>
        </w:rPr>
        <w:t>We have designed our program offerings and our online delivery platform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 needs of working adults, particularly those seeking graduate degrees to obtain pay increases or job promotions that are directly tied to higher educational attainment.</w:t>
      </w:r>
    </w:p>
    <w:p>
      <w:pPr>
        <w:spacing w:after="0" w:line="87" w:lineRule="exact"/>
        <w:rPr>
          <w:sz w:val="20"/>
          <w:szCs w:val="20"/>
          <w:color w:val="auto"/>
        </w:rPr>
      </w:pPr>
    </w:p>
    <w:p>
      <w:pPr>
        <w:ind w:left="920" w:right="60" w:firstLine="397"/>
        <w:spacing w:after="0" w:line="312" w:lineRule="auto"/>
        <w:rPr>
          <w:sz w:val="20"/>
          <w:szCs w:val="20"/>
          <w:color w:val="auto"/>
        </w:rPr>
      </w:pPr>
      <w:r>
        <w:rPr>
          <w:rFonts w:ascii="Arial" w:cs="Arial" w:eastAsia="Arial" w:hAnsi="Arial"/>
          <w:sz w:val="16"/>
          <w:szCs w:val="16"/>
          <w:i w:val="1"/>
          <w:iCs w:val="1"/>
          <w:color w:val="auto"/>
        </w:rPr>
        <w:t xml:space="preserve">Innovative marketing, recruiting, and retention strategy. </w:t>
      </w:r>
      <w:r>
        <w:rPr>
          <w:rFonts w:ascii="Arial" w:cs="Arial" w:eastAsia="Arial" w:hAnsi="Arial"/>
          <w:sz w:val="16"/>
          <w:szCs w:val="16"/>
          <w:color w:val="auto"/>
        </w:rPr>
        <w:t>We have developed an integrated, innovative approach to student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recruitment, and retention to reach our targeted students. We also proactively provide support to students at key points during their consideration of, and enrollment at, Grand Canyon University to enhance the probability of student enrollment and retention.</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60" w:firstLine="397"/>
        <w:spacing w:after="0" w:line="286" w:lineRule="auto"/>
        <w:rPr>
          <w:sz w:val="20"/>
          <w:szCs w:val="20"/>
          <w:color w:val="auto"/>
        </w:rPr>
      </w:pPr>
      <w:r>
        <w:rPr>
          <w:rFonts w:ascii="Arial" w:cs="Arial" w:eastAsia="Arial" w:hAnsi="Arial"/>
          <w:sz w:val="17"/>
          <w:szCs w:val="17"/>
          <w:i w:val="1"/>
          <w:iCs w:val="1"/>
          <w:color w:val="auto"/>
        </w:rPr>
        <w:t xml:space="preserve">Commitment to offering academically rigorous, career-oriented programs. </w:t>
      </w:r>
      <w:r>
        <w:rPr>
          <w:rFonts w:ascii="Arial" w:cs="Arial" w:eastAsia="Arial" w:hAnsi="Arial"/>
          <w:sz w:val="17"/>
          <w:szCs w:val="17"/>
          <w:color w:val="auto"/>
        </w:rPr>
        <w:t>We are committed to offering academically rigorous</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programs that are designed to help our students achieve their career objectives. Our programs are taught by qualified faculty, substantially all of whom hold at least a master’s degree and often have practical experience in their respective fields.</w:t>
      </w:r>
    </w:p>
    <w:p>
      <w:pPr>
        <w:spacing w:after="0" w:line="71" w:lineRule="exact"/>
        <w:rPr>
          <w:sz w:val="20"/>
          <w:szCs w:val="20"/>
          <w:color w:val="auto"/>
        </w:rPr>
      </w:pPr>
    </w:p>
    <w:p>
      <w:pPr>
        <w:ind w:left="920" w:right="100" w:firstLine="397"/>
        <w:spacing w:after="0" w:line="264" w:lineRule="auto"/>
        <w:rPr>
          <w:sz w:val="20"/>
          <w:szCs w:val="20"/>
          <w:color w:val="auto"/>
        </w:rPr>
      </w:pPr>
      <w:r>
        <w:rPr>
          <w:rFonts w:ascii="Arial" w:cs="Arial" w:eastAsia="Arial" w:hAnsi="Arial"/>
          <w:sz w:val="18"/>
          <w:szCs w:val="18"/>
          <w:i w:val="1"/>
          <w:iCs w:val="1"/>
          <w:color w:val="auto"/>
        </w:rPr>
        <w:t xml:space="preserve">Complementary online capabilities and campus-based tradition. </w:t>
      </w:r>
      <w:r>
        <w:rPr>
          <w:rFonts w:ascii="Arial" w:cs="Arial" w:eastAsia="Arial" w:hAnsi="Arial"/>
          <w:sz w:val="18"/>
          <w:szCs w:val="18"/>
          <w:color w:val="auto"/>
        </w:rPr>
        <w:t>We believe that our online capabilities, combined with our nearly</w:t>
      </w:r>
      <w:r>
        <w:rPr>
          <w:rFonts w:ascii="Arial" w:cs="Arial" w:eastAsia="Arial" w:hAnsi="Arial"/>
          <w:sz w:val="18"/>
          <w:szCs w:val="18"/>
          <w:i w:val="1"/>
          <w:iCs w:val="1"/>
          <w:color w:val="auto"/>
        </w:rPr>
        <w:t xml:space="preserve"> </w:t>
      </w:r>
      <w:r>
        <w:rPr>
          <w:rFonts w:ascii="Arial" w:cs="Arial" w:eastAsia="Arial" w:hAnsi="Arial"/>
          <w:sz w:val="18"/>
          <w:szCs w:val="18"/>
          <w:color w:val="auto"/>
        </w:rPr>
        <w:t>60-year heritage as a traditional campus-based university, differentiate us in the for-profit postsecondary market and enhance the reputation of our degree programs among prospective students and employers.</w:t>
      </w:r>
    </w:p>
    <w:p>
      <w:pPr>
        <w:spacing w:after="0" w:line="87" w:lineRule="exact"/>
        <w:rPr>
          <w:sz w:val="20"/>
          <w:szCs w:val="20"/>
          <w:color w:val="auto"/>
        </w:rPr>
      </w:pPr>
    </w:p>
    <w:p>
      <w:pPr>
        <w:ind w:left="920" w:right="40" w:firstLine="397"/>
        <w:spacing w:after="0" w:line="259" w:lineRule="auto"/>
        <w:rPr>
          <w:sz w:val="20"/>
          <w:szCs w:val="20"/>
          <w:color w:val="auto"/>
        </w:rPr>
      </w:pPr>
      <w:r>
        <w:rPr>
          <w:rFonts w:ascii="Arial" w:cs="Arial" w:eastAsia="Arial" w:hAnsi="Arial"/>
          <w:sz w:val="18"/>
          <w:szCs w:val="18"/>
          <w:i w:val="1"/>
          <w:iCs w:val="1"/>
          <w:color w:val="auto"/>
        </w:rPr>
        <w:t xml:space="preserve">Experienced executive management team with strong operating track-record. </w:t>
      </w:r>
      <w:r>
        <w:rPr>
          <w:rFonts w:ascii="Arial" w:cs="Arial" w:eastAsia="Arial" w:hAnsi="Arial"/>
          <w:sz w:val="18"/>
          <w:szCs w:val="18"/>
          <w:color w:val="auto"/>
        </w:rPr>
        <w:t>Our executive management team possesses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the management and operation of 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Growth Strategies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intend to pursue the following growth strategies:</w:t>
      </w:r>
    </w:p>
    <w:p>
      <w:pPr>
        <w:spacing w:after="0" w:line="131" w:lineRule="exact"/>
        <w:rPr>
          <w:sz w:val="20"/>
          <w:szCs w:val="20"/>
          <w:color w:val="auto"/>
        </w:rPr>
      </w:pPr>
    </w:p>
    <w:p>
      <w:pPr>
        <w:ind w:left="920" w:right="120" w:firstLine="397"/>
        <w:spacing w:after="0" w:line="286" w:lineRule="auto"/>
        <w:rPr>
          <w:sz w:val="20"/>
          <w:szCs w:val="20"/>
          <w:color w:val="auto"/>
        </w:rPr>
      </w:pPr>
      <w:r>
        <w:rPr>
          <w:rFonts w:ascii="Arial" w:cs="Arial" w:eastAsia="Arial" w:hAnsi="Arial"/>
          <w:sz w:val="17"/>
          <w:szCs w:val="17"/>
          <w:i w:val="1"/>
          <w:iCs w:val="1"/>
          <w:color w:val="auto"/>
        </w:rPr>
        <w:t xml:space="preserve">Increase enrollment in existing programs. </w:t>
      </w:r>
      <w:r>
        <w:rPr>
          <w:rFonts w:ascii="Arial" w:cs="Arial" w:eastAsia="Arial" w:hAnsi="Arial"/>
          <w:sz w:val="17"/>
          <w:szCs w:val="17"/>
          <w:color w:val="auto"/>
        </w:rPr>
        <w:t>We intend to increase enrollment in existing programs within our three core disciplines,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believe offer ample opportunity for growth. We also intend to continue to increase the number of our enrollment counselors and marketing and student services personnel to drive enrollment growth and enhance student retention.</w:t>
      </w:r>
    </w:p>
    <w:p>
      <w:pPr>
        <w:spacing w:after="0" w:line="71" w:lineRule="exact"/>
        <w:rPr>
          <w:sz w:val="20"/>
          <w:szCs w:val="20"/>
          <w:color w:val="auto"/>
        </w:rPr>
      </w:pPr>
    </w:p>
    <w:p>
      <w:pPr>
        <w:ind w:left="920" w:right="200" w:firstLine="397"/>
        <w:spacing w:after="0" w:line="257" w:lineRule="auto"/>
        <w:rPr>
          <w:sz w:val="20"/>
          <w:szCs w:val="20"/>
          <w:color w:val="auto"/>
        </w:rPr>
      </w:pPr>
      <w:r>
        <w:rPr>
          <w:rFonts w:ascii="Arial" w:cs="Arial" w:eastAsia="Arial" w:hAnsi="Arial"/>
          <w:sz w:val="18"/>
          <w:szCs w:val="18"/>
          <w:i w:val="1"/>
          <w:iCs w:val="1"/>
          <w:color w:val="auto"/>
        </w:rPr>
        <w:t xml:space="preserve">Expand online program and degree offerings. </w:t>
      </w:r>
      <w:r>
        <w:rPr>
          <w:rFonts w:ascii="Arial" w:cs="Arial" w:eastAsia="Arial" w:hAnsi="Arial"/>
          <w:sz w:val="18"/>
          <w:szCs w:val="18"/>
          <w:color w:val="auto"/>
        </w:rPr>
        <w:t>We develop and offer new programs that we believe have attractive demand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We launched 17 new online program offerings in 2007 and have launched twelve in the first nine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94" w:lineRule="exact"/>
        <w:rPr>
          <w:sz w:val="20"/>
          <w:szCs w:val="20"/>
          <w:color w:val="auto"/>
        </w:rPr>
      </w:pPr>
    </w:p>
    <w:p>
      <w:pPr>
        <w:jc w:val="both"/>
        <w:ind w:left="920" w:right="220" w:firstLine="397"/>
        <w:spacing w:after="0" w:line="264" w:lineRule="auto"/>
        <w:rPr>
          <w:sz w:val="20"/>
          <w:szCs w:val="20"/>
          <w:color w:val="auto"/>
        </w:rPr>
      </w:pPr>
      <w:r>
        <w:rPr>
          <w:rFonts w:ascii="Arial" w:cs="Arial" w:eastAsia="Arial" w:hAnsi="Arial"/>
          <w:sz w:val="18"/>
          <w:szCs w:val="18"/>
          <w:i w:val="1"/>
          <w:iCs w:val="1"/>
          <w:color w:val="auto"/>
        </w:rPr>
        <w:t xml:space="preserve">Further enhance our brand recognition. </w:t>
      </w:r>
      <w:r>
        <w:rPr>
          <w:rFonts w:ascii="Arial" w:cs="Arial" w:eastAsia="Arial" w:hAnsi="Arial"/>
          <w:sz w:val="18"/>
          <w:szCs w:val="18"/>
          <w:color w:val="auto"/>
        </w:rPr>
        <w:t>We continue to enhance our brand recognition by pursuing online and offline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campaigns, establishing strategic branding relationships with recognized industry leaders, and developing complementary resources in our core disciplines that increase the overall awareness of our offerings.</w:t>
      </w:r>
    </w:p>
    <w:p>
      <w:pPr>
        <w:spacing w:after="0" w:line="87" w:lineRule="exact"/>
        <w:rPr>
          <w:sz w:val="20"/>
          <w:szCs w:val="20"/>
          <w:color w:val="auto"/>
        </w:rPr>
      </w:pPr>
    </w:p>
    <w:p>
      <w:pPr>
        <w:jc w:val="both"/>
        <w:ind w:left="920" w:right="280" w:firstLine="397"/>
        <w:spacing w:after="0" w:line="279" w:lineRule="auto"/>
        <w:rPr>
          <w:sz w:val="20"/>
          <w:szCs w:val="20"/>
          <w:color w:val="auto"/>
        </w:rPr>
      </w:pPr>
      <w:r>
        <w:rPr>
          <w:rFonts w:ascii="Arial" w:cs="Arial" w:eastAsia="Arial" w:hAnsi="Arial"/>
          <w:sz w:val="17"/>
          <w:szCs w:val="17"/>
          <w:i w:val="1"/>
          <w:iCs w:val="1"/>
          <w:color w:val="auto"/>
        </w:rPr>
        <w:t xml:space="preserve">Expand relationships with private sector and government employers. </w:t>
      </w:r>
      <w:r>
        <w:rPr>
          <w:rFonts w:ascii="Arial" w:cs="Arial" w:eastAsia="Arial" w:hAnsi="Arial"/>
          <w:sz w:val="17"/>
          <w:szCs w:val="17"/>
          <w:color w:val="auto"/>
        </w:rPr>
        <w:t>We seek additional relationships with health care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school districts, emergency services providers, and 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77"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i w:val="1"/>
          <w:iCs w:val="1"/>
          <w:color w:val="auto"/>
        </w:rPr>
        <w:t xml:space="preserve">Leverage infrastructure and drive earnings growth. </w:t>
      </w:r>
      <w:r>
        <w:rPr>
          <w:rFonts w:ascii="Arial" w:cs="Arial" w:eastAsia="Arial" w:hAnsi="Arial"/>
          <w:sz w:val="18"/>
          <w:szCs w:val="18"/>
          <w:color w:val="auto"/>
        </w:rPr>
        <w:t>We have made significant investments in our people, processes,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since 2004. We believe these 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Risks Affecting Us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business is subject to numerous risks, as discussed more fully in the section entitled “Risk Factors” immediately following this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Prospectus Summary. In particular, our business would be adversely affected if:</w:t>
      </w:r>
    </w:p>
    <w:p>
      <w:pPr>
        <w:spacing w:after="0" w:line="1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we are unable to attract and retain students as a result of the highly competitive markets in which we operate;</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20" w:right="340" w:hanging="201"/>
        <w:spacing w:after="0" w:line="264"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73" w:lineRule="exact"/>
        <w:rPr>
          <w:rFonts w:ascii="Arial" w:cs="Arial" w:eastAsia="Arial" w:hAnsi="Arial"/>
          <w:sz w:val="18"/>
          <w:szCs w:val="18"/>
          <w:color w:val="auto"/>
        </w:rPr>
      </w:pPr>
    </w:p>
    <w:p>
      <w:pPr>
        <w:ind w:left="1920" w:right="300" w:hanging="201"/>
        <w:spacing w:after="0" w:line="277"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experience any student, regulatory, reputational, or other events that adversely affect our graduate degree offerings, from which we currently derive a significant portion of our revenues;</w:t>
      </w:r>
    </w:p>
    <w:p>
      <w:pPr>
        <w:spacing w:after="0" w:line="62" w:lineRule="exact"/>
        <w:rPr>
          <w:rFonts w:ascii="Arial" w:cs="Arial" w:eastAsia="Arial" w:hAnsi="Arial"/>
          <w:sz w:val="18"/>
          <w:szCs w:val="18"/>
          <w:color w:val="auto"/>
        </w:rPr>
      </w:pPr>
    </w:p>
    <w:p>
      <w:pPr>
        <w:ind w:left="1920" w:right="100" w:hanging="201"/>
        <w:spacing w:after="0" w:line="257"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or as a result of negative publicity affecting us or other companies in the for-profit postsecondary education sector;</w:t>
      </w:r>
    </w:p>
    <w:p>
      <w:pPr>
        <w:spacing w:after="0" w:line="80" w:lineRule="exact"/>
        <w:rPr>
          <w:rFonts w:ascii="Arial" w:cs="Arial" w:eastAsia="Arial" w:hAnsi="Arial"/>
          <w:sz w:val="18"/>
          <w:szCs w:val="18"/>
          <w:color w:val="auto"/>
        </w:rPr>
      </w:pPr>
    </w:p>
    <w:p>
      <w:pPr>
        <w:ind w:left="1920" w:hanging="201"/>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unable to attract and retain key personnel needed to sustain and grow our business;</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students are unable to obtain student loans on affordable terms, or at all;</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economic or other developments affect demand in our core disciplines; or</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unable to develop new programs or expand our existing programs in a timely and cost-effective manner.</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Corporate Information</w:t>
      </w:r>
    </w:p>
    <w:p>
      <w:pPr>
        <w:spacing w:after="0" w:line="135"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color w:val="auto"/>
        </w:rPr>
        <w:t xml:space="preserve">We were formed in Delaware in November 2003 for the purpose of acquiring the assets of Grand Canyon University. Our principal executive offices are located at 3300 West Camelback Road, Phoenix, Arizona 85017, and our telephone number is (602) 639-7500. Our website is located at </w:t>
      </w:r>
      <w:r>
        <w:rPr>
          <w:rFonts w:ascii="Arial" w:cs="Arial" w:eastAsia="Arial" w:hAnsi="Arial"/>
          <w:sz w:val="18"/>
          <w:szCs w:val="18"/>
          <w:u w:val="single" w:color="auto"/>
          <w:color w:val="auto"/>
        </w:rPr>
        <w:t>www.gcu.edu</w:t>
      </w:r>
      <w:r>
        <w:rPr>
          <w:rFonts w:ascii="Arial" w:cs="Arial" w:eastAsia="Arial" w:hAnsi="Arial"/>
          <w:sz w:val="18"/>
          <w:szCs w:val="18"/>
          <w:color w:val="auto"/>
        </w:rPr>
        <w:t>. The information on, or accessible through, our website does not constitute part of, and is not incorporated into, this prospectus.</w:t>
      </w:r>
    </w:p>
    <w:p>
      <w:pPr>
        <w:spacing w:after="0" w:line="1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Accreditation</w:t>
      </w:r>
    </w:p>
    <w:p>
      <w:pPr>
        <w:spacing w:after="0" w:line="135" w:lineRule="exact"/>
        <w:rPr>
          <w:sz w:val="20"/>
          <w:szCs w:val="20"/>
          <w:color w:val="auto"/>
        </w:rPr>
      </w:pPr>
    </w:p>
    <w:p>
      <w:pPr>
        <w:ind w:left="920" w:right="20" w:firstLine="397"/>
        <w:spacing w:after="0" w:line="312" w:lineRule="auto"/>
        <w:rPr>
          <w:sz w:val="20"/>
          <w:szCs w:val="20"/>
          <w:color w:val="auto"/>
        </w:rPr>
      </w:pPr>
      <w:r>
        <w:rPr>
          <w:rFonts w:ascii="Arial" w:cs="Arial" w:eastAsia="Arial" w:hAnsi="Arial"/>
          <w:sz w:val="16"/>
          <w:szCs w:val="16"/>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6"/>
          <w:szCs w:val="16"/>
          <w:u w:val="single" w:color="auto"/>
          <w:color w:val="auto"/>
        </w:rPr>
        <w:t>www.ncahlc.org</w:t>
      </w:r>
      <w:r>
        <w:rPr>
          <w:rFonts w:ascii="Arial" w:cs="Arial" w:eastAsia="Arial" w:hAnsi="Arial"/>
          <w:sz w:val="16"/>
          <w:szCs w:val="16"/>
          <w:color w:val="auto"/>
        </w:rPr>
        <w:t>. The information on, or accessible through, the website of the Higher Learning Commission does not constitute part of, and is not incorporated into, this prospectus.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Industry Data</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ectPr>
          <w:pgSz w:w="11900" w:h="16838" w:orient="portrait"/>
          <w:cols w:equalWidth="0" w:num="1">
            <w:col w:w="10760"/>
          </w:cols>
          <w:pgMar w:left="240" w:top="41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640" w:type="dxa"/>
            <w:vAlign w:val="bottom"/>
            <w:gridSpan w:val="2"/>
          </w:tcPr>
          <w:p>
            <w:pPr>
              <w:ind w:left="520"/>
              <w:spacing w:after="0"/>
              <w:rPr>
                <w:sz w:val="20"/>
                <w:szCs w:val="20"/>
                <w:color w:val="auto"/>
              </w:rPr>
            </w:pPr>
            <w:r>
              <w:rPr>
                <w:rFonts w:ascii="Arial" w:cs="Arial" w:eastAsia="Arial" w:hAnsi="Arial"/>
                <w:sz w:val="18"/>
                <w:szCs w:val="18"/>
                <w:b w:val="1"/>
                <w:bCs w:val="1"/>
                <w:color w:val="auto"/>
              </w:rPr>
              <w:t>OFFERING SUMMARY</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8"/>
        </w:trPr>
        <w:tc>
          <w:tcPr>
            <w:tcW w:w="348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10,500,000 shares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3480" w:type="dxa"/>
            <w:vAlign w:val="bottom"/>
          </w:tcPr>
          <w:p>
            <w:pPr>
              <w:spacing w:after="0"/>
              <w:rPr>
                <w:sz w:val="20"/>
                <w:szCs w:val="20"/>
                <w:color w:val="auto"/>
              </w:rPr>
            </w:pPr>
            <w:r>
              <w:rPr>
                <w:rFonts w:ascii="Arial" w:cs="Arial" w:eastAsia="Arial" w:hAnsi="Arial"/>
                <w:sz w:val="18"/>
                <w:szCs w:val="18"/>
                <w:color w:val="auto"/>
                <w:w w:val="96"/>
              </w:rPr>
              <w:t>Common stock outstanding after this offering</w:t>
            </w: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43,731,509 shares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Use of proceeds</w:t>
            </w: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7"/>
              </w:rPr>
              <w:t>The net proceeds to us from this offering will be approximately $111.1 million, or</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4"/>
              </w:rPr>
              <w:t>approximately $128.7 million if the underwriters exercise their over-allotment option</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6"/>
              </w:rPr>
              <w:t>in full after deducting the underwriting discounts and commissions and estimated</w:t>
            </w:r>
          </w:p>
        </w:tc>
      </w:tr>
      <w:tr>
        <w:trPr>
          <w:trHeight w:val="230"/>
        </w:trPr>
        <w:tc>
          <w:tcPr>
            <w:tcW w:w="3480" w:type="dxa"/>
            <w:vAlign w:val="bottom"/>
          </w:tcPr>
          <w:p>
            <w:pPr>
              <w:spacing w:after="0"/>
              <w:rPr>
                <w:sz w:val="20"/>
                <w:szCs w:val="20"/>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offering expenses payable by us.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0"/>
        </w:trPr>
        <w:tc>
          <w:tcPr>
            <w:tcW w:w="3480" w:type="dxa"/>
            <w:vAlign w:val="bottom"/>
          </w:tcPr>
          <w:p>
            <w:pPr>
              <w:spacing w:after="0"/>
              <w:rPr>
                <w:sz w:val="24"/>
                <w:szCs w:val="24"/>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rPr>
              <w:t>As described in “Use of Proceeds” and “Special Distribution,” we will use the</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2"/>
              </w:rPr>
              <w:t>proceeds of this offering to pay a special distribution to our stockholders of record as</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4"/>
              </w:rPr>
              <w:t>of November 18, 2008, in the amount of 75% of the gross proceeds received by us</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6"/>
              </w:rPr>
              <w:t>from the sale of stock in this offering, including any proceeds we receive from the</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5"/>
              </w:rPr>
              <w:t>underwriters’ exercise of their over-allotment option, before underwriting discounts</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3"/>
              </w:rPr>
              <w:t>and commissions and estimated offering expenses. We intend to use the remaining</w:t>
            </w:r>
          </w:p>
        </w:tc>
      </w:tr>
      <w:tr>
        <w:trPr>
          <w:trHeight w:val="230"/>
        </w:trPr>
        <w:tc>
          <w:tcPr>
            <w:tcW w:w="3480" w:type="dxa"/>
            <w:vAlign w:val="bottom"/>
          </w:tcPr>
          <w:p>
            <w:pPr>
              <w:spacing w:after="0"/>
              <w:rPr>
                <w:sz w:val="20"/>
                <w:szCs w:val="20"/>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5"/>
              </w:rPr>
              <w:t>proceeds to pay the expenses of this offering and for general corporate purposes.</w:t>
            </w:r>
          </w:p>
        </w:tc>
      </w:tr>
      <w:tr>
        <w:trPr>
          <w:trHeight w:val="310"/>
        </w:trPr>
        <w:tc>
          <w:tcPr>
            <w:tcW w:w="3480" w:type="dxa"/>
            <w:vAlign w:val="bottom"/>
          </w:tcPr>
          <w:p>
            <w:pPr>
              <w:spacing w:after="0"/>
              <w:rPr>
                <w:sz w:val="24"/>
                <w:szCs w:val="24"/>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0"/>
              </w:rPr>
              <w:t>The payment of the special distribution in the amount described above permits a return</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rPr>
              <w:t>of capital to all of our stockholders as of the record date, and does so without</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4"/>
              </w:rPr>
              <w:t>significantly decreasing our capital resources or requiring these stockholders to sell</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8"/>
              </w:rPr>
              <w:t>their shares. Of the aggregate amount of the special distribution of $94.5 million</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1"/>
              </w:rPr>
              <w:t>(exclusive of any amounts that may be received from the underwriters’ exercise of the</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5"/>
              </w:rPr>
              <w:t>over-allotment option), $50.2 million will be paid in respect of shares of our capital</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2"/>
              </w:rPr>
              <w:t>stock over which our directors and executive officers are deemed to exercise sole or</w:t>
            </w:r>
          </w:p>
        </w:tc>
      </w:tr>
      <w:tr>
        <w:trPr>
          <w:trHeight w:val="216"/>
        </w:trPr>
        <w:tc>
          <w:tcPr>
            <w:tcW w:w="3480" w:type="dxa"/>
            <w:vAlign w:val="bottom"/>
          </w:tcPr>
          <w:p>
            <w:pPr>
              <w:spacing w:after="0"/>
              <w:rPr>
                <w:sz w:val="18"/>
                <w:szCs w:val="18"/>
                <w:color w:val="auto"/>
              </w:rPr>
            </w:pPr>
          </w:p>
        </w:tc>
        <w:tc>
          <w:tcPr>
            <w:tcW w:w="6440" w:type="dxa"/>
            <w:vAlign w:val="bottom"/>
            <w:gridSpan w:val="6"/>
          </w:tcPr>
          <w:p>
            <w:pPr>
              <w:ind w:left="200"/>
              <w:spacing w:after="0"/>
              <w:rPr>
                <w:sz w:val="20"/>
                <w:szCs w:val="20"/>
                <w:color w:val="auto"/>
              </w:rPr>
            </w:pPr>
            <w:r>
              <w:rPr>
                <w:rFonts w:ascii="Arial" w:cs="Arial" w:eastAsia="Arial" w:hAnsi="Arial"/>
                <w:sz w:val="18"/>
                <w:szCs w:val="18"/>
                <w:color w:val="auto"/>
                <w:w w:val="90"/>
              </w:rPr>
              <w:t>shared voting or investment power. These proceeds will be allocated as set forth in the</w:t>
            </w:r>
          </w:p>
        </w:tc>
      </w:tr>
      <w:tr>
        <w:trPr>
          <w:trHeight w:val="230"/>
        </w:trPr>
        <w:tc>
          <w:tcPr>
            <w:tcW w:w="3480" w:type="dxa"/>
            <w:vAlign w:val="bottom"/>
          </w:tcPr>
          <w:p>
            <w:pPr>
              <w:spacing w:after="0"/>
              <w:rPr>
                <w:sz w:val="20"/>
                <w:szCs w:val="20"/>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following table.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4"/>
        </w:trPr>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Arial" w:cs="Arial" w:eastAsia="Arial" w:hAnsi="Arial"/>
                <w:sz w:val="14"/>
                <w:szCs w:val="14"/>
                <w:b w:val="1"/>
                <w:bCs w:val="1"/>
                <w:color w:val="auto"/>
              </w:rPr>
              <w:t>Special Distribution</w:t>
            </w:r>
          </w:p>
        </w:tc>
      </w:tr>
      <w:tr>
        <w:trPr>
          <w:trHeight w:val="180"/>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5"/>
                <w:szCs w:val="15"/>
                <w:color w:val="auto"/>
              </w:rPr>
            </w:pPr>
          </w:p>
        </w:tc>
      </w:tr>
      <w:tr>
        <w:trPr>
          <w:trHeight w:val="232"/>
        </w:trPr>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right="13"/>
              <w:spacing w:after="0"/>
              <w:rPr>
                <w:sz w:val="20"/>
                <w:szCs w:val="20"/>
                <w:color w:val="auto"/>
              </w:rPr>
            </w:pPr>
            <w:r>
              <w:rPr>
                <w:rFonts w:ascii="Arial" w:cs="Arial" w:eastAsia="Arial" w:hAnsi="Arial"/>
                <w:sz w:val="18"/>
                <w:szCs w:val="18"/>
                <w:color w:val="auto"/>
                <w:w w:val="90"/>
              </w:rPr>
              <w:t>28,471</w:t>
            </w:r>
          </w:p>
        </w:tc>
        <w:tc>
          <w:tcPr>
            <w:tcW w:w="1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center"/>
              <w:ind w:right="13"/>
              <w:spacing w:after="0"/>
              <w:rPr>
                <w:sz w:val="20"/>
                <w:szCs w:val="20"/>
                <w:color w:val="auto"/>
              </w:rPr>
            </w:pPr>
            <w:r>
              <w:rPr>
                <w:rFonts w:ascii="Arial" w:cs="Arial" w:eastAsia="Arial" w:hAnsi="Arial"/>
                <w:sz w:val="18"/>
                <w:szCs w:val="18"/>
                <w:color w:val="auto"/>
                <w:w w:val="90"/>
              </w:rPr>
              <w:t>28,471</w:t>
            </w:r>
          </w:p>
        </w:tc>
        <w:tc>
          <w:tcPr>
            <w:tcW w:w="1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center"/>
              <w:ind w:right="13"/>
              <w:spacing w:after="0"/>
              <w:rPr>
                <w:sz w:val="20"/>
                <w:szCs w:val="20"/>
                <w:color w:val="auto"/>
              </w:rPr>
            </w:pPr>
            <w:r>
              <w:rPr>
                <w:rFonts w:ascii="Arial" w:cs="Arial" w:eastAsia="Arial" w:hAnsi="Arial"/>
                <w:sz w:val="18"/>
                <w:szCs w:val="18"/>
                <w:color w:val="auto"/>
                <w:w w:val="90"/>
              </w:rPr>
              <w:t>10,371</w:t>
            </w:r>
          </w:p>
        </w:tc>
        <w:tc>
          <w:tcPr>
            <w:tcW w:w="1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John E. Crowley</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88"/>
              </w:rPr>
              <w:t>1,005</w:t>
            </w:r>
          </w:p>
        </w:tc>
        <w:tc>
          <w:tcPr>
            <w:tcW w:w="1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center"/>
              <w:ind w:right="13"/>
              <w:spacing w:after="0"/>
              <w:rPr>
                <w:sz w:val="20"/>
                <w:szCs w:val="20"/>
                <w:color w:val="auto"/>
              </w:rPr>
            </w:pPr>
            <w:r>
              <w:rPr>
                <w:rFonts w:ascii="Arial" w:cs="Arial" w:eastAsia="Arial" w:hAnsi="Arial"/>
                <w:sz w:val="18"/>
                <w:szCs w:val="18"/>
                <w:color w:val="auto"/>
                <w:w w:val="90"/>
              </w:rPr>
              <w:t>10,378</w:t>
            </w:r>
          </w:p>
        </w:tc>
        <w:tc>
          <w:tcPr>
            <w:tcW w:w="1140" w:type="dxa"/>
            <w:vAlign w:val="bottom"/>
          </w:tcPr>
          <w:p>
            <w:pPr>
              <w:spacing w:after="0"/>
              <w:rPr>
                <w:sz w:val="18"/>
                <w:szCs w:val="18"/>
                <w:color w:val="auto"/>
              </w:rPr>
            </w:pPr>
          </w:p>
        </w:tc>
      </w:tr>
      <w:tr>
        <w:trPr>
          <w:trHeight w:val="202"/>
        </w:trPr>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8"/>
              </w:rPr>
              <w:t>All directors and executive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officers as a group</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right="13"/>
              <w:spacing w:after="0"/>
              <w:rPr>
                <w:sz w:val="20"/>
                <w:szCs w:val="20"/>
                <w:color w:val="auto"/>
              </w:rPr>
            </w:pPr>
            <w:r>
              <w:rPr>
                <w:rFonts w:ascii="Arial" w:cs="Arial" w:eastAsia="Arial" w:hAnsi="Arial"/>
                <w:sz w:val="18"/>
                <w:szCs w:val="18"/>
                <w:color w:val="auto"/>
                <w:w w:val="90"/>
              </w:rPr>
              <w:t>50,225</w:t>
            </w:r>
          </w:p>
        </w:tc>
        <w:tc>
          <w:tcPr>
            <w:tcW w:w="1140" w:type="dxa"/>
            <w:vAlign w:val="bottom"/>
          </w:tcPr>
          <w:p>
            <w:pPr>
              <w:spacing w:after="0"/>
              <w:rPr>
                <w:sz w:val="20"/>
                <w:szCs w:val="20"/>
                <w:color w:val="auto"/>
              </w:rPr>
            </w:pPr>
          </w:p>
        </w:tc>
      </w:tr>
    </w:tbl>
    <w:p>
      <w:pPr>
        <w:spacing w:after="0" w:line="202" w:lineRule="exact"/>
        <w:rPr>
          <w:sz w:val="20"/>
          <w:szCs w:val="20"/>
          <w:color w:val="auto"/>
        </w:rPr>
      </w:pPr>
    </w:p>
    <w:p>
      <w:pPr>
        <w:ind w:left="5200" w:right="120" w:hanging="402"/>
        <w:spacing w:after="0" w:line="259" w:lineRule="auto"/>
        <w:tabs>
          <w:tab w:leader="none" w:pos="5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shares owned by Endeavour Capital Fund IV, L.P. and certain affiliated funds. D. Mark Dorman and Chad N. Heath, two of our directors, are managing directors of Endeavour Capital IV, LLC, the general partner of such funds.</w:t>
      </w:r>
    </w:p>
    <w:p>
      <w:pPr>
        <w:spacing w:after="0" w:line="9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See “Special Distribution” and “Certain Relationships and Related Transactions</w:t>
      </w:r>
    </w:p>
    <w:p>
      <w:pPr>
        <w:spacing w:after="0" w:line="35" w:lineRule="exact"/>
        <w:rPr>
          <w:sz w:val="20"/>
          <w:szCs w:val="20"/>
          <w:color w:val="auto"/>
        </w:rPr>
      </w:pPr>
    </w:p>
    <w:p>
      <w:pPr>
        <w:ind w:left="4600" w:right="420"/>
        <w:spacing w:after="0" w:line="261" w:lineRule="auto"/>
        <w:rPr>
          <w:sz w:val="20"/>
          <w:szCs w:val="20"/>
          <w:color w:val="auto"/>
        </w:rPr>
      </w:pPr>
      <w:r>
        <w:rPr>
          <w:rFonts w:ascii="Arial" w:cs="Arial" w:eastAsia="Arial" w:hAnsi="Arial"/>
          <w:sz w:val="18"/>
          <w:szCs w:val="18"/>
          <w:color w:val="auto"/>
        </w:rPr>
        <w:t>— Special Distribution” for additional information regarding the amount and the beneficiaries of the special distribution.</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Except with respect to the special distribution, we do not anticipate declaring or</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paying any cash dividends on our common stock in the foreseeable future.</w:t>
      </w:r>
    </w:p>
    <w:p>
      <w:pPr>
        <w:spacing w:after="0" w:line="10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carefully read and consider the information set forth under the heading</w:t>
      </w:r>
    </w:p>
    <w:p>
      <w:pPr>
        <w:spacing w:after="0" w:line="23" w:lineRule="exact"/>
        <w:rPr>
          <w:sz w:val="20"/>
          <w:szCs w:val="20"/>
          <w:color w:val="auto"/>
        </w:rPr>
      </w:pPr>
    </w:p>
    <w:p>
      <w:pPr>
        <w:ind w:left="4600" w:right="480"/>
        <w:spacing w:after="0" w:line="261" w:lineRule="auto"/>
        <w:rPr>
          <w:sz w:val="20"/>
          <w:szCs w:val="20"/>
          <w:color w:val="auto"/>
        </w:rPr>
      </w:pPr>
      <w:r>
        <w:rPr>
          <w:rFonts w:ascii="Arial" w:cs="Arial" w:eastAsia="Arial" w:hAnsi="Arial"/>
          <w:sz w:val="18"/>
          <w:szCs w:val="18"/>
          <w:color w:val="auto"/>
        </w:rPr>
        <w:t>titled “Risk Factors” and all other information set forth in this prospectus before deciding to invest in shares of our common stock.</w:t>
      </w:r>
    </w:p>
    <w:p>
      <w:pPr>
        <w:spacing w:after="0" w:line="7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6"/>
          <w:szCs w:val="16"/>
          <w:color w:val="auto"/>
        </w:rPr>
        <w:t>LOPE</w:t>
      </w:r>
    </w:p>
    <w:p>
      <w:pPr>
        <w:spacing w:after="0" w:line="131" w:lineRule="exact"/>
        <w:rPr>
          <w:sz w:val="20"/>
          <w:szCs w:val="20"/>
          <w:color w:val="auto"/>
        </w:rPr>
      </w:pPr>
    </w:p>
    <w:p>
      <w:pPr>
        <w:ind w:left="920" w:right="20" w:firstLine="397"/>
        <w:spacing w:after="0" w:line="297" w:lineRule="auto"/>
        <w:rPr>
          <w:sz w:val="20"/>
          <w:szCs w:val="20"/>
          <w:color w:val="auto"/>
        </w:rPr>
      </w:pPr>
      <w:r>
        <w:rPr>
          <w:rFonts w:ascii="Arial" w:cs="Arial" w:eastAsia="Arial" w:hAnsi="Arial"/>
          <w:sz w:val="16"/>
          <w:szCs w:val="16"/>
          <w:color w:val="auto"/>
        </w:rPr>
        <w:t>The number of shares of our common stock to be outstanding following this offering is based on the number of shares of our common stock outstanding as of September 30, 2008, and excludes 5,249,921 shares of common stock reserved for future issuance under our stock-based compensation plans. The 5,249,921 shares reserved for future issuance includes 109,329 fully vested restricted shares to be granted to Brian E. Mueller, our Chief Executive Officer, and 733,990 fully vested and 2,595,983 unvested stock options to be granted to employees and a director immediately following the effectiveness of the offering at the initial public offering price.</w:t>
      </w:r>
    </w:p>
    <w:p>
      <w:pPr>
        <w:spacing w:after="0" w:line="6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p>
      <w:pPr>
        <w:ind w:left="1920" w:hanging="201"/>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1,575,000 additional shares from us;</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1,826-for-one split of our outstanding common stock effected on September 29, 2008;</w:t>
      </w:r>
    </w:p>
    <w:p>
      <w:pPr>
        <w:spacing w:after="0" w:line="117" w:lineRule="exact"/>
        <w:rPr>
          <w:rFonts w:ascii="Arial" w:cs="Arial" w:eastAsia="Arial" w:hAnsi="Arial"/>
          <w:sz w:val="18"/>
          <w:szCs w:val="18"/>
          <w:color w:val="auto"/>
        </w:rPr>
      </w:pPr>
    </w:p>
    <w:p>
      <w:pPr>
        <w:ind w:left="1920" w:right="620" w:hanging="201"/>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Series A convertible preferred stock into 10,870,178 shares of common stock upon the closing of the offering;</w:t>
      </w:r>
    </w:p>
    <w:p>
      <w:pPr>
        <w:spacing w:after="0" w:line="62" w:lineRule="exact"/>
        <w:rPr>
          <w:rFonts w:ascii="Arial" w:cs="Arial" w:eastAsia="Arial" w:hAnsi="Arial"/>
          <w:sz w:val="18"/>
          <w:szCs w:val="18"/>
          <w:color w:val="auto"/>
        </w:rPr>
      </w:pPr>
    </w:p>
    <w:p>
      <w:pPr>
        <w:ind w:left="1920" w:right="60" w:hanging="201"/>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Series C preferred stock into 2,233,333 shares of common stock upon the closing of the offering;</w:t>
      </w:r>
    </w:p>
    <w:p>
      <w:pPr>
        <w:spacing w:after="0" w:line="62" w:lineRule="exact"/>
        <w:rPr>
          <w:rFonts w:ascii="Arial" w:cs="Arial" w:eastAsia="Arial" w:hAnsi="Arial"/>
          <w:sz w:val="18"/>
          <w:szCs w:val="18"/>
          <w:color w:val="auto"/>
        </w:rPr>
      </w:pPr>
    </w:p>
    <w:p>
      <w:pPr>
        <w:ind w:left="1920" w:hanging="201"/>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of a warrant to purchase 909,348 shares of our common stock for $0.58 per share, which warrant was exercised in November 2008;</w:t>
      </w:r>
    </w:p>
    <w:p>
      <w:pPr>
        <w:spacing w:after="0" w:line="62" w:lineRule="exact"/>
        <w:rPr>
          <w:rFonts w:ascii="Arial" w:cs="Arial" w:eastAsia="Arial" w:hAnsi="Arial"/>
          <w:sz w:val="18"/>
          <w:szCs w:val="18"/>
          <w:color w:val="auto"/>
        </w:rPr>
      </w:pPr>
    </w:p>
    <w:p>
      <w:pPr>
        <w:ind w:left="1920" w:right="320" w:hanging="201"/>
        <w:spacing w:after="0" w:line="277"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immediately prior to the effectiveness of this offering; and</w:t>
      </w:r>
    </w:p>
    <w:p>
      <w:pPr>
        <w:spacing w:after="0" w:line="62" w:lineRule="exact"/>
        <w:rPr>
          <w:rFonts w:ascii="Arial" w:cs="Arial" w:eastAsia="Arial" w:hAnsi="Arial"/>
          <w:sz w:val="18"/>
          <w:szCs w:val="18"/>
          <w:color w:val="auto"/>
        </w:rPr>
      </w:pPr>
    </w:p>
    <w:p>
      <w:pPr>
        <w:ind w:left="1920" w:hanging="201"/>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rounding of all fractional share amounts to the nearest whole number.</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 FINANCIAL AND OTHER DATA</w:t>
      </w:r>
    </w:p>
    <w:p>
      <w:pPr>
        <w:spacing w:after="0" w:line="135" w:lineRule="exact"/>
        <w:rPr>
          <w:sz w:val="20"/>
          <w:szCs w:val="20"/>
          <w:color w:val="auto"/>
        </w:rPr>
      </w:pPr>
    </w:p>
    <w:p>
      <w:pPr>
        <w:ind w:left="920" w:right="40" w:firstLine="397"/>
        <w:spacing w:after="0" w:line="291" w:lineRule="auto"/>
        <w:rPr>
          <w:sz w:val="20"/>
          <w:szCs w:val="20"/>
          <w:color w:val="auto"/>
        </w:rPr>
      </w:pPr>
      <w:r>
        <w:rPr>
          <w:rFonts w:ascii="Arial" w:cs="Arial" w:eastAsia="Arial" w:hAnsi="Arial"/>
          <w:sz w:val="16"/>
          <w:szCs w:val="16"/>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73" w:lineRule="exact"/>
        <w:rPr>
          <w:sz w:val="20"/>
          <w:szCs w:val="20"/>
          <w:color w:val="auto"/>
        </w:rPr>
      </w:pPr>
    </w:p>
    <w:p>
      <w:pPr>
        <w:ind w:left="920" w:right="360" w:firstLine="397"/>
        <w:spacing w:after="0" w:line="264" w:lineRule="auto"/>
        <w:rPr>
          <w:sz w:val="20"/>
          <w:szCs w:val="20"/>
          <w:color w:val="auto"/>
        </w:rPr>
      </w:pPr>
      <w:r>
        <w:rPr>
          <w:rFonts w:ascii="Arial" w:cs="Arial" w:eastAsia="Arial" w:hAnsi="Arial"/>
          <w:sz w:val="18"/>
          <w:szCs w:val="18"/>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9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2380" w:type="dxa"/>
            <w:vAlign w:val="bottom"/>
            <w:gridSpan w:val="8"/>
          </w:tcPr>
          <w:p>
            <w:pPr>
              <w:ind w:left="1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2007</w:t>
            </w:r>
          </w:p>
        </w:tc>
        <w:tc>
          <w:tcPr>
            <w:tcW w:w="5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71"/>
              </w:rPr>
              <w:t>(Unaudited)</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6"/>
              </w:rPr>
              <w:t>(Restated)</w:t>
            </w:r>
            <w:r>
              <w:rPr>
                <w:rFonts w:ascii="Arial" w:cs="Arial" w:eastAsia="Arial" w:hAnsi="Arial"/>
                <w:sz w:val="12"/>
                <w:szCs w:val="12"/>
                <w:b w:val="1"/>
                <w:bCs w:val="1"/>
                <w:color w:val="auto"/>
                <w:w w:val="96"/>
              </w:rPr>
              <w:t>(1)</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gridSpan w:val="10"/>
          </w:tcPr>
          <w:p>
            <w:pPr>
              <w:jc w:val="center"/>
              <w:spacing w:after="0" w:line="119" w:lineRule="exact"/>
              <w:rPr>
                <w:sz w:val="20"/>
                <w:szCs w:val="20"/>
                <w:color w:val="auto"/>
              </w:rPr>
            </w:pPr>
            <w:r>
              <w:rPr>
                <w:rFonts w:ascii="Arial" w:cs="Arial" w:eastAsia="Arial" w:hAnsi="Arial"/>
                <w:sz w:val="13"/>
                <w:szCs w:val="13"/>
                <w:b w:val="1"/>
                <w:bCs w:val="1"/>
                <w:color w:val="auto"/>
                <w:w w:val="98"/>
              </w:rPr>
              <w:t>(In thousands, except enrollment</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6"/>
          </w:tcPr>
          <w:p>
            <w:pPr>
              <w:jc w:val="center"/>
              <w:ind w:left="33"/>
              <w:spacing w:after="0"/>
              <w:rPr>
                <w:sz w:val="20"/>
                <w:szCs w:val="20"/>
                <w:color w:val="auto"/>
              </w:rPr>
            </w:pPr>
            <w:r>
              <w:rPr>
                <w:rFonts w:ascii="Arial" w:cs="Arial" w:eastAsia="Arial" w:hAnsi="Arial"/>
                <w:sz w:val="14"/>
                <w:szCs w:val="14"/>
                <w:b w:val="1"/>
                <w:bCs w:val="1"/>
                <w:color w:val="auto"/>
                <w:w w:val="92"/>
              </w:rPr>
              <w:t>and per share data)</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51,793</w:t>
            </w:r>
          </w:p>
        </w:tc>
        <w:tc>
          <w:tcPr>
            <w:tcW w:w="1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72,111</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99,326</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68,472</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Instructional costs and services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27,531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promotional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11,848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to former owner</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56,697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69,069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94,981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66,255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(4,904)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(2,975)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8"/>
                <w:szCs w:val="18"/>
                <w:color w:val="auto"/>
                <w:w w:val="98"/>
              </w:rPr>
              <w:t>(2,236)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(7,726)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r>
              <w:rPr>
                <w:rFonts w:ascii="Arial" w:cs="Arial" w:eastAsia="Arial" w:hAnsi="Arial"/>
                <w:sz w:val="15"/>
                <w:szCs w:val="15"/>
                <w:color w:val="auto"/>
              </w:rPr>
              <w:t>(2)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(4,286)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 available (loss attributable) to common</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(4,286)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20"/>
                <w:szCs w:val="20"/>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Shares used in computing earnings (loss) per common 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36,858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35,143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35,189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common share (Unaudited)</w:t>
            </w:r>
            <w:r>
              <w:rPr>
                <w:rFonts w:ascii="Arial" w:cs="Arial" w:eastAsia="Arial" w:hAnsi="Arial"/>
                <w:sz w:val="15"/>
                <w:szCs w:val="15"/>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w w:val="97"/>
              </w:rPr>
              <w:t>Shares used in computing pro forma earnings per common</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45,154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11"/>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71"/>
              </w:rPr>
              <w:t>(Unaudited)</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(Restated)</w:t>
            </w:r>
            <w:r>
              <w:rPr>
                <w:rFonts w:ascii="Arial" w:cs="Arial" w:eastAsia="Arial" w:hAnsi="Arial"/>
                <w:sz w:val="12"/>
                <w:szCs w:val="12"/>
                <w:b w:val="1"/>
                <w:bCs w:val="1"/>
                <w:color w:val="auto"/>
                <w:w w:val="93"/>
              </w:rPr>
              <w:t>(1)</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14"/>
          </w:tcPr>
          <w:p>
            <w:pPr>
              <w:jc w:val="right"/>
              <w:ind w:right="560"/>
              <w:spacing w:after="0" w:line="119" w:lineRule="exact"/>
              <w:rPr>
                <w:sz w:val="20"/>
                <w:szCs w:val="20"/>
                <w:color w:val="auto"/>
              </w:rPr>
            </w:pPr>
            <w:r>
              <w:rPr>
                <w:rFonts w:ascii="Arial" w:cs="Arial" w:eastAsia="Arial" w:hAnsi="Arial"/>
                <w:sz w:val="13"/>
                <w:szCs w:val="13"/>
                <w:b w:val="1"/>
                <w:bCs w:val="1"/>
                <w:color w:val="auto"/>
              </w:rPr>
              <w:t>(In thousands, except enrollment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9"/>
          </w:tcPr>
          <w:p>
            <w:pPr>
              <w:ind w:left="140"/>
              <w:spacing w:after="0"/>
              <w:rPr>
                <w:sz w:val="20"/>
                <w:szCs w:val="20"/>
                <w:color w:val="auto"/>
              </w:rPr>
            </w:pPr>
            <w:r>
              <w:rPr>
                <w:rFonts w:ascii="Arial" w:cs="Arial" w:eastAsia="Arial" w:hAnsi="Arial"/>
                <w:sz w:val="14"/>
                <w:szCs w:val="14"/>
                <w:b w:val="1"/>
                <w:bCs w:val="1"/>
                <w:color w:val="auto"/>
                <w:w w:val="97"/>
              </w:rPr>
              <w:t>and per share data)</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$ 2,387</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5,136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(4)</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$ 9,074</w:t>
            </w: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$11,723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7,309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end enrollment: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Online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6,212</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8,406</w:t>
            </w: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12,497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11,306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Ground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1"/>
              </w:rPr>
              <w:t>As of September 30, 2008</w:t>
            </w: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11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6"/>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3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22,227</w:t>
            </w:r>
          </w:p>
        </w:tc>
        <w:tc>
          <w:tcPr>
            <w:tcW w:w="120" w:type="dxa"/>
            <w:vAlign w:val="bottom"/>
          </w:tcPr>
          <w:p>
            <w:pPr>
              <w:spacing w:after="0"/>
              <w:rPr>
                <w:sz w:val="18"/>
                <w:szCs w:val="18"/>
                <w:color w:val="auto"/>
              </w:rPr>
            </w:pP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  42,014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lease obligations (including short-term)</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Other indebtedness (including short-term indebtedness)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(deficit)</w:t>
            </w:r>
            <w:r>
              <w:rPr>
                <w:rFonts w:ascii="Arial" w:cs="Arial" w:eastAsia="Arial" w:hAnsi="Arial"/>
                <w:sz w:val="15"/>
                <w:szCs w:val="15"/>
                <w:color w:val="auto"/>
              </w:rPr>
              <w:t>(2)(3)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(68,692)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20" w:hanging="311"/>
        <w:spacing w:after="0" w:line="264"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9" w:lineRule="exact"/>
        <w:rPr>
          <w:rFonts w:ascii="Arial" w:cs="Arial" w:eastAsia="Arial" w:hAnsi="Arial"/>
          <w:sz w:val="18"/>
          <w:szCs w:val="18"/>
          <w:color w:val="auto"/>
        </w:rPr>
      </w:pPr>
    </w:p>
    <w:p>
      <w:pPr>
        <w:ind w:left="1240" w:right="40" w:hanging="311"/>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For all periods subsequent to such date, we have been subject to corporate-level U.S. federal and state income taxes.</w:t>
      </w:r>
    </w:p>
    <w:p>
      <w:pPr>
        <w:spacing w:after="0" w:line="8" w:lineRule="exact"/>
        <w:rPr>
          <w:rFonts w:ascii="Arial" w:cs="Arial" w:eastAsia="Arial" w:hAnsi="Arial"/>
          <w:sz w:val="18"/>
          <w:szCs w:val="18"/>
          <w:color w:val="auto"/>
        </w:rPr>
      </w:pPr>
    </w:p>
    <w:p>
      <w:pPr>
        <w:ind w:left="1240" w:right="80" w:hanging="311"/>
        <w:spacing w:after="0" w:line="286"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described in “Use of Proceeds” and “Special Distribution,” we will use the proceeds of this offering to pay a special distribution to our stockholders of record as of November 18,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the initial public offering price of $12.00 per share to pay the amount of dividends that exceeds net income for the twelve-month period ended September 30, 2008. The pro forma balance sheet and earnings per common share data also reflect the exercise of the warrant to purchase 909,348 shares of our common stock for $0.58 per share and assume the conversion of all outstanding shares of Series A convertible preferred stock into 10,870,178 shares of common stock upon the closing of the offering and the conversion of all outstanding shares of Series C preferred stock into 2,233,333 shares of common stock upon the closing of the offering.</w:t>
      </w:r>
    </w:p>
    <w:p>
      <w:pPr>
        <w:spacing w:after="0" w:line="9" w:lineRule="exact"/>
        <w:rPr>
          <w:rFonts w:ascii="Arial" w:cs="Arial" w:eastAsia="Arial" w:hAnsi="Arial"/>
          <w:sz w:val="16"/>
          <w:szCs w:val="16"/>
          <w:color w:val="auto"/>
        </w:rPr>
      </w:pPr>
    </w:p>
    <w:p>
      <w:pPr>
        <w:ind w:left="1240" w:right="20" w:hanging="311"/>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is defined as net income (loss) plus interest expense net of interest income, plus income tax expense (benefit), and plus depreciation and amortization (EBITDA), as adjusted for (i)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40" w:right="340"/>
        <w:spacing w:after="0" w:line="288" w:lineRule="auto"/>
        <w:rPr>
          <w:sz w:val="20"/>
          <w:szCs w:val="20"/>
          <w:color w:val="auto"/>
        </w:rPr>
      </w:pPr>
      <w:r>
        <w:rPr>
          <w:rFonts w:ascii="Arial" w:cs="Arial" w:eastAsia="Arial" w:hAnsi="Arial"/>
          <w:sz w:val="16"/>
          <w:szCs w:val="16"/>
          <w:color w:val="auto"/>
        </w:rPr>
        <w:t>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w:t>
      </w:r>
    </w:p>
    <w:p>
      <w:pPr>
        <w:ind w:left="1240"/>
        <w:spacing w:after="0"/>
        <w:rPr>
          <w:sz w:val="20"/>
          <w:szCs w:val="20"/>
          <w:color w:val="auto"/>
        </w:rPr>
      </w:pPr>
      <w:r>
        <w:rPr>
          <w:rFonts w:ascii="Arial" w:cs="Arial" w:eastAsia="Arial" w:hAnsi="Arial"/>
          <w:sz w:val="16"/>
          <w:szCs w:val="16"/>
          <w:color w:val="auto"/>
        </w:rPr>
        <w:t>(ii) management fees and expenses that are no longer paid or that will no longer be payable following completion of this offering.</w:t>
      </w:r>
    </w:p>
    <w:p>
      <w:pPr>
        <w:spacing w:after="0" w:line="72" w:lineRule="exact"/>
        <w:rPr>
          <w:sz w:val="20"/>
          <w:szCs w:val="20"/>
          <w:color w:val="auto"/>
        </w:rPr>
      </w:pPr>
    </w:p>
    <w:p>
      <w:pPr>
        <w:ind w:left="1240" w:right="180"/>
        <w:spacing w:after="0" w:line="271" w:lineRule="auto"/>
        <w:rPr>
          <w:sz w:val="20"/>
          <w:szCs w:val="20"/>
          <w:color w:val="auto"/>
        </w:rPr>
      </w:pPr>
      <w:r>
        <w:rPr>
          <w:rFonts w:ascii="Arial" w:cs="Arial" w:eastAsia="Arial" w:hAnsi="Arial"/>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Our management uses Adjusted EBITDA:</w:t>
      </w:r>
    </w:p>
    <w:p>
      <w:pPr>
        <w:spacing w:after="0" w:line="77" w:lineRule="exact"/>
        <w:rPr>
          <w:sz w:val="20"/>
          <w:szCs w:val="20"/>
          <w:color w:val="auto"/>
        </w:rPr>
      </w:pPr>
    </w:p>
    <w:p>
      <w:pPr>
        <w:ind w:left="1920" w:hanging="20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developing our internal budgets and strategic plan;</w:t>
      </w:r>
    </w:p>
    <w:p>
      <w:pPr>
        <w:spacing w:after="0" w:line="63" w:lineRule="exact"/>
        <w:rPr>
          <w:rFonts w:ascii="Arial" w:cs="Arial" w:eastAsia="Arial" w:hAnsi="Arial"/>
          <w:sz w:val="18"/>
          <w:szCs w:val="18"/>
          <w:color w:val="auto"/>
        </w:rPr>
      </w:pPr>
    </w:p>
    <w:p>
      <w:pPr>
        <w:ind w:left="1920" w:hanging="20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measurement of operating performance;</w:t>
      </w:r>
    </w:p>
    <w:p>
      <w:pPr>
        <w:spacing w:after="0" w:line="63" w:lineRule="exact"/>
        <w:rPr>
          <w:rFonts w:ascii="Arial" w:cs="Arial" w:eastAsia="Arial" w:hAnsi="Arial"/>
          <w:sz w:val="18"/>
          <w:szCs w:val="18"/>
          <w:color w:val="auto"/>
        </w:rPr>
      </w:pPr>
    </w:p>
    <w:p>
      <w:pPr>
        <w:ind w:left="1920" w:hanging="20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factor in evaluating the performance of our management for compensation purposes; and</w:t>
      </w:r>
    </w:p>
    <w:p>
      <w:pPr>
        <w:spacing w:after="0" w:line="63" w:lineRule="exact"/>
        <w:rPr>
          <w:rFonts w:ascii="Arial" w:cs="Arial" w:eastAsia="Arial" w:hAnsi="Arial"/>
          <w:sz w:val="18"/>
          <w:szCs w:val="18"/>
          <w:color w:val="auto"/>
        </w:rPr>
      </w:pPr>
    </w:p>
    <w:p>
      <w:pPr>
        <w:jc w:val="both"/>
        <w:ind w:left="1920" w:right="520" w:hanging="201"/>
        <w:spacing w:after="0" w:line="264"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33" w:lineRule="exact"/>
        <w:rPr>
          <w:sz w:val="20"/>
          <w:szCs w:val="20"/>
          <w:color w:val="auto"/>
        </w:rPr>
      </w:pPr>
    </w:p>
    <w:p>
      <w:pPr>
        <w:ind w:left="1240" w:right="160"/>
        <w:spacing w:after="0" w:line="255" w:lineRule="auto"/>
        <w:rPr>
          <w:sz w:val="20"/>
          <w:szCs w:val="20"/>
          <w:color w:val="auto"/>
        </w:rPr>
      </w:pPr>
      <w:r>
        <w:rPr>
          <w:rFonts w:ascii="Arial" w:cs="Arial" w:eastAsia="Arial" w:hAnsi="Arial"/>
          <w:sz w:val="18"/>
          <w:szCs w:val="18"/>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7" w:lineRule="exact"/>
        <w:rPr>
          <w:sz w:val="20"/>
          <w:szCs w:val="20"/>
          <w:color w:val="auto"/>
        </w:rPr>
      </w:pPr>
    </w:p>
    <w:p>
      <w:pPr>
        <w:ind w:left="1240" w:right="420"/>
        <w:spacing w:after="0" w:line="277" w:lineRule="auto"/>
        <w:rPr>
          <w:sz w:val="20"/>
          <w:szCs w:val="20"/>
          <w:color w:val="auto"/>
        </w:rPr>
      </w:pPr>
      <w:r>
        <w:rPr>
          <w:rFonts w:ascii="Arial" w:cs="Arial" w:eastAsia="Arial" w:hAnsi="Arial"/>
          <w:sz w:val="18"/>
          <w:szCs w:val="18"/>
          <w:color w:val="auto"/>
        </w:rPr>
        <w:t>The following table provides a reconciliation of net income (loss) to Adjusted EBITDA, which is a non-GAAP measure, for the periods indicated:</w:t>
      </w:r>
    </w:p>
    <w:p>
      <w:pPr>
        <w:spacing w:after="0" w:line="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8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gridSpan w:val="10"/>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w w:val="82"/>
              </w:rPr>
              <w:t>(In thousands)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(4,286)</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income</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4,536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12,668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4"/>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c>
          <w:tcPr>
            <w:tcW w:w="520" w:type="dxa"/>
            <w:vAlign w:val="bottom"/>
            <w:gridSpan w:val="3"/>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9,074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7,309</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14,568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720" w:right="240" w:hanging="295"/>
        <w:spacing w:after="0" w:line="264" w:lineRule="auto"/>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which are included elsewhere in this prospectus.</w:t>
      </w:r>
    </w:p>
    <w:p>
      <w:pPr>
        <w:spacing w:after="0" w:line="38" w:lineRule="exact"/>
        <w:rPr>
          <w:sz w:val="20"/>
          <w:szCs w:val="20"/>
          <w:color w:val="auto"/>
        </w:rPr>
      </w:pPr>
    </w:p>
    <w:p>
      <w:pPr>
        <w:ind w:left="1720" w:right="20" w:hanging="305"/>
        <w:spacing w:after="0" w:line="255"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Reflects management fees and expenses of $0.1 million, $0.3 million, and $0.3 million for the years ended December 31, 2005, 2006, and 2007, respectively, and $0.2 million and $0.3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40" w:lineRule="exact"/>
        <w:rPr>
          <w:rFonts w:ascii="Arial" w:cs="Arial" w:eastAsia="Arial" w:hAnsi="Arial"/>
          <w:sz w:val="18"/>
          <w:szCs w:val="18"/>
          <w:color w:val="auto"/>
        </w:rPr>
      </w:pPr>
    </w:p>
    <w:p>
      <w:pPr>
        <w:ind w:left="1240" w:hanging="311"/>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 description of the offering and pro forma adjustments, see “Capitalization.”</w:t>
      </w:r>
    </w:p>
    <w:p>
      <w:pPr>
        <w:sectPr>
          <w:pgSz w:w="11900" w:h="16838" w:orient="portrait"/>
          <w:cols w:equalWidth="0" w:num="1">
            <w:col w:w="10740"/>
          </w:cols>
          <w:pgMar w:left="240" w:top="41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Industry</w:t>
      </w:r>
    </w:p>
    <w:p>
      <w:pPr>
        <w:spacing w:after="0" w:line="108" w:lineRule="exact"/>
        <w:rPr>
          <w:sz w:val="20"/>
          <w:szCs w:val="20"/>
          <w:color w:val="auto"/>
        </w:rPr>
      </w:pPr>
    </w:p>
    <w:p>
      <w:pPr>
        <w:ind w:left="900" w:right="700"/>
        <w:spacing w:after="0" w:line="308" w:lineRule="auto"/>
        <w:rPr>
          <w:sz w:val="20"/>
          <w:szCs w:val="20"/>
          <w:color w:val="auto"/>
        </w:rPr>
      </w:pPr>
      <w:r>
        <w:rPr>
          <w:rFonts w:ascii="Arial" w:cs="Arial" w:eastAsia="Arial" w:hAnsi="Arial"/>
          <w:sz w:val="17"/>
          <w:szCs w:val="17"/>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For our fiscal years ended December 31, 2006 and 2007, we derived cash receipts equal to approximately 67.9% and 70.2%,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4"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39" w:lineRule="exact"/>
        <w:rPr>
          <w:sz w:val="20"/>
          <w:szCs w:val="20"/>
          <w:color w:val="auto"/>
        </w:rPr>
      </w:pPr>
    </w:p>
    <w:p>
      <w:pPr>
        <w:ind w:left="900" w:right="2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46"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6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most recent recertification, which was issued on a provisional basis in May 2005 after an extended review by the Department of Education following the change in control that occurred in February 2004,</w:t>
      </w: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color w:val="auto"/>
        </w:rPr>
        <w:t xml:space="preserve">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337" w:lineRule="exact"/>
        <w:rPr>
          <w:sz w:val="20"/>
          <w:szCs w:val="20"/>
          <w:color w:val="auto"/>
        </w:rPr>
      </w:pPr>
    </w:p>
    <w:p>
      <w:pPr>
        <w:ind w:left="900" w:right="300"/>
        <w:spacing w:after="0" w:line="357" w:lineRule="auto"/>
        <w:rPr>
          <w:sz w:val="20"/>
          <w:szCs w:val="20"/>
          <w:color w:val="auto"/>
        </w:rPr>
      </w:pPr>
      <w:r>
        <w:rPr>
          <w:rFonts w:ascii="Arial" w:cs="Arial" w:eastAsia="Arial" w:hAnsi="Arial"/>
          <w:sz w:val="15"/>
          <w:szCs w:val="15"/>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ind w:left="700" w:right="60" w:firstLine="397"/>
        <w:spacing w:after="0" w:line="269" w:lineRule="auto"/>
        <w:rPr>
          <w:sz w:val="20"/>
          <w:szCs w:val="20"/>
          <w:color w:val="auto"/>
        </w:rPr>
      </w:pPr>
      <w:r>
        <w:rPr>
          <w:rFonts w:ascii="Arial" w:cs="Arial" w:eastAsia="Arial" w:hAnsi="Arial"/>
          <w:sz w:val="17"/>
          <w:szCs w:val="17"/>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61" w:lineRule="exact"/>
        <w:rPr>
          <w:sz w:val="20"/>
          <w:szCs w:val="20"/>
          <w:color w:val="auto"/>
        </w:rPr>
      </w:pPr>
    </w:p>
    <w:p>
      <w:pPr>
        <w:ind w:left="700" w:right="540" w:firstLine="397"/>
        <w:spacing w:after="0" w:line="264" w:lineRule="auto"/>
        <w:rPr>
          <w:sz w:val="20"/>
          <w:szCs w:val="20"/>
          <w:color w:val="auto"/>
        </w:rPr>
      </w:pPr>
      <w:r>
        <w:rPr>
          <w:rFonts w:ascii="Arial" w:cs="Arial" w:eastAsia="Arial" w:hAnsi="Arial"/>
          <w:sz w:val="18"/>
          <w:szCs w:val="18"/>
          <w:color w:val="auto"/>
        </w:rPr>
        <w:t>We are currently reviewing documents and emails that may be responsive to the Office of Inspector General’s subpoena. The outcome of the Office of Inspector General investigation may depend in part on information contained in these materials or any information or testimony that may be provided by former employees or other third parties.</w:t>
      </w:r>
    </w:p>
    <w:p>
      <w:pPr>
        <w:spacing w:after="0" w:line="46" w:lineRule="exact"/>
        <w:rPr>
          <w:sz w:val="20"/>
          <w:szCs w:val="20"/>
          <w:color w:val="auto"/>
        </w:rPr>
      </w:pPr>
    </w:p>
    <w:p>
      <w:pPr>
        <w:ind w:left="700" w:right="200" w:firstLine="397"/>
        <w:spacing w:after="0" w:line="272" w:lineRule="auto"/>
        <w:rPr>
          <w:sz w:val="20"/>
          <w:szCs w:val="20"/>
          <w:color w:val="auto"/>
        </w:rPr>
      </w:pPr>
      <w:r>
        <w:rPr>
          <w:rFonts w:ascii="Arial" w:cs="Arial" w:eastAsia="Arial" w:hAnsi="Arial"/>
          <w:sz w:val="17"/>
          <w:szCs w:val="17"/>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 We are cooperating with the Office of Inspector General to facilitate its investigation, but</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cannot presently predict the ultimate outcome of the investigation or any liability or other sanctions that might result.</w:t>
      </w:r>
    </w:p>
    <w:p>
      <w:pPr>
        <w:spacing w:after="0" w:line="171" w:lineRule="exact"/>
        <w:rPr>
          <w:sz w:val="20"/>
          <w:szCs w:val="20"/>
          <w:color w:val="auto"/>
        </w:rPr>
      </w:pPr>
    </w:p>
    <w:p>
      <w:pPr>
        <w:ind w:left="900"/>
        <w:spacing w:after="0" w:line="264" w:lineRule="auto"/>
        <w:rPr>
          <w:sz w:val="20"/>
          <w:szCs w:val="20"/>
          <w:color w:val="auto"/>
        </w:rPr>
      </w:pPr>
      <w:r>
        <w:rPr>
          <w:rFonts w:ascii="Arial" w:cs="Arial" w:eastAsia="Arial" w:hAnsi="Arial"/>
          <w:sz w:val="18"/>
          <w:szCs w:val="18"/>
          <w:b w:val="1"/>
          <w:bCs w:val="1"/>
          <w:i w:val="1"/>
          <w:iCs w:val="1"/>
          <w:color w:val="auto"/>
        </w:rPr>
        <w:t>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46"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w:t>
      </w:r>
    </w:p>
    <w:p>
      <w:pPr>
        <w:spacing w:after="0" w:line="4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 decision not to intervene at this time.</w:t>
      </w:r>
    </w:p>
    <w:p>
      <w:pPr>
        <w:spacing w:after="0" w:line="4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 xml:space="preserve">If it were determined that any of our compensation practices violated the incentive compensation law, we could experience an adverse outcome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or any liability that might result.</w:t>
      </w:r>
    </w:p>
    <w:p>
      <w:pPr>
        <w:spacing w:after="0" w:line="117"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Congress may change the eligibility standards or reduce funding for the Title IV programs, which could reduce our student population, revenue, and profit margin.</w:t>
      </w:r>
    </w:p>
    <w:p>
      <w:pPr>
        <w:spacing w:after="0" w:line="35"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Congressional action could also require us to modify our practices in ways that could increase our administrative and regulatory costs.</w:t>
      </w:r>
    </w:p>
    <w:p>
      <w:pPr>
        <w:spacing w:after="0" w:line="194" w:lineRule="exact"/>
        <w:rPr>
          <w:sz w:val="20"/>
          <w:szCs w:val="20"/>
          <w:color w:val="auto"/>
        </w:rPr>
      </w:pPr>
    </w:p>
    <w:p>
      <w:pPr>
        <w:jc w:val="both"/>
        <w:ind w:left="900" w:right="280"/>
        <w:spacing w:after="0" w:line="264" w:lineRule="auto"/>
        <w:rPr>
          <w:sz w:val="20"/>
          <w:szCs w:val="20"/>
          <w:color w:val="auto"/>
        </w:rPr>
      </w:pPr>
      <w:r>
        <w:rPr>
          <w:rFonts w:ascii="Arial" w:cs="Arial" w:eastAsia="Arial" w:hAnsi="Arial"/>
          <w:sz w:val="18"/>
          <w:szCs w:val="18"/>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46"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16" w:lineRule="exact"/>
        <w:rPr>
          <w:sz w:val="20"/>
          <w:szCs w:val="20"/>
          <w:color w:val="auto"/>
        </w:rPr>
      </w:pPr>
    </w:p>
    <w:p>
      <w:pPr>
        <w:ind w:left="900" w:right="40"/>
        <w:spacing w:after="0" w:line="264" w:lineRule="auto"/>
        <w:rPr>
          <w:sz w:val="20"/>
          <w:szCs w:val="20"/>
          <w:color w:val="auto"/>
        </w:rPr>
      </w:pPr>
      <w:r>
        <w:rPr>
          <w:rFonts w:ascii="Arial" w:cs="Arial" w:eastAsia="Arial" w:hAnsi="Arial"/>
          <w:sz w:val="18"/>
          <w:szCs w:val="18"/>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46"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spacing w:after="0" w:line="308" w:lineRule="auto"/>
        <w:rPr>
          <w:sz w:val="20"/>
          <w:szCs w:val="20"/>
          <w:color w:val="auto"/>
        </w:rPr>
      </w:pPr>
      <w:r>
        <w:rPr>
          <w:rFonts w:ascii="Arial" w:cs="Arial" w:eastAsia="Arial" w:hAnsi="Arial"/>
          <w:sz w:val="17"/>
          <w:szCs w:val="17"/>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2"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If we do not maintain our state authorization in Arizona, we may not operate or participate in the Title IV programs.</w:t>
      </w:r>
    </w:p>
    <w:p>
      <w:pPr>
        <w:spacing w:after="0" w:line="142"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92" w:lineRule="exact"/>
        <w:rPr>
          <w:sz w:val="20"/>
          <w:szCs w:val="20"/>
          <w:color w:val="auto"/>
        </w:rPr>
      </w:pPr>
    </w:p>
    <w:p>
      <w:pPr>
        <w:ind w:left="900" w:right="320"/>
        <w:spacing w:after="0" w:line="264" w:lineRule="auto"/>
        <w:rPr>
          <w:sz w:val="20"/>
          <w:szCs w:val="20"/>
          <w:color w:val="auto"/>
        </w:rPr>
      </w:pPr>
      <w:r>
        <w:rPr>
          <w:rFonts w:ascii="Arial" w:cs="Arial" w:eastAsia="Arial" w:hAnsi="Arial"/>
          <w:sz w:val="18"/>
          <w:szCs w:val="18"/>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87"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cumulative impact of recent regulatory and market developments and conditions, including the widespread disruption in the credit markets,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98" w:lineRule="exact"/>
        <w:rPr>
          <w:sz w:val="20"/>
          <w:szCs w:val="20"/>
          <w:color w:val="auto"/>
        </w:rPr>
      </w:pPr>
    </w:p>
    <w:p>
      <w:pPr>
        <w:ind w:left="1700" w:right="100" w:hanging="21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authorizes the Department of Education to purchase Title IV loans from lenders, thereby providing capital to the lenders to enable them to continue making Title IV loans to students; and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220" w:hanging="211"/>
        <w:spacing w:after="0" w:line="264"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8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An increase in interest rates could adversely affect our ability to attract and retain students.</w:t>
      </w:r>
    </w:p>
    <w:p>
      <w:pPr>
        <w:spacing w:after="0" w:line="131"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For our fiscal years ended December 31, 2006 and 2007 we derived cash receipts equal to approximately 67.9% and 70.2%,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201"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76"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75"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98"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regulatory requirements or adverse changes in regulations or interpretations thereof by regulators could materially adversely affect us.</w:t>
      </w:r>
    </w:p>
    <w:p>
      <w:pPr>
        <w:spacing w:after="0" w:line="262" w:lineRule="exact"/>
        <w:rPr>
          <w:sz w:val="20"/>
          <w:szCs w:val="20"/>
          <w:color w:val="auto"/>
        </w:rPr>
      </w:pPr>
    </w:p>
    <w:p>
      <w:pPr>
        <w:ind w:left="900" w:right="540"/>
        <w:spacing w:after="0" w:line="342"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29" w:lineRule="exact"/>
        <w:rPr>
          <w:sz w:val="20"/>
          <w:szCs w:val="20"/>
          <w:color w:val="auto"/>
        </w:rPr>
      </w:pPr>
    </w:p>
    <w:p>
      <w:pPr>
        <w:ind w:left="700" w:right="180" w:firstLine="397"/>
        <w:spacing w:after="0" w:line="290"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80" w:lineRule="exact"/>
        <w:rPr>
          <w:sz w:val="20"/>
          <w:szCs w:val="20"/>
          <w:color w:val="auto"/>
        </w:rPr>
      </w:pPr>
    </w:p>
    <w:p>
      <w:pPr>
        <w:ind w:left="900" w:right="160"/>
        <w:spacing w:after="0" w:line="302" w:lineRule="auto"/>
        <w:rPr>
          <w:sz w:val="20"/>
          <w:szCs w:val="20"/>
          <w:color w:val="auto"/>
        </w:rPr>
      </w:pPr>
      <w:r>
        <w:rPr>
          <w:rFonts w:ascii="Arial" w:cs="Arial" w:eastAsia="Arial" w:hAnsi="Arial"/>
          <w:sz w:val="16"/>
          <w:szCs w:val="16"/>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6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w:t>
      </w:r>
    </w:p>
    <w:p>
      <w:pPr>
        <w:spacing w:after="0" w:line="8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spacing w:after="0" w:line="340" w:lineRule="auto"/>
        <w:rPr>
          <w:sz w:val="20"/>
          <w:szCs w:val="20"/>
          <w:color w:val="auto"/>
        </w:rPr>
      </w:pPr>
      <w:r>
        <w:rPr>
          <w:rFonts w:ascii="Arial" w:cs="Arial" w:eastAsia="Arial" w:hAnsi="Arial"/>
          <w:sz w:val="15"/>
          <w:szCs w:val="15"/>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37"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 xml:space="preserve">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We were recently notified that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86" w:lineRule="exact"/>
        <w:rPr>
          <w:sz w:val="20"/>
          <w:szCs w:val="20"/>
          <w:color w:val="auto"/>
        </w:rPr>
      </w:pPr>
    </w:p>
    <w:p>
      <w:pPr>
        <w:ind w:left="900" w:right="200"/>
        <w:spacing w:after="0" w:line="381" w:lineRule="auto"/>
        <w:rPr>
          <w:sz w:val="20"/>
          <w:szCs w:val="20"/>
          <w:color w:val="auto"/>
        </w:rPr>
      </w:pPr>
      <w:r>
        <w:rPr>
          <w:rFonts w:ascii="Arial" w:cs="Arial" w:eastAsia="Arial" w:hAnsi="Arial"/>
          <w:sz w:val="15"/>
          <w:szCs w:val="15"/>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6"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According to a September 2008 report from the NCES, enrollment in degree-granting, postsecondary institutions is projected to grow 12.0% over the ten-year period ending fall 2016 to approximately 19.9 million. This growth is slower than the 23.6% increase reported in the prior ten-year period ended in fall 2006, when enrollment increased from 14.4 million in 1996 to 17.8 million in 2006.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193" w:lineRule="exact"/>
        <w:rPr>
          <w:sz w:val="20"/>
          <w:szCs w:val="20"/>
          <w:color w:val="auto"/>
        </w:rPr>
      </w:pPr>
    </w:p>
    <w:p>
      <w:pPr>
        <w:ind w:left="900" w:right="320"/>
        <w:spacing w:after="0" w:line="277" w:lineRule="auto"/>
        <w:rPr>
          <w:sz w:val="20"/>
          <w:szCs w:val="20"/>
          <w:color w:val="auto"/>
        </w:rPr>
      </w:pPr>
      <w:r>
        <w:rPr>
          <w:rFonts w:ascii="Arial" w:cs="Arial" w:eastAsia="Arial" w:hAnsi="Arial"/>
          <w:sz w:val="18"/>
          <w:szCs w:val="18"/>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76"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During the fiscal year ended December 31, 2007, private loans to students at our school represented approximately 5.1% of our revenue (calculated on a cash basis) as compared to 2.5% of revenue in fiscal 2006 and 1.9%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92" w:lineRule="exact"/>
        <w:rPr>
          <w:sz w:val="20"/>
          <w:szCs w:val="20"/>
          <w:color w:val="auto"/>
        </w:rPr>
      </w:pPr>
    </w:p>
    <w:p>
      <w:pPr>
        <w:ind w:left="900" w:right="120"/>
        <w:spacing w:after="0" w:line="381" w:lineRule="auto"/>
        <w:rPr>
          <w:sz w:val="20"/>
          <w:szCs w:val="20"/>
          <w:color w:val="auto"/>
        </w:rPr>
      </w:pPr>
      <w:r>
        <w:rPr>
          <w:rFonts w:ascii="Arial" w:cs="Arial" w:eastAsia="Arial" w:hAnsi="Arial"/>
          <w:sz w:val="15"/>
          <w:szCs w:val="15"/>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6"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92"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8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We also notified other accrediting commissions and state agencies, as we believed necessary, of this offering and the reasons why we believe this offering will not constitute a change in control under their</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respective standards, or to determine what is required if any such commission or agency does consider the offering to constitute a change in control.</w:t>
      </w:r>
    </w:p>
    <w:p>
      <w:pPr>
        <w:spacing w:after="0" w:line="184"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76"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74"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by current or former employees alleging violations of this prohibition. See “Risk Factors — We were recently notified that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determines as a result of the pending investigation that we have violated this law, if we are found to be liable in the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the actions of other postsecondary educational institutions.</w:t>
      </w:r>
    </w:p>
    <w:p>
      <w:pPr>
        <w:spacing w:after="0" w:line="15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b w:val="1"/>
          <w:bCs w:val="1"/>
          <w:i w:val="1"/>
          <w:iCs w:val="1"/>
          <w:color w:val="auto"/>
        </w:rPr>
        <w:t>If the percentage of our revenue that is derived from the Title IV programs is too high, we may lose our eligibility to participate in those programs.</w:t>
      </w:r>
    </w:p>
    <w:p>
      <w:pPr>
        <w:spacing w:after="0" w:line="76"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for this test, we have calculated that, for our 2006 and 2007 fiscal years, we derived approximately 71.5% and 74.0%,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Economic downturns that adversely affect our students’ employment circumstances could also increase their reliance on Title IV programs. These developments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131"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85" w:lineRule="exact"/>
        <w:rPr>
          <w:sz w:val="20"/>
          <w:szCs w:val="20"/>
          <w:color w:val="auto"/>
        </w:rPr>
      </w:pPr>
    </w:p>
    <w:p>
      <w:pPr>
        <w:ind w:left="900" w:right="32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76"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spacing w:after="0" w:line="286"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7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success depends, in part, on the effectiveness of our marketing and advertising programs in recruiting new students.</w:t>
      </w:r>
    </w:p>
    <w:p>
      <w:pPr>
        <w:spacing w:after="0" w:line="15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92" w:lineRule="exact"/>
        <w:rPr>
          <w:sz w:val="20"/>
          <w:szCs w:val="20"/>
          <w:color w:val="auto"/>
        </w:rPr>
      </w:pPr>
    </w:p>
    <w:p>
      <w:pPr>
        <w:ind w:left="1700" w:right="22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17" w:lineRule="exact"/>
        <w:rPr>
          <w:rFonts w:ascii="Arial" w:cs="Arial" w:eastAsia="Arial" w:hAnsi="Arial"/>
          <w:sz w:val="18"/>
          <w:szCs w:val="18"/>
          <w:color w:val="auto"/>
        </w:rPr>
      </w:pPr>
    </w:p>
    <w:p>
      <w:pPr>
        <w:ind w:left="1700" w:right="38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17" w:lineRule="exact"/>
        <w:rPr>
          <w:rFonts w:ascii="Arial" w:cs="Arial" w:eastAsia="Arial" w:hAnsi="Arial"/>
          <w:sz w:val="18"/>
          <w:szCs w:val="18"/>
          <w:color w:val="auto"/>
        </w:rPr>
      </w:pPr>
    </w:p>
    <w:p>
      <w:pPr>
        <w:ind w:left="1700" w:right="78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62" w:lineRule="exact"/>
        <w:rPr>
          <w:rFonts w:ascii="Arial" w:cs="Arial" w:eastAsia="Arial" w:hAnsi="Arial"/>
          <w:sz w:val="18"/>
          <w:szCs w:val="18"/>
          <w:color w:val="auto"/>
        </w:rPr>
      </w:pPr>
    </w:p>
    <w:p>
      <w:pPr>
        <w:ind w:left="1700" w:right="86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the ways schools can compensate their recruitment personnel;</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that may be imposed on graduates of online programs that seek certification or licensure in certain states;</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regarding us, our competitors, or online or for-profit education generally;</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131"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76"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91" w:lineRule="exact"/>
        <w:rPr>
          <w:sz w:val="20"/>
          <w:szCs w:val="20"/>
          <w:color w:val="auto"/>
        </w:rPr>
      </w:pPr>
    </w:p>
    <w:p>
      <w:pPr>
        <w:ind w:left="900" w:right="2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and the requirements of being a public company may divert management attention from our business.</w:t>
      </w:r>
    </w:p>
    <w:p>
      <w:pPr>
        <w:spacing w:after="0" w:line="76"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78"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92"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7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are currently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302" w:lineRule="auto"/>
        <w:rPr>
          <w:sz w:val="20"/>
          <w:szCs w:val="20"/>
          <w:color w:val="auto"/>
        </w:rPr>
      </w:pPr>
      <w:r>
        <w:rPr>
          <w:rFonts w:ascii="Arial" w:cs="Arial" w:eastAsia="Arial" w:hAnsi="Arial"/>
          <w:sz w:val="16"/>
          <w:szCs w:val="16"/>
          <w:color w:val="auto"/>
        </w:rPr>
        <w:t>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131"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193"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could have a material adverse effect on our ability to attract and retain students.</w:t>
      </w:r>
    </w:p>
    <w:p>
      <w:pPr>
        <w:spacing w:after="0" w:line="76"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86" w:lineRule="exact"/>
        <w:rPr>
          <w:sz w:val="20"/>
          <w:szCs w:val="20"/>
          <w:color w:val="auto"/>
        </w:rPr>
      </w:pPr>
    </w:p>
    <w:p>
      <w:pPr>
        <w:ind w:left="900" w:right="680"/>
        <w:spacing w:after="0" w:line="342" w:lineRule="auto"/>
        <w:rPr>
          <w:sz w:val="20"/>
          <w:szCs w:val="20"/>
          <w:color w:val="auto"/>
        </w:rPr>
      </w:pPr>
      <w:r>
        <w:rPr>
          <w:rFonts w:ascii="Arial" w:cs="Arial" w:eastAsia="Arial" w:hAnsi="Arial"/>
          <w:sz w:val="16"/>
          <w:szCs w:val="16"/>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29"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September 30, 2008, we offered 79 fully online programs, 17 of which we introduced in 2007, 12 of which we introduced in the first nine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9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83"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131"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If we do not maintain existing, and develop additional, relationships with employers, our future growth may be impaired.</w:t>
      </w:r>
    </w:p>
    <w:p>
      <w:pPr>
        <w:spacing w:after="0" w:line="142"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as a result of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31"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91" w:lineRule="exact"/>
        <w:rPr>
          <w:sz w:val="20"/>
          <w:szCs w:val="20"/>
          <w:color w:val="auto"/>
        </w:rPr>
      </w:pPr>
    </w:p>
    <w:p>
      <w:pPr>
        <w:ind w:left="900" w:right="80"/>
        <w:spacing w:after="0" w:line="264" w:lineRule="auto"/>
        <w:rPr>
          <w:sz w:val="20"/>
          <w:szCs w:val="20"/>
          <w:color w:val="auto"/>
        </w:rPr>
      </w:pPr>
      <w:r>
        <w:rPr>
          <w:rFonts w:ascii="Arial" w:cs="Arial" w:eastAsia="Arial" w:hAnsi="Arial"/>
          <w:sz w:val="18"/>
          <w:szCs w:val="18"/>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8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7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9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spacing w:after="0" w:line="381" w:lineRule="auto"/>
        <w:rPr>
          <w:sz w:val="20"/>
          <w:szCs w:val="20"/>
          <w:color w:val="auto"/>
        </w:rPr>
      </w:pPr>
      <w:r>
        <w:rPr>
          <w:rFonts w:ascii="Arial" w:cs="Arial" w:eastAsia="Arial" w:hAnsi="Arial"/>
          <w:sz w:val="15"/>
          <w:szCs w:val="15"/>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0"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7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82"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with rapid technological change, and we may not have the resources needed to compete successfully.</w:t>
      </w:r>
    </w:p>
    <w:p>
      <w:pPr>
        <w:spacing w:after="0" w:line="76"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At present we derive a significant portion of our revenues and operating income from our graduate programs.</w:t>
      </w:r>
    </w:p>
    <w:p>
      <w:pPr>
        <w:spacing w:after="0" w:line="131"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As of September 30, 2008, approximately 56%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incur liability for the unauthorized duplication or distribution of class materials posted online for class discussions.</w:t>
      </w:r>
    </w:p>
    <w:p>
      <w:pPr>
        <w:spacing w:after="0" w:line="154"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72" w:lineRule="exact"/>
        <w:rPr>
          <w:sz w:val="20"/>
          <w:szCs w:val="20"/>
          <w:color w:val="auto"/>
        </w:rPr>
      </w:pPr>
    </w:p>
    <w:p>
      <w:pPr>
        <w:ind w:left="900" w:right="380"/>
        <w:spacing w:after="0" w:line="286" w:lineRule="auto"/>
        <w:rPr>
          <w:sz w:val="20"/>
          <w:szCs w:val="20"/>
          <w:color w:val="auto"/>
        </w:rPr>
      </w:pPr>
      <w:r>
        <w:rPr>
          <w:rFonts w:ascii="Arial" w:cs="Arial" w:eastAsia="Arial" w:hAnsi="Arial"/>
          <w:sz w:val="17"/>
          <w:szCs w:val="17"/>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71"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Seasonal and other fluctuations in our results of operations could adversely affect the trading price of our common stock.</w:t>
      </w:r>
    </w:p>
    <w:p>
      <w:pPr>
        <w:spacing w:after="0" w:line="15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206" w:lineRule="exact"/>
        <w:rPr>
          <w:sz w:val="20"/>
          <w:szCs w:val="20"/>
          <w:color w:val="auto"/>
        </w:rPr>
      </w:pPr>
    </w:p>
    <w:p>
      <w:pPr>
        <w:ind w:left="900" w:right="180"/>
        <w:spacing w:after="0" w:line="264" w:lineRule="auto"/>
        <w:rPr>
          <w:sz w:val="20"/>
          <w:szCs w:val="20"/>
          <w:color w:val="auto"/>
        </w:rPr>
      </w:pPr>
      <w:r>
        <w:rPr>
          <w:rFonts w:ascii="Arial" w:cs="Arial" w:eastAsia="Arial" w:hAnsi="Arial"/>
          <w:sz w:val="18"/>
          <w:szCs w:val="18"/>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87"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b w:val="1"/>
          <w:bCs w:val="1"/>
          <w:i w:val="1"/>
          <w:iCs w:val="1"/>
          <w:color w:val="auto"/>
        </w:rPr>
        <w:t>Our current success and future growth depend on the continued acceptance of the Internet and the corresponding growth in users seeking educational services on the Internet.</w:t>
      </w:r>
    </w:p>
    <w:p>
      <w:pPr>
        <w:spacing w:after="0" w:line="7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76" w:lineRule="exact"/>
        <w:rPr>
          <w:sz w:val="20"/>
          <w:szCs w:val="20"/>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131"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If Internet use decreases, or if the number of Internet users seeking educational services on the Internet does not increase, our business may not grow as planned.</w:t>
      </w:r>
    </w:p>
    <w:p>
      <w:pPr>
        <w:spacing w:after="0" w:line="184" w:lineRule="exact"/>
        <w:rPr>
          <w:sz w:val="20"/>
          <w:szCs w:val="20"/>
          <w:color w:val="auto"/>
        </w:rPr>
      </w:pPr>
    </w:p>
    <w:p>
      <w:pPr>
        <w:ind w:left="900" w:right="180"/>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203"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A reclassification of our online faculty by federal or state authorities from independent contractor to employee status could materially increase our costs.</w:t>
      </w:r>
    </w:p>
    <w:p>
      <w:pPr>
        <w:spacing w:after="0" w:line="7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A majority of our faculty at September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incur significant costs complying with the Americans with Disabilities Act and similar laws.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compliance with the ADA, FHAA, or other legislation. If we incur substantial costs to comply with the ADA, FHAA, or any other legislation, we could be materially and adversely affected.</w:t>
      </w:r>
    </w:p>
    <w:p>
      <w:pPr>
        <w:spacing w:after="0" w:line="184"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Our failure to comply with environmental laws and regulations governing our activities could result in financial penalties and other costs.</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78" w:lineRule="exact"/>
        <w:rPr>
          <w:sz w:val="20"/>
          <w:szCs w:val="20"/>
          <w:color w:val="auto"/>
        </w:rPr>
      </w:pPr>
    </w:p>
    <w:p>
      <w:pPr>
        <w:ind w:left="900" w:right="500"/>
        <w:spacing w:after="0" w:line="277" w:lineRule="auto"/>
        <w:rPr>
          <w:sz w:val="20"/>
          <w:szCs w:val="20"/>
          <w:color w:val="auto"/>
        </w:rPr>
      </w:pPr>
      <w:r>
        <w:rPr>
          <w:rFonts w:ascii="Arial" w:cs="Arial" w:eastAsia="Arial" w:hAnsi="Arial"/>
          <w:sz w:val="18"/>
          <w:szCs w:val="18"/>
          <w:b w:val="1"/>
          <w:bCs w:val="1"/>
          <w:i w:val="1"/>
          <w:iCs w:val="1"/>
          <w:color w:val="auto"/>
        </w:rPr>
        <w:t>If we expand in the future into new markets outside the United States, we would be subject to risks inherent in non-domestic operations.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failure to obtain additional capital in the future could adversely affect our ability to grow.</w:t>
      </w:r>
    </w:p>
    <w:p>
      <w:pPr>
        <w:spacing w:after="0" w:line="13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131"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76" w:lineRule="exact"/>
        <w:rPr>
          <w:sz w:val="20"/>
          <w:szCs w:val="20"/>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policies, and procedures;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 during the integration process;</w:t>
      </w:r>
    </w:p>
    <w:p>
      <w:pPr>
        <w:spacing w:after="0" w:line="117" w:lineRule="exact"/>
        <w:rPr>
          <w:rFonts w:ascii="Arial" w:cs="Arial" w:eastAsia="Arial" w:hAnsi="Arial"/>
          <w:sz w:val="18"/>
          <w:szCs w:val="18"/>
          <w:color w:val="auto"/>
        </w:rPr>
      </w:pPr>
    </w:p>
    <w:p>
      <w:pPr>
        <w:jc w:val="both"/>
        <w:ind w:left="1700" w:right="620" w:hanging="211"/>
        <w:spacing w:after="0" w:line="264"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73" w:lineRule="exact"/>
        <w:rPr>
          <w:rFonts w:ascii="Arial" w:cs="Arial" w:eastAsia="Arial" w:hAnsi="Arial"/>
          <w:sz w:val="18"/>
          <w:szCs w:val="18"/>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associated with the integration efforts;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unidentified issues not discovered in our due diligence process, including legal contingencies.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we complete one or more acquisitions and are unable to integrate acquired operations successfully, our business could suffer.</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Offering</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There is no existing market for our common stock, and we do not know if one will develop to provide you with adequate liquidity.</w:t>
      </w:r>
    </w:p>
    <w:p>
      <w:pPr>
        <w:spacing w:after="0" w:line="16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 and you could lose all or part of your investment.</w:t>
      </w:r>
    </w:p>
    <w:p>
      <w:pPr>
        <w:spacing w:after="0" w:line="131"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7"/>
          <w:szCs w:val="17"/>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52" w:lineRule="exact"/>
        <w:rPr>
          <w:sz w:val="20"/>
          <w:szCs w:val="20"/>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63" w:lineRule="exact"/>
        <w:rPr>
          <w:rFonts w:ascii="Arial" w:cs="Arial" w:eastAsia="Arial" w:hAnsi="Arial"/>
          <w:sz w:val="18"/>
          <w:szCs w:val="18"/>
          <w:color w:val="auto"/>
        </w:rPr>
      </w:pPr>
    </w:p>
    <w:p>
      <w:pPr>
        <w:ind w:left="1700" w:right="80" w:hanging="21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laws or regulations applicable to our business;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63" w:lineRule="exact"/>
        <w:rPr>
          <w:rFonts w:ascii="Arial" w:cs="Arial" w:eastAsia="Arial" w:hAnsi="Arial"/>
          <w:sz w:val="18"/>
          <w:szCs w:val="18"/>
          <w:color w:val="auto"/>
        </w:rPr>
      </w:pPr>
    </w:p>
    <w:p>
      <w:pPr>
        <w:ind w:left="1700" w:right="260" w:hanging="21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63" w:lineRule="exact"/>
        <w:rPr>
          <w:rFonts w:ascii="Arial" w:cs="Arial" w:eastAsia="Arial" w:hAnsi="Arial"/>
          <w:sz w:val="18"/>
          <w:szCs w:val="18"/>
          <w:color w:val="auto"/>
        </w:rPr>
      </w:pPr>
    </w:p>
    <w:p>
      <w:pPr>
        <w:ind w:left="1700" w:right="140" w:hanging="211"/>
        <w:spacing w:after="0" w:line="259"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w:t>
      </w:r>
    </w:p>
    <w:p>
      <w:pPr>
        <w:spacing w:after="0" w:line="24"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131"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202" w:lineRule="exact"/>
        <w:rPr>
          <w:sz w:val="20"/>
          <w:szCs w:val="20"/>
          <w:color w:val="auto"/>
        </w:rPr>
      </w:pPr>
    </w:p>
    <w:p>
      <w:pPr>
        <w:ind w:left="900" w:right="40"/>
        <w:spacing w:after="0" w:line="340" w:lineRule="auto"/>
        <w:rPr>
          <w:sz w:val="20"/>
          <w:szCs w:val="20"/>
          <w:color w:val="auto"/>
        </w:rPr>
      </w:pPr>
      <w:r>
        <w:rPr>
          <w:rFonts w:ascii="Arial" w:cs="Arial" w:eastAsia="Arial" w:hAnsi="Arial"/>
          <w:sz w:val="15"/>
          <w:szCs w:val="15"/>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37"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Our directors, executive officers, and principal existing stockholders will beneficially own approximately 31,472,839 shares, or 71.8%, of our common stock upon the completion of this offering. Our directors and executive officers will beneficially own in the aggregate approximately 29,637,709 shares, or 67.6%, of our common stock after the offering. In addition, pursuant to a voting agreement entered into among Brent Richardson, Chris Richardson, and certain of our existing stockholders, the Richardsons will have voting control over approximately 44.5%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 including investors in this offering.</w:t>
      </w:r>
    </w:p>
    <w:p>
      <w:pPr>
        <w:spacing w:after="0" w:line="200" w:lineRule="exact"/>
        <w:rPr>
          <w:sz w:val="20"/>
          <w:szCs w:val="20"/>
          <w:color w:val="auto"/>
        </w:rPr>
      </w:pPr>
    </w:p>
    <w:p>
      <w:pPr>
        <w:ind w:left="900" w:right="48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207" w:lineRule="exact"/>
        <w:rPr>
          <w:sz w:val="20"/>
          <w:szCs w:val="20"/>
          <w:color w:val="auto"/>
        </w:rPr>
      </w:pPr>
    </w:p>
    <w:p>
      <w:pPr>
        <w:ind w:left="900" w:right="300"/>
        <w:spacing w:after="0" w:line="277" w:lineRule="auto"/>
        <w:rPr>
          <w:sz w:val="20"/>
          <w:szCs w:val="20"/>
          <w:color w:val="auto"/>
        </w:rPr>
      </w:pPr>
      <w:r>
        <w:rPr>
          <w:rFonts w:ascii="Arial" w:cs="Arial" w:eastAsia="Arial" w:hAnsi="Arial"/>
          <w:sz w:val="18"/>
          <w:szCs w:val="18"/>
          <w:b w:val="1"/>
          <w:bCs w:val="1"/>
          <w:i w:val="1"/>
          <w:iCs w:val="1"/>
          <w:color w:val="auto"/>
        </w:rPr>
        <w:t>The sale of a substantial number of shares of our common stock after this offering may cause the market price of shares of our common stock to decline.</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 approximately 33,231,509 additional shares of common stock may be eligible for sale in the public market without restriction, and up to approximately 27,529,065 shares of common stock held by affiliates may become eligible for sale, subject to the restrictions under Rule 144 of the Securities Act of 1933, as amended, or the Securities Act.</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will incur immediate and substantial dilution in the net tangible book value of your shares.</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 the issuance and sale of 10,500,000 shares of our common stock by us in this offering at the initial public offering price of $12.00 per share, you will incur immediate dilution of $11.10 in the net tangible book value per share. If the underwriters exercise their over-allotment option, or if outstanding options to purchase our common stock are exercised, investors will experience additional dilution. For more information, see “Dilution.”</w:t>
      </w:r>
    </w:p>
    <w:p>
      <w:pPr>
        <w:spacing w:after="0" w:line="203"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76"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203"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207" w:lineRule="exact"/>
        <w:rPr>
          <w:sz w:val="20"/>
          <w:szCs w:val="20"/>
          <w:color w:val="auto"/>
        </w:rPr>
      </w:pPr>
    </w:p>
    <w:p>
      <w:pPr>
        <w:ind w:left="900" w:right="62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applying the net proceeds of this offering and may not use those proceeds in ways that will enhance the market value of our common stock.</w:t>
      </w:r>
    </w:p>
    <w:p>
      <w:pPr>
        <w:spacing w:after="0" w:line="76"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We have significant flexibility in applying the net proceeds we will receive in this offering. We will use a substantial portion of the proceeds that we receive from the sale of stock in this offering to fund the special distribution payable to our existing stockholders and will use the remainder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49"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0" w:lineRule="exact"/>
        <w:rPr>
          <w:sz w:val="20"/>
          <w:szCs w:val="20"/>
          <w:color w:val="auto"/>
        </w:rPr>
      </w:pPr>
    </w:p>
    <w:p>
      <w:pPr>
        <w:ind w:left="1700" w:right="120" w:hanging="21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3" w:lineRule="exact"/>
        <w:rPr>
          <w:rFonts w:ascii="Arial" w:cs="Arial" w:eastAsia="Arial" w:hAnsi="Arial"/>
          <w:sz w:val="18"/>
          <w:szCs w:val="18"/>
          <w:color w:val="auto"/>
        </w:rPr>
      </w:pPr>
    </w:p>
    <w:p>
      <w:pPr>
        <w:ind w:left="1700" w:hanging="21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tam </w:t>
      </w:r>
      <w:r>
        <w:rPr>
          <w:rFonts w:ascii="Arial" w:cs="Arial" w:eastAsia="Arial" w:hAnsi="Arial"/>
          <w:sz w:val="18"/>
          <w:szCs w:val="18"/>
          <w:color w:val="auto"/>
        </w:rPr>
        <w:t>action regarding the manner in which we have compensated our enrollment personnel, and possible remedial actions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liability resulting therefrom;</w:t>
      </w:r>
    </w:p>
    <w:p>
      <w:pPr>
        <w:spacing w:after="0" w:line="86"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associated with changes in applicable federal and state laws and regulations and accrediting commission standards;</w:t>
      </w:r>
    </w:p>
    <w:p>
      <w:pPr>
        <w:spacing w:after="0" w:line="140" w:lineRule="exact"/>
        <w:rPr>
          <w:rFonts w:ascii="Arial" w:cs="Arial" w:eastAsia="Arial" w:hAnsi="Arial"/>
          <w:sz w:val="16"/>
          <w:szCs w:val="16"/>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enrollment counselors;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17" w:lineRule="exact"/>
        <w:rPr>
          <w:rFonts w:ascii="Arial" w:cs="Arial" w:eastAsia="Arial" w:hAnsi="Arial"/>
          <w:sz w:val="18"/>
          <w:szCs w:val="18"/>
          <w:color w:val="auto"/>
        </w:rPr>
      </w:pPr>
    </w:p>
    <w:p>
      <w:pPr>
        <w:ind w:left="1700" w:right="180" w:hanging="21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on our part to keep up with advances in technology that could enhance the online experience for our students;</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adverse economic conditions or other developments that affect job prospects in our core disciplines; and</w:t>
      </w:r>
    </w:p>
    <w:p>
      <w:pPr>
        <w:spacing w:after="0" w:line="74" w:lineRule="exact"/>
        <w:rPr>
          <w:rFonts w:ascii="Arial" w:cs="Arial" w:eastAsia="Arial" w:hAnsi="Arial"/>
          <w:sz w:val="17"/>
          <w:szCs w:val="17"/>
          <w:color w:val="auto"/>
        </w:rPr>
      </w:pPr>
    </w:p>
    <w:p>
      <w:pPr>
        <w:ind w:left="1700" w:right="20" w:hanging="21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22"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The net proceeds from the sale of 10,500,000 shares of our common stock offered by us in this offering will be approximately $111.1 million (or approximately $128.7 million if the underwriters exercise their over-allotment option in full), based on the initial public offering price of $12.00 per share and after deducting the underwriting discounts and commissions and estimated offering expenses payable by us.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We will pay a special distribution of 75% of the gross proceeds of this offering, including any proceeds we receive from the underwriters’ exercise of their over-allotment option, that will be payable promptly upon the completion of this offering (and following the exercise of the over-allotment option, if applicable) to our stockholders of record as of November 18, 2008. We will make this distribution upon completion of the offering. See “Special Distribution” for further information.</w:t>
      </w:r>
    </w:p>
    <w:p>
      <w:pPr>
        <w:spacing w:after="0" w:line="7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We will use the remaining proceeds that we receive from this offering and from the underwriters’ exercise of their over-allotment option to pay the expenses of this offering and for general corporate purposes.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419" w:right="1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SPECIAL DISTRIBUTION</w:t>
      </w:r>
    </w:p>
    <w:p>
      <w:pPr>
        <w:spacing w:after="0" w:line="135"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November 18, 2008. Of the aggregate amount of the special distribution of $94.5 million (exclusive of any amounts that may be received from the underwriters’ exercise of the over-allotment option), based on the initial public offering price of $12.00 per share, $50.2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Date of Acquisition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Shares to Which</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Special Distribution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Relates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5% Stockholders</w:t>
            </w: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4"/>
                <w:szCs w:val="14"/>
                <w:color w:val="auto"/>
              </w:rPr>
              <w:t>Endeavour Capital Fund IV, L.P. and affiliates</w:t>
            </w:r>
            <w:r>
              <w:rPr>
                <w:rFonts w:ascii="Arial" w:cs="Arial" w:eastAsia="Arial" w:hAnsi="Arial"/>
                <w:sz w:val="23"/>
                <w:szCs w:val="23"/>
                <w:color w:val="auto"/>
                <w:vertAlign w:val="superscript"/>
              </w:rPr>
              <w:t>(3)</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A convertible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24, 2005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3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21,863</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4"/>
                <w:szCs w:val="14"/>
                <w:color w:val="auto"/>
              </w:rPr>
              <w:t>220 GCU, L.P. and affiliates</w:t>
            </w:r>
            <w:r>
              <w:rPr>
                <w:rFonts w:ascii="Arial" w:cs="Arial" w:eastAsia="Arial" w:hAnsi="Arial"/>
                <w:sz w:val="23"/>
                <w:szCs w:val="23"/>
                <w:color w:val="auto"/>
                <w:vertAlign w:val="superscript"/>
              </w:rPr>
              <w:t>(4)</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2, 2004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Series A convertible preferred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August 24, 2005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9,563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Staci L. Buse</w:t>
            </w:r>
            <w:r>
              <w:rPr>
                <w:rFonts w:ascii="Arial" w:cs="Arial" w:eastAsia="Arial" w:hAnsi="Arial"/>
                <w:sz w:val="24"/>
                <w:szCs w:val="24"/>
                <w:color w:val="auto"/>
                <w:vertAlign w:val="superscript"/>
              </w:rPr>
              <w:t>(5)</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February 2, 2004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1,443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2,377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Significant Ventures, LLC</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February 2, 2004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Directors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4"/>
                <w:szCs w:val="14"/>
                <w:color w:val="auto"/>
              </w:rPr>
              <w:t>Chad N. Heath</w:t>
            </w:r>
            <w:r>
              <w:rPr>
                <w:rFonts w:ascii="Arial" w:cs="Arial" w:eastAsia="Arial" w:hAnsi="Arial"/>
                <w:sz w:val="23"/>
                <w:szCs w:val="23"/>
                <w:color w:val="auto"/>
                <w:vertAlign w:val="superscript"/>
              </w:rPr>
              <w:t>(3)</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A convertible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24, 2005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21,863</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4"/>
                <w:szCs w:val="14"/>
                <w:color w:val="auto"/>
              </w:rPr>
              <w:t>D. Mark Dorman</w:t>
            </w:r>
            <w:r>
              <w:rPr>
                <w:rFonts w:ascii="Arial" w:cs="Arial" w:eastAsia="Arial" w:hAnsi="Arial"/>
                <w:sz w:val="23"/>
                <w:szCs w:val="23"/>
                <w:color w:val="auto"/>
                <w:vertAlign w:val="superscript"/>
              </w:rPr>
              <w:t>(3)</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A convertible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August 24, 2005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21,863</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i w:val="1"/>
                <w:iCs w:val="1"/>
                <w:color w:val="auto"/>
              </w:rPr>
              <w:t>Executive Officers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Brent D. Richardson</w:t>
            </w:r>
            <w:r>
              <w:rPr>
                <w:rFonts w:ascii="Arial" w:cs="Arial" w:eastAsia="Arial" w:hAnsi="Arial"/>
                <w:sz w:val="23"/>
                <w:szCs w:val="23"/>
                <w:color w:val="auto"/>
                <w:vertAlign w:val="superscript"/>
              </w:rPr>
              <w:t>(5)</w:t>
            </w: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February 2, 2004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1,443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2,377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John E. Crowley</w:t>
            </w:r>
            <w:r>
              <w:rPr>
                <w:rFonts w:ascii="Arial" w:cs="Arial" w:eastAsia="Arial" w:hAnsi="Arial"/>
                <w:sz w:val="24"/>
                <w:szCs w:val="24"/>
                <w:color w:val="auto"/>
                <w:vertAlign w:val="superscript"/>
              </w:rPr>
              <w:t>(6)</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February 2, 2004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Christopher C. Richardson</w:t>
            </w:r>
            <w:r>
              <w:rPr>
                <w:rFonts w:ascii="Arial" w:cs="Arial" w:eastAsia="Arial" w:hAnsi="Arial"/>
                <w:sz w:val="24"/>
                <w:szCs w:val="24"/>
                <w:color w:val="auto"/>
                <w:vertAlign w:val="superscript"/>
              </w:rPr>
              <w:t>(5)</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February 2, 2004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1,443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18, 2007</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60"/>
              <w:spacing w:after="0"/>
              <w:rPr>
                <w:sz w:val="20"/>
                <w:szCs w:val="20"/>
                <w:color w:val="auto"/>
              </w:rPr>
            </w:pPr>
            <w:r>
              <w:rPr>
                <w:rFonts w:ascii="Arial" w:cs="Arial" w:eastAsia="Arial" w:hAnsi="Arial"/>
                <w:sz w:val="16"/>
                <w:szCs w:val="16"/>
                <w:color w:val="auto"/>
              </w:rPr>
              <w:t>Total</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2,377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All directors and executive officers as a group</w:t>
            </w:r>
          </w:p>
        </w:tc>
        <w:tc>
          <w:tcPr>
            <w:tcW w:w="1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26,898</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-5565140</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right="60" w:hanging="301"/>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4" w:lineRule="exact"/>
        <w:rPr>
          <w:rFonts w:ascii="Arial" w:cs="Arial" w:eastAsia="Arial" w:hAnsi="Arial"/>
          <w:sz w:val="18"/>
          <w:szCs w:val="18"/>
          <w:color w:val="auto"/>
        </w:rPr>
      </w:pPr>
    </w:p>
    <w:p>
      <w:pPr>
        <w:ind w:left="1000" w:right="100" w:hanging="301"/>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special distribution is being paid in respect of our common stock, Series A convertible preferred stock, and Series C preferred stock, in each case on an as-converted basis. Upon the closing of this offering, the outstanding shares of the Series A convertible preferred stock will convert into 10,870,178 shares of common stock and the outstanding shares of the Series C preferred stock will convert into 2,233,333 shares of common stock.</w:t>
      </w:r>
    </w:p>
    <w:p>
      <w:pPr>
        <w:spacing w:after="0" w:line="24" w:lineRule="exact"/>
        <w:rPr>
          <w:rFonts w:ascii="Arial" w:cs="Arial" w:eastAsia="Arial" w:hAnsi="Arial"/>
          <w:sz w:val="18"/>
          <w:szCs w:val="18"/>
          <w:color w:val="auto"/>
        </w:rPr>
      </w:pPr>
    </w:p>
    <w:p>
      <w:pPr>
        <w:ind w:left="1000" w:right="40" w:hanging="301"/>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Endeavour Capital IV, LLC, the general partner for each of the Endeavour Entities, are members of our board of directors.</w:t>
      </w:r>
    </w:p>
    <w:p>
      <w:pPr>
        <w:spacing w:after="0" w:line="24" w:lineRule="exact"/>
        <w:rPr>
          <w:rFonts w:ascii="Arial" w:cs="Arial" w:eastAsia="Arial" w:hAnsi="Arial"/>
          <w:sz w:val="18"/>
          <w:szCs w:val="18"/>
          <w:color w:val="auto"/>
        </w:rPr>
      </w:pPr>
    </w:p>
    <w:p>
      <w:pPr>
        <w:ind w:left="1000" w:hanging="30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held of record by 220 GCU, L.P., 220 Education, L.P., 220-SigEd, L.P., and SV One, L.P.</w:t>
      </w:r>
    </w:p>
    <w:p>
      <w:pPr>
        <w:spacing w:after="0" w:line="63" w:lineRule="exact"/>
        <w:rPr>
          <w:rFonts w:ascii="Arial" w:cs="Arial" w:eastAsia="Arial" w:hAnsi="Arial"/>
          <w:sz w:val="18"/>
          <w:szCs w:val="18"/>
          <w:color w:val="auto"/>
        </w:rPr>
      </w:pPr>
    </w:p>
    <w:p>
      <w:pPr>
        <w:ind w:left="1000" w:right="140" w:hanging="301"/>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9" w:lineRule="exact"/>
        <w:rPr>
          <w:rFonts w:ascii="Arial" w:cs="Arial" w:eastAsia="Arial" w:hAnsi="Arial"/>
          <w:sz w:val="18"/>
          <w:szCs w:val="18"/>
          <w:color w:val="auto"/>
        </w:rPr>
      </w:pPr>
    </w:p>
    <w:p>
      <w:pPr>
        <w:ind w:left="1000" w:right="20" w:hanging="301"/>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of which John Crowley is a member, which are attributable to, and beneficially owned by, John Crowley.</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right"/>
        <w:ind w:right="416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right"/>
        <w:ind w:right="4160"/>
        <w:spacing w:after="0"/>
        <w:rPr>
          <w:sz w:val="20"/>
          <w:szCs w:val="20"/>
          <w:color w:val="auto"/>
        </w:rPr>
      </w:pPr>
      <w:r>
        <w:rPr>
          <w:rFonts w:ascii="Arial" w:cs="Arial" w:eastAsia="Arial" w:hAnsi="Arial"/>
          <w:sz w:val="18"/>
          <w:szCs w:val="18"/>
          <w:color w:val="auto"/>
        </w:rPr>
        <w:t>The following table sets forth our capitalization as of September 30, 2008:</w:t>
      </w:r>
    </w:p>
    <w:p>
      <w:pPr>
        <w:spacing w:after="0" w:line="131"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pro forma basis, giving effect to:</w:t>
      </w:r>
    </w:p>
    <w:p>
      <w:pPr>
        <w:spacing w:after="0" w:line="130" w:lineRule="exact"/>
        <w:rPr>
          <w:rFonts w:ascii="Arial" w:cs="Arial" w:eastAsia="Arial" w:hAnsi="Arial"/>
          <w:sz w:val="18"/>
          <w:szCs w:val="18"/>
          <w:color w:val="auto"/>
        </w:rPr>
      </w:pPr>
    </w:p>
    <w:p>
      <w:pPr>
        <w:ind w:left="2200" w:right="100" w:hanging="508"/>
        <w:spacing w:after="0" w:line="277" w:lineRule="auto"/>
        <w:tabs>
          <w:tab w:leader="none" w:pos="2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Series A convertible preferred stock into 10,870,178 shares of common stock upon the closing of the offering; and</w:t>
      </w:r>
    </w:p>
    <w:p>
      <w:pPr>
        <w:spacing w:after="0" w:line="75" w:lineRule="exact"/>
        <w:rPr>
          <w:rFonts w:ascii="Arial" w:cs="Arial" w:eastAsia="Arial" w:hAnsi="Arial"/>
          <w:sz w:val="18"/>
          <w:szCs w:val="18"/>
          <w:color w:val="auto"/>
        </w:rPr>
      </w:pPr>
    </w:p>
    <w:p>
      <w:pPr>
        <w:ind w:left="2200" w:right="380" w:hanging="508"/>
        <w:spacing w:after="0" w:line="277" w:lineRule="auto"/>
        <w:tabs>
          <w:tab w:leader="none" w:pos="2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Series C preferred stock into 2,233,333 shares of common stock upon the closing of the offering; and</w:t>
      </w:r>
    </w:p>
    <w:p>
      <w:pPr>
        <w:spacing w:after="0" w:line="62" w:lineRule="exact"/>
        <w:rPr>
          <w:rFonts w:ascii="Arial" w:cs="Arial" w:eastAsia="Arial" w:hAnsi="Arial"/>
          <w:sz w:val="18"/>
          <w:szCs w:val="18"/>
          <w:color w:val="auto"/>
        </w:rPr>
      </w:pPr>
    </w:p>
    <w:p>
      <w:pPr>
        <w:ind w:left="2200" w:right="80" w:hanging="508"/>
        <w:spacing w:after="0" w:line="277" w:lineRule="auto"/>
        <w:tabs>
          <w:tab w:leader="none" w:pos="2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exercise in November 2008 of the warrant to purchase 909,348 shares of our common stock for $0.58 per share; and</w:t>
      </w:r>
    </w:p>
    <w:p>
      <w:pPr>
        <w:spacing w:after="0" w:line="75"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above, as well as:</w:t>
      </w:r>
    </w:p>
    <w:p>
      <w:pPr>
        <w:spacing w:after="0" w:line="130" w:lineRule="exact"/>
        <w:rPr>
          <w:rFonts w:ascii="Arial" w:cs="Arial" w:eastAsia="Arial" w:hAnsi="Arial"/>
          <w:sz w:val="18"/>
          <w:szCs w:val="18"/>
          <w:color w:val="auto"/>
        </w:rPr>
      </w:pPr>
    </w:p>
    <w:p>
      <w:pPr>
        <w:ind w:left="2080" w:hanging="388"/>
        <w:spacing w:after="0" w:line="264" w:lineRule="auto"/>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sale of 10,500,000 shares of our common stock in this offering at the initial public offering price of $12.00 per share and after deducting the underwriting discounts and commissions and estimated offering expenses payable by us; and</w:t>
      </w:r>
    </w:p>
    <w:p>
      <w:pPr>
        <w:spacing w:after="0" w:line="86" w:lineRule="exact"/>
        <w:rPr>
          <w:rFonts w:ascii="Arial" w:cs="Arial" w:eastAsia="Arial" w:hAnsi="Arial"/>
          <w:sz w:val="18"/>
          <w:szCs w:val="18"/>
          <w:color w:val="auto"/>
        </w:rPr>
      </w:pPr>
    </w:p>
    <w:p>
      <w:pPr>
        <w:ind w:left="2080" w:right="40" w:hanging="388"/>
        <w:spacing w:after="0" w:line="259" w:lineRule="auto"/>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payment of a special distribution to our existing stockholders of 75% of the gross proceeds from the sale of common stock by us in this offering, including any proceeds we receive from the underwriters’ exercise of their over-allotment option, which will occur promptly upon the consummation of this offering (and the closing of the exercise of the over-allotment option, if applicable).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60" w:firstLine="397"/>
        <w:spacing w:after="0" w:line="264" w:lineRule="auto"/>
        <w:rPr>
          <w:sz w:val="20"/>
          <w:szCs w:val="20"/>
          <w:color w:val="auto"/>
        </w:rPr>
      </w:pPr>
      <w:r>
        <w:rPr>
          <w:rFonts w:ascii="Arial" w:cs="Arial" w:eastAsia="Arial" w:hAnsi="Arial"/>
          <w:sz w:val="18"/>
          <w:szCs w:val="18"/>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As of September 30, 2008</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Actual</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Pro Forma</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Pro Forma,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Adjusted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w:t>
            </w:r>
          </w:p>
        </w:tc>
        <w:tc>
          <w:tcPr>
            <w:tcW w:w="7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w w:val="84"/>
              </w:rPr>
              <w:t>thousands, except</w:t>
            </w:r>
          </w:p>
        </w:tc>
        <w:tc>
          <w:tcPr>
            <w:tcW w:w="400" w:type="dxa"/>
            <w:vAlign w:val="bottom"/>
            <w:gridSpan w:val="2"/>
            <w:vMerge w:val="continue"/>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1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$ 22,227</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70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30,775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820" w:type="dxa"/>
            <w:vAlign w:val="bottom"/>
          </w:tcPr>
          <w:p>
            <w:pPr>
              <w:spacing w:after="0" w:line="201" w:lineRule="exact"/>
              <w:rPr>
                <w:sz w:val="20"/>
                <w:szCs w:val="20"/>
                <w:color w:val="auto"/>
              </w:rPr>
            </w:pPr>
            <w:r>
              <w:rPr>
                <w:rFonts w:ascii="Arial" w:cs="Arial" w:eastAsia="Arial" w:hAnsi="Arial"/>
                <w:sz w:val="18"/>
                <w:szCs w:val="18"/>
                <w:color w:val="auto"/>
                <w:w w:val="92"/>
              </w:rPr>
              <w:t>Series A convertible preferred stock: $0.01 par value; 9,700 shares authorized, 5,953 shares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issued and outstanding, actual; no shares authorized, issued, and outstanding, pro forma</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and pro forma, as adjusted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B convertible preferred stock: $0.01 par value; 2,200 shares authorized, no shares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issued and outstanding, actual; no shares authorized, issued, and outstanding, pro forma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pro forma, as adjusted</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820" w:type="dxa"/>
            <w:vAlign w:val="bottom"/>
          </w:tcPr>
          <w:p>
            <w:pPr>
              <w:spacing w:after="0" w:line="201" w:lineRule="exact"/>
              <w:rPr>
                <w:sz w:val="20"/>
                <w:szCs w:val="20"/>
                <w:color w:val="auto"/>
              </w:rPr>
            </w:pPr>
            <w:r>
              <w:rPr>
                <w:rFonts w:ascii="Arial" w:cs="Arial" w:eastAsia="Arial" w:hAnsi="Arial"/>
                <w:sz w:val="18"/>
                <w:szCs w:val="18"/>
                <w:color w:val="auto"/>
                <w:w w:val="92"/>
              </w:rPr>
              <w:t>Series C preferred stock: $0.01 par value; 3,900 shares authorized, 3,829 shares issued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outstanding, actual; no shares authorized, issued, and outstanding, pro forma and pro</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forma, as adjusted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14,129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820" w:type="dxa"/>
            <w:vAlign w:val="bottom"/>
          </w:tcPr>
          <w:p>
            <w:pPr>
              <w:ind w:left="180"/>
              <w:spacing w:after="0" w:line="201" w:lineRule="exact"/>
              <w:rPr>
                <w:sz w:val="20"/>
                <w:szCs w:val="20"/>
                <w:color w:val="auto"/>
              </w:rPr>
            </w:pPr>
            <w:r>
              <w:rPr>
                <w:rFonts w:ascii="Arial" w:cs="Arial" w:eastAsia="Arial" w:hAnsi="Arial"/>
                <w:sz w:val="18"/>
                <w:szCs w:val="18"/>
                <w:color w:val="auto"/>
              </w:rPr>
              <w:t>Undesignated preferred stock: $0.01 par value; no shares authorized, issued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w w:val="92"/>
              </w:rPr>
              <w:t>outstanding, actual and pro forma; 10,000,000 shares authorized, no shares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outstanding, pro forma, as adjusted</w:t>
            </w:r>
          </w:p>
        </w:tc>
        <w:tc>
          <w:tcPr>
            <w:tcW w:w="160" w:type="dxa"/>
            <w:vAlign w:val="bottom"/>
          </w:tcPr>
          <w:p>
            <w:pPr>
              <w:spacing w:after="0"/>
              <w:rPr>
                <w:sz w:val="20"/>
                <w:szCs w:val="20"/>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$0.01 par value; 100,000,000 shares authorized, 19,218,650 shares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and outstanding, actual; 100,000,000 shares authorized, 33,231,509 shares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outstanding, pro forma; 100,000,000 shares authorized, 43,731,509 shares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pro forma, as adjusted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55,838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(13,898)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w w:val="92"/>
              </w:rPr>
              <w:t>(13,898)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$ 57,871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jc w:val="right"/>
              <w:ind w:right="169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7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ind w:left="700" w:right="880" w:firstLine="397"/>
        <w:spacing w:after="0" w:line="264" w:lineRule="auto"/>
        <w:rPr>
          <w:sz w:val="20"/>
          <w:szCs w:val="20"/>
          <w:color w:val="auto"/>
        </w:rPr>
      </w:pPr>
      <w:r>
        <w:rPr>
          <w:rFonts w:ascii="Arial" w:cs="Arial" w:eastAsia="Arial" w:hAnsi="Arial"/>
          <w:sz w:val="18"/>
          <w:szCs w:val="18"/>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87" w:lineRule="exact"/>
        <w:rPr>
          <w:sz w:val="20"/>
          <w:szCs w:val="20"/>
          <w:color w:val="auto"/>
        </w:rPr>
      </w:pPr>
    </w:p>
    <w:p>
      <w:pPr>
        <w:ind w:left="700" w:right="840" w:firstLine="397"/>
        <w:spacing w:after="0" w:line="279" w:lineRule="auto"/>
        <w:rPr>
          <w:sz w:val="20"/>
          <w:szCs w:val="20"/>
          <w:color w:val="auto"/>
        </w:rPr>
      </w:pPr>
      <w:r>
        <w:rPr>
          <w:rFonts w:ascii="Arial" w:cs="Arial" w:eastAsia="Arial" w:hAnsi="Arial"/>
          <w:sz w:val="17"/>
          <w:szCs w:val="17"/>
          <w:color w:val="auto"/>
        </w:rPr>
        <w:t>As of September 30, 2008, our pro forma net tangible book value would have been $22.9 million or, $0.69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 and the exercise in November 2008 of the warrant to purchase 909,348 shares of our common stock.</w:t>
      </w:r>
    </w:p>
    <w:p>
      <w:pPr>
        <w:spacing w:after="0" w:line="77" w:lineRule="exact"/>
        <w:rPr>
          <w:sz w:val="20"/>
          <w:szCs w:val="20"/>
          <w:color w:val="auto"/>
        </w:rPr>
      </w:pPr>
    </w:p>
    <w:p>
      <w:pPr>
        <w:ind w:left="700" w:right="820" w:firstLine="397"/>
        <w:spacing w:after="0" w:line="271" w:lineRule="auto"/>
        <w:rPr>
          <w:sz w:val="20"/>
          <w:szCs w:val="20"/>
          <w:color w:val="auto"/>
        </w:rPr>
      </w:pPr>
      <w:r>
        <w:rPr>
          <w:rFonts w:ascii="Arial" w:cs="Arial" w:eastAsia="Arial" w:hAnsi="Arial"/>
          <w:sz w:val="17"/>
          <w:szCs w:val="17"/>
          <w:color w:val="auto"/>
        </w:rPr>
        <w:t>Pro forma as adjusted net tangible book value per share represents the amount of total tangible assets reduced by our total liabilities, divided by the number of shares of common stock outstanding after giving effect to the conversion of all outstanding classes of preferred stock into common stock, the exercise in November 2008 of the warrant to purchase 909,348 shares of our common stock, the payment of the estimated amount of the special distribution to certain of our existing stockholders and the sale of 10,500,000 shares of common stock in the offering at the initial public offering price of $12.00 per share. Our pro forma as adjusted net tangible book value as of September 30, 2008 would have been $39.4 million, or $0.90 per share. This represents an immediate increase in net tangible book value of $0.21 per share to existing stockholders and an immediate dilution of $11.10 per share to new investors purchasing shares in the offering. The following table illustrates this per share dilution:</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 of common stock</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of common stock as of</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September 30, 2008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$ 0.69</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of common stock attributable to new investors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220" w:type="dxa"/>
            <w:vAlign w:val="bottom"/>
          </w:tcPr>
          <w:p>
            <w:pPr>
              <w:ind w:left="160"/>
              <w:spacing w:after="0" w:line="201" w:lineRule="exact"/>
              <w:rPr>
                <w:sz w:val="20"/>
                <w:szCs w:val="20"/>
                <w:color w:val="auto"/>
              </w:rPr>
            </w:pPr>
            <w:r>
              <w:rPr>
                <w:rFonts w:ascii="Arial" w:cs="Arial" w:eastAsia="Arial" w:hAnsi="Arial"/>
                <w:sz w:val="18"/>
                <w:szCs w:val="18"/>
                <w:color w:val="auto"/>
                <w:w w:val="92"/>
              </w:rPr>
              <w:t>Decrease per share of common stock after payment of underwriting discounts and commission and estimated</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offering expenses by us</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(0.34)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Decrease per share of common stock after payment of the special distribution to certain of our existing</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of common stock after this offering</w:t>
            </w: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of common stock to new investors</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980" w:firstLine="397"/>
        <w:spacing w:after="0" w:line="277" w:lineRule="auto"/>
        <w:rPr>
          <w:sz w:val="20"/>
          <w:szCs w:val="20"/>
          <w:color w:val="auto"/>
        </w:rPr>
      </w:pPr>
      <w:r>
        <w:rPr>
          <w:rFonts w:ascii="Arial" w:cs="Arial" w:eastAsia="Arial" w:hAnsi="Arial"/>
          <w:sz w:val="18"/>
          <w:szCs w:val="18"/>
          <w:color w:val="auto"/>
        </w:rPr>
        <w:t>Our pro forma as adjusted net tangible book value will be $42.8 million, or $0.95 per share, and the dilution per share of common stock to new investors will be $11.05, if the underwriters’ over-allotment option is exercised in full.</w:t>
      </w:r>
    </w:p>
    <w:p>
      <w:pPr>
        <w:spacing w:after="0" w:line="76" w:lineRule="exact"/>
        <w:rPr>
          <w:sz w:val="20"/>
          <w:szCs w:val="20"/>
          <w:color w:val="auto"/>
        </w:rPr>
      </w:pPr>
    </w:p>
    <w:p>
      <w:pPr>
        <w:ind w:left="700" w:right="900" w:firstLine="397"/>
        <w:spacing w:after="0" w:line="297" w:lineRule="auto"/>
        <w:rPr>
          <w:sz w:val="20"/>
          <w:szCs w:val="20"/>
          <w:color w:val="auto"/>
        </w:rPr>
      </w:pPr>
      <w:r>
        <w:rPr>
          <w:rFonts w:ascii="Arial" w:cs="Arial" w:eastAsia="Arial" w:hAnsi="Arial"/>
          <w:sz w:val="16"/>
          <w:szCs w:val="16"/>
          <w:color w:val="auto"/>
        </w:rPr>
        <w:t>The following table sets forth, as of September 30, 2008, on the pro forma as-adjusted basis described above, the differences between existing stockholders, including the effect of the exercise in November 2008 of the warrant to purchase 909,348 shares of our common stock, and new investors with respect to the total number of shares of common stock purchased from us, the total consideration paid, and the average price per share paid before deducting underwriting discounts and commissions and estimated offering expenses payable by us, at the initial public offering price of $12.00 per share of common stock:</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gridSpan w:val="4"/>
            <w:vMerge w:val="restart"/>
          </w:tcPr>
          <w:p>
            <w:pPr>
              <w:jc w:val="right"/>
              <w:ind w:right="588"/>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7"/>
              </w:rPr>
              <w:t>Total Consideration</w:t>
            </w:r>
          </w:p>
        </w:tc>
        <w:tc>
          <w:tcPr>
            <w:tcW w:w="16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Price Per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(Dollars</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33,231,509</w:t>
            </w:r>
          </w:p>
        </w:tc>
        <w:tc>
          <w:tcPr>
            <w:tcW w:w="12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76.0%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40,827</w:t>
            </w: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New investors</w:t>
            </w:r>
          </w:p>
        </w:tc>
        <w:tc>
          <w:tcPr>
            <w:tcW w:w="17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10,500,000</w:t>
            </w:r>
          </w:p>
        </w:tc>
        <w:tc>
          <w:tcPr>
            <w:tcW w:w="38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126,000</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75.5%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43,731,509</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166,827</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60" w:type="dxa"/>
            <w:vAlign w:val="bottom"/>
            <w:gridSpan w:val="2"/>
          </w:tcPr>
          <w:p>
            <w:pPr>
              <w:jc w:val="right"/>
              <w:ind w:right="739"/>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table does not give effect to the payment of the special distribution to existing stockholders.</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If the underwriters’ over-allotment option is exercised in full, the number of shares held by existing stockholders after this offering would be 33,231,509, or 73.3%, and the number of shares held by new investors would increase to 12,075,000, or 26.7%, of the total number of shares of our common stock outstanding after this offering.</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SELECTED FINANCIAL AND OTHER DATA</w:t>
      </w:r>
    </w:p>
    <w:p>
      <w:pPr>
        <w:spacing w:after="0" w:line="135"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75" w:lineRule="exact"/>
        <w:rPr>
          <w:sz w:val="20"/>
          <w:szCs w:val="20"/>
          <w:color w:val="auto"/>
        </w:rPr>
      </w:pPr>
    </w:p>
    <w:p>
      <w:pPr>
        <w:jc w:val="both"/>
        <w:ind w:left="700" w:right="340" w:firstLine="397"/>
        <w:spacing w:after="0" w:line="342" w:lineRule="auto"/>
        <w:rPr>
          <w:sz w:val="20"/>
          <w:szCs w:val="20"/>
          <w:color w:val="auto"/>
        </w:rPr>
      </w:pPr>
      <w:r>
        <w:rPr>
          <w:rFonts w:ascii="Arial" w:cs="Arial" w:eastAsia="Arial" w:hAnsi="Arial"/>
          <w:sz w:val="16"/>
          <w:szCs w:val="16"/>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2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February 2, 2004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to 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10"/>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2004</w:t>
            </w:r>
            <w:r>
              <w:rPr>
                <w:rFonts w:ascii="Arial" w:cs="Arial" w:eastAsia="Arial" w:hAnsi="Arial"/>
                <w:sz w:val="10"/>
                <w:szCs w:val="10"/>
                <w:b w:val="1"/>
                <w:bCs w:val="1"/>
                <w:color w:val="auto"/>
                <w:w w:val="92"/>
              </w:rPr>
              <w:t>(2)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1"/>
              <w:spacing w:after="0" w:line="129" w:lineRule="exact"/>
              <w:rPr>
                <w:sz w:val="20"/>
                <w:szCs w:val="20"/>
                <w:color w:val="auto"/>
              </w:rPr>
            </w:pPr>
            <w:r>
              <w:rPr>
                <w:rFonts w:ascii="Arial" w:cs="Arial" w:eastAsia="Arial" w:hAnsi="Arial"/>
                <w:sz w:val="13"/>
                <w:szCs w:val="13"/>
                <w:b w:val="1"/>
                <w:bCs w:val="1"/>
                <w:color w:val="auto"/>
                <w:w w:val="96"/>
              </w:rPr>
              <w:t>2005</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29" w:lineRule="exact"/>
              <w:rPr>
                <w:sz w:val="20"/>
                <w:szCs w:val="20"/>
                <w:color w:val="auto"/>
              </w:rPr>
            </w:pPr>
            <w:r>
              <w:rPr>
                <w:rFonts w:ascii="Arial" w:cs="Arial" w:eastAsia="Arial" w:hAnsi="Arial"/>
                <w:sz w:val="13"/>
                <w:szCs w:val="13"/>
                <w:b w:val="1"/>
                <w:bCs w:val="1"/>
                <w:color w:val="auto"/>
                <w:w w:val="96"/>
              </w:rPr>
              <w:t>2006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29" w:lineRule="exact"/>
              <w:rPr>
                <w:sz w:val="20"/>
                <w:szCs w:val="20"/>
                <w:color w:val="auto"/>
              </w:rPr>
            </w:pPr>
            <w:r>
              <w:rPr>
                <w:rFonts w:ascii="Arial" w:cs="Arial" w:eastAsia="Arial" w:hAnsi="Arial"/>
                <w:sz w:val="13"/>
                <w:szCs w:val="13"/>
                <w:b w:val="1"/>
                <w:bCs w:val="1"/>
                <w:color w:val="auto"/>
                <w:w w:val="96"/>
              </w:rPr>
              <w:t>2007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2"/>
              <w:spacing w:after="0" w:line="129" w:lineRule="exact"/>
              <w:rPr>
                <w:sz w:val="20"/>
                <w:szCs w:val="20"/>
                <w:color w:val="auto"/>
              </w:rPr>
            </w:pPr>
            <w:r>
              <w:rPr>
                <w:rFonts w:ascii="Arial" w:cs="Arial" w:eastAsia="Arial" w:hAnsi="Arial"/>
                <w:sz w:val="13"/>
                <w:szCs w:val="13"/>
                <w:b w:val="1"/>
                <w:bCs w:val="1"/>
                <w:color w:val="auto"/>
              </w:rPr>
              <w:t>2007</w:t>
            </w:r>
          </w:p>
        </w:tc>
        <w:tc>
          <w:tcPr>
            <w:tcW w:w="4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w w:val="75"/>
              </w:rPr>
              <w:t>(Unaudited)</w:t>
            </w: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0"/>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
              <w:spacing w:after="0" w:line="110" w:lineRule="exact"/>
              <w:rPr>
                <w:sz w:val="20"/>
                <w:szCs w:val="20"/>
                <w:color w:val="auto"/>
              </w:rPr>
            </w:pPr>
            <w:r>
              <w:rPr>
                <w:rFonts w:ascii="Arial" w:cs="Arial" w:eastAsia="Arial" w:hAnsi="Arial"/>
                <w:sz w:val="12"/>
                <w:szCs w:val="12"/>
                <w:b w:val="1"/>
                <w:bCs w:val="1"/>
                <w:color w:val="auto"/>
                <w:w w:val="95"/>
              </w:rPr>
              <w:t>(Unaudited)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9"/>
                <w:szCs w:val="9"/>
                <w:b w:val="1"/>
                <w:bCs w:val="1"/>
                <w:color w:val="auto"/>
                <w:w w:val="97"/>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16"/>
          </w:tcPr>
          <w:p>
            <w:pPr>
              <w:jc w:val="right"/>
              <w:ind w:right="427"/>
              <w:spacing w:after="0"/>
              <w:rPr>
                <w:sz w:val="20"/>
                <w:szCs w:val="20"/>
                <w:color w:val="auto"/>
              </w:rPr>
            </w:pPr>
            <w:r>
              <w:rPr>
                <w:rFonts w:ascii="Arial" w:cs="Arial" w:eastAsia="Arial" w:hAnsi="Arial"/>
                <w:sz w:val="13"/>
                <w:szCs w:val="13"/>
                <w:b w:val="1"/>
                <w:bCs w:val="1"/>
                <w:color w:val="auto"/>
                <w:w w:val="89"/>
              </w:rPr>
              <w:t>(In thousands, except enrollment and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Net revenue</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25,629</w:t>
            </w:r>
          </w:p>
        </w:tc>
        <w:tc>
          <w:tcPr>
            <w:tcW w:w="14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51,793</w:t>
            </w:r>
          </w:p>
        </w:tc>
        <w:tc>
          <w:tcPr>
            <w:tcW w:w="140" w:type="dxa"/>
            <w:vAlign w:val="bottom"/>
          </w:tcPr>
          <w:p>
            <w:pPr>
              <w:spacing w:after="0"/>
              <w:rPr>
                <w:sz w:val="17"/>
                <w:szCs w:val="17"/>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72,111</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99,326</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68,472</w:t>
            </w:r>
          </w:p>
        </w:tc>
        <w:tc>
          <w:tcPr>
            <w:tcW w:w="2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109,626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Instructional costs and services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28,063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31,287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39,050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27,531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and promotional</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14,047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20,093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35,148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24,291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12,968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15,011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17,001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11,848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Royalty to former owner</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6"/>
                <w:szCs w:val="16"/>
                <w:color w:val="auto"/>
              </w:rPr>
              <w:t>Total costs and expenses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56,697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69,069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94,981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66,255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100,634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(4,904)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(1,135)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(3,098)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(2,827)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(2,975)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7"/>
              <w:spacing w:after="0"/>
              <w:rPr>
                <w:sz w:val="20"/>
                <w:szCs w:val="20"/>
                <w:color w:val="auto"/>
              </w:rPr>
            </w:pPr>
            <w:r>
              <w:rPr>
                <w:rFonts w:ascii="Arial" w:cs="Arial" w:eastAsia="Arial" w:hAnsi="Arial"/>
                <w:sz w:val="16"/>
                <w:szCs w:val="16"/>
                <w:color w:val="auto"/>
                <w:w w:val="98"/>
              </w:rPr>
              <w:t>(2,236)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2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(16,212)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(7,726)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Income tax expense (benefit)</w:t>
            </w:r>
            <w:r>
              <w:rPr>
                <w:rFonts w:ascii="Arial" w:cs="Arial" w:eastAsia="Arial" w:hAnsi="Arial"/>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(3,440)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(16,212)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(4,286)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Preferred dividends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7"/>
              <w:spacing w:after="0"/>
              <w:rPr>
                <w:sz w:val="20"/>
                <w:szCs w:val="20"/>
                <w:color w:val="auto"/>
              </w:rPr>
            </w:pPr>
            <w:r>
              <w:rPr>
                <w:rFonts w:ascii="Arial" w:cs="Arial" w:eastAsia="Arial" w:hAnsi="Arial"/>
                <w:sz w:val="16"/>
                <w:szCs w:val="16"/>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00"/>
        </w:trPr>
        <w:tc>
          <w:tcPr>
            <w:tcW w:w="4120" w:type="dxa"/>
            <w:vAlign w:val="bottom"/>
            <w:gridSpan w:val="2"/>
          </w:tcPr>
          <w:p>
            <w:pPr>
              <w:spacing w:after="0"/>
              <w:rPr>
                <w:sz w:val="20"/>
                <w:szCs w:val="20"/>
                <w:color w:val="auto"/>
              </w:rPr>
            </w:pPr>
            <w:r>
              <w:rPr>
                <w:rFonts w:ascii="Arial" w:cs="Arial" w:eastAsia="Arial" w:hAnsi="Arial"/>
                <w:sz w:val="16"/>
                <w:szCs w:val="16"/>
                <w:color w:val="auto"/>
              </w:rPr>
              <w:t>Net income available (loss attributable) to common</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stockholders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(16,212)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(4,286)</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1,177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270</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common share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(0.23)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0.00</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w w:val="94"/>
              </w:rPr>
              <w:t>Shares used in computing earnings (loss) per common share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18,470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18,853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18,923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18,885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18,470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36,858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35,143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35,189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Pro forma earnings per common share (Unaudited)</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6"/>
                <w:szCs w:val="16"/>
                <w:color w:val="auto"/>
                <w:w w:val="98"/>
              </w:rPr>
              <w:t>Shares used in computing pro forma earnings per common</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line="216" w:lineRule="exact"/>
              <w:rPr>
                <w:sz w:val="20"/>
                <w:szCs w:val="20"/>
                <w:color w:val="auto"/>
              </w:rPr>
            </w:pPr>
            <w:r>
              <w:rPr>
                <w:rFonts w:ascii="Arial" w:cs="Arial" w:eastAsia="Arial" w:hAnsi="Arial"/>
                <w:sz w:val="15"/>
                <w:szCs w:val="15"/>
                <w:color w:val="auto"/>
              </w:rPr>
              <w:t>share (Unaudited)</w:t>
            </w:r>
            <w:r>
              <w:rPr>
                <w:rFonts w:ascii="Arial" w:cs="Arial" w:eastAsia="Arial" w:hAnsi="Arial"/>
                <w:sz w:val="25"/>
                <w:szCs w:val="25"/>
                <w:color w:val="auto"/>
                <w:vertAlign w:val="superscript"/>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40,460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45,154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9"/>
              </w:rPr>
              <w:t>February 2, 2004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w w:val="88"/>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7"/>
              </w:rPr>
              <w:t>to December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11"/>
          </w:tcPr>
          <w:p>
            <w:pPr>
              <w:jc w:val="right"/>
              <w:ind w:right="340"/>
              <w:spacing w:after="0"/>
              <w:rPr>
                <w:sz w:val="20"/>
                <w:szCs w:val="20"/>
                <w:color w:val="auto"/>
              </w:rPr>
            </w:pPr>
            <w:r>
              <w:rPr>
                <w:rFonts w:ascii="Arial" w:cs="Arial" w:eastAsia="Arial" w:hAnsi="Arial"/>
                <w:sz w:val="13"/>
                <w:szCs w:val="13"/>
                <w:b w:val="1"/>
                <w:bCs w:val="1"/>
                <w:color w:val="auto"/>
                <w:w w:val="88"/>
              </w:rPr>
              <w:t>Year Ended 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6"/>
          </w:tcPr>
          <w:p>
            <w:pPr>
              <w:jc w:val="center"/>
              <w:ind w:left="197"/>
              <w:spacing w:after="0" w:line="129" w:lineRule="exact"/>
              <w:rPr>
                <w:sz w:val="20"/>
                <w:szCs w:val="20"/>
                <w:color w:val="auto"/>
              </w:rPr>
            </w:pPr>
            <w:r>
              <w:rPr>
                <w:rFonts w:ascii="Arial" w:cs="Arial" w:eastAsia="Arial" w:hAnsi="Arial"/>
                <w:sz w:val="13"/>
                <w:szCs w:val="13"/>
                <w:b w:val="1"/>
                <w:bCs w:val="1"/>
                <w:color w:val="auto"/>
                <w:w w:val="92"/>
              </w:rPr>
              <w:t>2004</w:t>
            </w:r>
            <w:r>
              <w:rPr>
                <w:rFonts w:ascii="Arial" w:cs="Arial" w:eastAsia="Arial" w:hAnsi="Arial"/>
                <w:sz w:val="10"/>
                <w:szCs w:val="10"/>
                <w:b w:val="1"/>
                <w:bCs w:val="1"/>
                <w:color w:val="auto"/>
                <w:w w:val="92"/>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jc w:val="right"/>
              <w:ind w:right="53"/>
              <w:spacing w:after="0" w:line="129" w:lineRule="exact"/>
              <w:rPr>
                <w:sz w:val="20"/>
                <w:szCs w:val="20"/>
                <w:color w:val="auto"/>
              </w:rPr>
            </w:pPr>
            <w:r>
              <w:rPr>
                <w:rFonts w:ascii="Arial" w:cs="Arial" w:eastAsia="Arial" w:hAnsi="Arial"/>
                <w:sz w:val="13"/>
                <w:szCs w:val="13"/>
                <w:b w:val="1"/>
                <w:bCs w:val="1"/>
                <w:color w:val="auto"/>
                <w:w w:val="82"/>
              </w:rPr>
              <w:t>2005</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right"/>
              <w:ind w:right="40"/>
              <w:spacing w:after="0" w:line="129" w:lineRule="exact"/>
              <w:rPr>
                <w:sz w:val="20"/>
                <w:szCs w:val="20"/>
                <w:color w:val="auto"/>
              </w:rPr>
            </w:pPr>
            <w:r>
              <w:rPr>
                <w:rFonts w:ascii="Arial" w:cs="Arial" w:eastAsia="Arial" w:hAnsi="Arial"/>
                <w:sz w:val="13"/>
                <w:szCs w:val="13"/>
                <w:b w:val="1"/>
                <w:bCs w:val="1"/>
                <w:color w:val="auto"/>
              </w:rPr>
              <w:t>2006</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1"/>
                <w:szCs w:val="11"/>
                <w:b w:val="1"/>
                <w:bCs w:val="1"/>
                <w:color w:val="auto"/>
                <w:w w:val="74"/>
              </w:rPr>
              <w:t>(1)</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3"/>
                <w:szCs w:val="13"/>
                <w:b w:val="1"/>
                <w:bCs w:val="1"/>
                <w:color w:val="auto"/>
              </w:rPr>
              <w:t>2007</w:t>
            </w: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1"/>
                <w:szCs w:val="11"/>
                <w:b w:val="1"/>
                <w:bCs w:val="1"/>
                <w:color w:val="auto"/>
                <w:w w:val="75"/>
              </w:rPr>
              <w:t>(Unaudited)</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Borders>
              <w:top w:val="single" w:sz="8" w:color="auto"/>
            </w:tcBorders>
            <w:gridSpan w:val="5"/>
          </w:tcPr>
          <w:p>
            <w:pPr>
              <w:jc w:val="center"/>
              <w:spacing w:after="0" w:line="110" w:lineRule="exact"/>
              <w:rPr>
                <w:sz w:val="20"/>
                <w:szCs w:val="20"/>
                <w:color w:val="auto"/>
              </w:rPr>
            </w:pPr>
            <w:r>
              <w:rPr>
                <w:rFonts w:ascii="Arial" w:cs="Arial" w:eastAsia="Arial" w:hAnsi="Arial"/>
                <w:sz w:val="12"/>
                <w:szCs w:val="12"/>
                <w:b w:val="1"/>
                <w:bCs w:val="1"/>
                <w:color w:val="auto"/>
                <w:w w:val="95"/>
              </w:rPr>
              <w:t>(Unaudited)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top w:val="single" w:sz="8" w:color="auto"/>
            </w:tcBorders>
            <w:gridSpan w:val="4"/>
          </w:tcPr>
          <w:p>
            <w:pPr>
              <w:jc w:val="right"/>
              <w:ind w:right="20"/>
              <w:spacing w:after="0" w:line="110" w:lineRule="exact"/>
              <w:rPr>
                <w:sz w:val="20"/>
                <w:szCs w:val="20"/>
                <w:color w:val="auto"/>
              </w:rPr>
            </w:pPr>
            <w:r>
              <w:rPr>
                <w:rFonts w:ascii="Arial" w:cs="Arial" w:eastAsia="Arial" w:hAnsi="Arial"/>
                <w:sz w:val="12"/>
                <w:szCs w:val="12"/>
                <w:b w:val="1"/>
                <w:bCs w:val="1"/>
                <w:color w:val="auto"/>
                <w:w w:val="78"/>
              </w:rPr>
              <w:t>(Restated)</w:t>
            </w:r>
          </w:p>
        </w:tc>
        <w:tc>
          <w:tcPr>
            <w:tcW w:w="280" w:type="dxa"/>
            <w:vAlign w:val="bottom"/>
            <w:tcBorders>
              <w:top w:val="single" w:sz="8" w:color="auto"/>
            </w:tcBorders>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3"/>
            <w:vMerge w:val="continue"/>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1"/>
          </w:tcPr>
          <w:p>
            <w:pPr>
              <w:jc w:val="right"/>
              <w:ind w:right="267"/>
              <w:spacing w:after="0"/>
              <w:rPr>
                <w:sz w:val="20"/>
                <w:szCs w:val="20"/>
                <w:color w:val="auto"/>
              </w:rPr>
            </w:pPr>
            <w:r>
              <w:rPr>
                <w:rFonts w:ascii="Arial" w:cs="Arial" w:eastAsia="Arial" w:hAnsi="Arial"/>
                <w:sz w:val="13"/>
                <w:szCs w:val="13"/>
                <w:b w:val="1"/>
                <w:bCs w:val="1"/>
                <w:color w:val="auto"/>
                <w:w w:val="87"/>
              </w:rPr>
              <w:t>(In thousands, except enrollment and per share data)</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9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24,376</w:t>
            </w:r>
          </w:p>
        </w:tc>
        <w:tc>
          <w:tcPr>
            <w:tcW w:w="100" w:type="dxa"/>
            <w:vAlign w:val="bottom"/>
          </w:tcPr>
          <w:p>
            <w:pPr>
              <w:spacing w:after="0"/>
              <w:rPr>
                <w:sz w:val="17"/>
                <w:szCs w:val="17"/>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817</w:t>
            </w:r>
          </w:p>
        </w:tc>
        <w:tc>
          <w:tcPr>
            <w:tcW w:w="60" w:type="dxa"/>
            <w:vAlign w:val="bottom"/>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auto"/>
              </w:rPr>
              <w:t>$ 2,387</w:t>
            </w:r>
          </w:p>
        </w:tc>
        <w:tc>
          <w:tcPr>
            <w:tcW w:w="360" w:type="dxa"/>
            <w:vAlign w:val="bottom"/>
            <w:gridSpan w:val="2"/>
          </w:tcPr>
          <w:p>
            <w:pPr>
              <w:jc w:val="center"/>
              <w:ind w:left="198"/>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7,406</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5,136</w:t>
            </w:r>
          </w:p>
        </w:tc>
        <w:tc>
          <w:tcPr>
            <w:tcW w:w="14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9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1,136</w:t>
            </w: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$ 1,879</w:t>
            </w: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$ 2,396</w:t>
            </w:r>
          </w:p>
        </w:tc>
        <w:tc>
          <w:tcPr>
            <w:tcW w:w="360" w:type="dxa"/>
            <w:vAlign w:val="bottom"/>
            <w:gridSpan w:val="2"/>
            <w:shd w:val="clear" w:color="auto" w:fill="CCEEFF"/>
          </w:tcPr>
          <w:p>
            <w:pPr>
              <w:jc w:val="center"/>
              <w:ind w:left="198"/>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9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(13,503)</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(895)</w:t>
            </w:r>
          </w:p>
        </w:tc>
        <w:tc>
          <w:tcPr>
            <w:tcW w:w="720" w:type="dxa"/>
            <w:vAlign w:val="bottom"/>
            <w:gridSpan w:val="5"/>
          </w:tcPr>
          <w:p>
            <w:pPr>
              <w:jc w:val="right"/>
              <w:spacing w:after="0"/>
              <w:rPr>
                <w:sz w:val="20"/>
                <w:szCs w:val="20"/>
                <w:color w:val="auto"/>
              </w:rPr>
            </w:pPr>
            <w:r>
              <w:rPr>
                <w:rFonts w:ascii="Arial" w:cs="Arial" w:eastAsia="Arial" w:hAnsi="Arial"/>
                <w:sz w:val="16"/>
                <w:szCs w:val="16"/>
                <w:color w:val="auto"/>
              </w:rPr>
              <w:t>$ 9,074</w:t>
            </w:r>
          </w:p>
        </w:tc>
        <w:tc>
          <w:tcPr>
            <w:tcW w:w="360" w:type="dxa"/>
            <w:vAlign w:val="bottom"/>
            <w:gridSpan w:val="2"/>
          </w:tcPr>
          <w:p>
            <w:pPr>
              <w:jc w:val="center"/>
              <w:ind w:left="198"/>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11,723</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7,309</w:t>
            </w:r>
          </w:p>
        </w:tc>
        <w:tc>
          <w:tcPr>
            <w:tcW w:w="14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$ 14,568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Period end enrollment: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Online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3,141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89"/>
              </w:rPr>
              <w:t>6,212</w:t>
            </w:r>
          </w:p>
        </w:tc>
        <w:tc>
          <w:tcPr>
            <w:tcW w:w="60" w:type="dxa"/>
            <w:vAlign w:val="bottom"/>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auto"/>
              </w:rPr>
              <w:t>8,406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12,497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11,306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19,287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Ground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2,210</w:t>
            </w: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w w:val="96"/>
              </w:rPr>
              <w:t>As of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7"/>
              </w:rPr>
              <w:t>As of 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12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64"/>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2"/>
              </w:rPr>
              <w:t>Pro Forma</w:t>
            </w:r>
            <w:r>
              <w:rPr>
                <w:rFonts w:ascii="Arial" w:cs="Arial" w:eastAsia="Arial" w:hAnsi="Arial"/>
                <w:sz w:val="12"/>
                <w:szCs w:val="12"/>
                <w:b w:val="1"/>
                <w:bCs w:val="1"/>
                <w:color w:val="auto"/>
                <w:w w:val="92"/>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7"/>
          </w:tcPr>
          <w:p>
            <w:pPr>
              <w:ind w:left="180"/>
              <w:spacing w:after="0" w:line="142"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2"/>
                <w:szCs w:val="12"/>
                <w:b w:val="1"/>
                <w:bCs w:val="1"/>
                <w:color w:val="auto"/>
              </w:rPr>
              <w:t>(1)</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71"/>
              </w:rPr>
              <w:t>(Unaudited)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3,476</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$ 14,361</w:t>
            </w:r>
          </w:p>
        </w:tc>
        <w:tc>
          <w:tcPr>
            <w:tcW w:w="2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99"/>
              </w:rPr>
              <w:t>$ 23,210</w:t>
            </w:r>
          </w:p>
        </w:tc>
        <w:tc>
          <w:tcPr>
            <w:tcW w:w="1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$ 22,227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51,859</w:t>
            </w: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61,232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88,568</w:t>
            </w: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9"/>
              </w:rPr>
              <w:t>Capital lease obligations (including short-term)</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24,789</w:t>
            </w:r>
          </w:p>
        </w:tc>
        <w:tc>
          <w:tcPr>
            <w:tcW w:w="8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29,728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29,228</w:t>
            </w:r>
          </w:p>
        </w:tc>
        <w:tc>
          <w:tcPr>
            <w:tcW w:w="1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30,775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indebtedness (including short-term</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indebtedness)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2,462</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25,590</w:t>
            </w:r>
          </w:p>
        </w:tc>
        <w:tc>
          <w:tcPr>
            <w:tcW w:w="8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21,390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31,948</w:t>
            </w:r>
          </w:p>
        </w:tc>
        <w:tc>
          <w:tcPr>
            <w:tcW w:w="1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32,739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stockholders’/members’ deficit</w:t>
            </w:r>
            <w:r>
              <w:rPr>
                <w:rFonts w:ascii="Arial" w:cs="Arial" w:eastAsia="Arial" w:hAnsi="Arial"/>
                <w:sz w:val="15"/>
                <w:szCs w:val="15"/>
                <w:color w:val="auto"/>
              </w:rPr>
              <w:t>(2)(4)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(12,111)</w:t>
            </w:r>
          </w:p>
        </w:tc>
        <w:tc>
          <w:tcPr>
            <w:tcW w:w="10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(11,723)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(10,386)</w:t>
            </w:r>
          </w:p>
        </w:tc>
        <w:tc>
          <w:tcPr>
            <w:tcW w:w="960" w:type="dxa"/>
            <w:vAlign w:val="bottom"/>
            <w:gridSpan w:val="6"/>
            <w:shd w:val="clear" w:color="auto" w:fill="CCEEFF"/>
          </w:tcPr>
          <w:p>
            <w:pPr>
              <w:jc w:val="right"/>
              <w:ind w:right="47"/>
              <w:spacing w:after="0"/>
              <w:rPr>
                <w:sz w:val="20"/>
                <w:szCs w:val="20"/>
                <w:color w:val="auto"/>
              </w:rPr>
            </w:pPr>
            <w:r>
              <w:rPr>
                <w:rFonts w:ascii="Arial" w:cs="Arial" w:eastAsia="Arial" w:hAnsi="Arial"/>
                <w:sz w:val="18"/>
                <w:szCs w:val="18"/>
                <w:color w:val="auto"/>
              </w:rPr>
              <w:t>(7,457)</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(68,692)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40" w:hanging="301"/>
        <w:spacing w:after="0" w:line="26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9" w:lineRule="exact"/>
        <w:rPr>
          <w:rFonts w:ascii="Arial" w:cs="Arial" w:eastAsia="Arial" w:hAnsi="Arial"/>
          <w:sz w:val="18"/>
          <w:szCs w:val="18"/>
          <w:color w:val="auto"/>
        </w:rPr>
      </w:pPr>
    </w:p>
    <w:p>
      <w:pPr>
        <w:ind w:left="1000" w:right="140" w:hanging="301"/>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24"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For all periods subsequent to such date, we have been subject to corporate-level U.S. federal and state income taxes.</w:t>
      </w:r>
    </w:p>
    <w:p>
      <w:pPr>
        <w:spacing w:after="0" w:line="8" w:lineRule="exact"/>
        <w:rPr>
          <w:rFonts w:ascii="Arial" w:cs="Arial" w:eastAsia="Arial" w:hAnsi="Arial"/>
          <w:sz w:val="18"/>
          <w:szCs w:val="18"/>
          <w:color w:val="auto"/>
        </w:rPr>
      </w:pPr>
    </w:p>
    <w:p>
      <w:pPr>
        <w:ind w:left="1000" w:right="80" w:hanging="301"/>
        <w:spacing w:after="0" w:line="286"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described in “Use of Proceeds” and “Special Distribution,” we will use the proceeds of this offering to pay a special distribution to our stockholders of record as of November 18,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the initial public offering price of $12.00 per share to pay the amount of dividends that exceeds net income for the twelve-month period ended September 30, 2008. The pro forma balance sheet and earnings per common share data also reflect the exercise of the warrant to purchase 909,348 shares of our common stock for $0.58 per share and assume the conversion of all outstanding shares of Series A convertible preferred stock into 10,870,178 shares of common stock upon the closing of the offering and the conversion of all</w:t>
      </w:r>
    </w:p>
    <w:p>
      <w:pPr>
        <w:spacing w:after="0" w:line="1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outstanding shares of Series C preferred stock into 2,233,333 shares of common stock upon the closing of the offering.</w:t>
      </w:r>
    </w:p>
    <w:p>
      <w:pPr>
        <w:spacing w:after="0" w:line="63" w:lineRule="exact"/>
        <w:rPr>
          <w:sz w:val="20"/>
          <w:szCs w:val="20"/>
          <w:color w:val="auto"/>
        </w:rPr>
      </w:pPr>
    </w:p>
    <w:p>
      <w:pPr>
        <w:ind w:left="1000" w:hanging="301"/>
        <w:spacing w:after="0" w:line="273"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16" w:lineRule="exact"/>
        <w:rPr>
          <w:rFonts w:ascii="Arial" w:cs="Arial" w:eastAsia="Arial" w:hAnsi="Arial"/>
          <w:sz w:val="17"/>
          <w:szCs w:val="17"/>
          <w:color w:val="auto"/>
        </w:rPr>
      </w:pPr>
    </w:p>
    <w:p>
      <w:pPr>
        <w:ind w:left="1000" w:right="180"/>
        <w:spacing w:after="0" w:line="271" w:lineRule="auto"/>
        <w:rPr>
          <w:rFonts w:ascii="Arial" w:cs="Arial" w:eastAsia="Arial" w:hAnsi="Arial"/>
          <w:sz w:val="17"/>
          <w:szCs w:val="17"/>
          <w:color w:val="auto"/>
        </w:rPr>
      </w:pPr>
      <w:r>
        <w:rPr>
          <w:rFonts w:ascii="Arial" w:cs="Arial" w:eastAsia="Arial" w:hAnsi="Arial"/>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16"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Our management uses Adjusted EBITDA:</w:t>
      </w:r>
    </w:p>
    <w:p>
      <w:pPr>
        <w:spacing w:after="0" w:line="130" w:lineRule="exact"/>
        <w:rPr>
          <w:rFonts w:ascii="Arial" w:cs="Arial" w:eastAsia="Arial" w:hAnsi="Arial"/>
          <w:sz w:val="17"/>
          <w:szCs w:val="17"/>
          <w:color w:val="auto"/>
        </w:rPr>
      </w:pPr>
    </w:p>
    <w:p>
      <w:pPr>
        <w:ind w:left="1700" w:hanging="211"/>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developing our internal budgets and strategic plan;</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a measurement of operating performance;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a factor in evaluating the performance of our management for compensation purposes; and</w:t>
      </w:r>
    </w:p>
    <w:p>
      <w:pPr>
        <w:spacing w:after="0" w:line="117" w:lineRule="exact"/>
        <w:rPr>
          <w:rFonts w:ascii="Arial" w:cs="Arial" w:eastAsia="Arial" w:hAnsi="Arial"/>
          <w:sz w:val="18"/>
          <w:szCs w:val="18"/>
          <w:color w:val="auto"/>
        </w:rPr>
      </w:pPr>
    </w:p>
    <w:p>
      <w:pPr>
        <w:jc w:val="both"/>
        <w:ind w:left="1700" w:right="500" w:hanging="211"/>
        <w:spacing w:after="0" w:line="264" w:lineRule="auto"/>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33" w:lineRule="exact"/>
        <w:rPr>
          <w:sz w:val="20"/>
          <w:szCs w:val="20"/>
          <w:color w:val="auto"/>
        </w:rPr>
      </w:pPr>
    </w:p>
    <w:p>
      <w:pPr>
        <w:ind w:left="1000" w:right="60"/>
        <w:spacing w:after="0" w:line="293" w:lineRule="auto"/>
        <w:rPr>
          <w:sz w:val="20"/>
          <w:szCs w:val="20"/>
          <w:color w:val="auto"/>
        </w:rPr>
      </w:pPr>
      <w:r>
        <w:rPr>
          <w:rFonts w:ascii="Arial" w:cs="Arial" w:eastAsia="Arial" w:hAnsi="Arial"/>
          <w:sz w:val="16"/>
          <w:szCs w:val="16"/>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presents data relating to Adjusted EBITDA, which is a non-GAAP measure,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12"/>
                <w:szCs w:val="12"/>
                <w:b w:val="1"/>
                <w:bCs w:val="1"/>
                <w:color w:val="auto"/>
                <w:w w:val="89"/>
              </w:rPr>
              <w:t>(1)</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w w:val="7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(4,286)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2,319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2,678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2,585</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9,074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11,723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7,309</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00" w:right="120" w:hanging="405"/>
        <w:spacing w:after="0" w:line="25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44" w:lineRule="exact"/>
        <w:rPr>
          <w:rFonts w:ascii="Arial" w:cs="Arial" w:eastAsia="Arial" w:hAnsi="Arial"/>
          <w:sz w:val="18"/>
          <w:szCs w:val="18"/>
          <w:color w:val="auto"/>
        </w:rPr>
      </w:pPr>
    </w:p>
    <w:p>
      <w:pPr>
        <w:ind w:left="1400" w:right="40" w:hanging="505"/>
        <w:spacing w:after="0" w:line="25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management fees and expenses of $0.1 million, $0.3 million, and $0.3 million for the years ended December 31, 2005, 2006, and 2007, respectively, and $0.2 million and $0.3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9" w:lineRule="exact"/>
        <w:rPr>
          <w:sz w:val="20"/>
          <w:szCs w:val="20"/>
          <w:color w:val="auto"/>
        </w:rPr>
      </w:pPr>
    </w:p>
    <w:p>
      <w:pPr>
        <w:ind w:left="700" w:right="220" w:firstLine="397"/>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87" w:lineRule="exact"/>
        <w:rPr>
          <w:sz w:val="20"/>
          <w:szCs w:val="20"/>
          <w:color w:val="auto"/>
        </w:rPr>
      </w:pPr>
    </w:p>
    <w:p>
      <w:pPr>
        <w:jc w:val="right"/>
        <w:ind w:right="91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right"/>
        <w:ind w:right="912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September 30, 2008, we had approximately 22,000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47"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Regulatory</w:t>
      </w:r>
    </w:p>
    <w:p>
      <w:pPr>
        <w:spacing w:after="0" w:line="90"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For our fiscal years ended December 31, 2006 and 2007, we derived cash receipts equal to approximately 67.9% and 70.2%,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25" w:lineRule="exact"/>
        <w:rPr>
          <w:sz w:val="20"/>
          <w:szCs w:val="20"/>
          <w:color w:val="auto"/>
        </w:rPr>
      </w:pPr>
    </w:p>
    <w:p>
      <w:pPr>
        <w:ind w:left="700" w:right="100" w:firstLine="397"/>
        <w:spacing w:after="0" w:line="289" w:lineRule="auto"/>
        <w:rPr>
          <w:sz w:val="20"/>
          <w:szCs w:val="20"/>
          <w:color w:val="auto"/>
        </w:rPr>
      </w:pPr>
      <w:r>
        <w:rPr>
          <w:rFonts w:ascii="Arial" w:cs="Arial" w:eastAsia="Arial" w:hAnsi="Arial"/>
          <w:sz w:val="16"/>
          <w:szCs w:val="16"/>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 As a result of this nationwide scrutiny, Congress has passed new laws, the Department of Education has enacted</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80"/>
        <w:spacing w:after="0" w:line="286" w:lineRule="auto"/>
        <w:rPr>
          <w:sz w:val="20"/>
          <w:szCs w:val="20"/>
          <w:color w:val="auto"/>
        </w:rPr>
      </w:pPr>
      <w:r>
        <w:rPr>
          <w:rFonts w:ascii="Arial" w:cs="Arial" w:eastAsia="Arial" w:hAnsi="Arial"/>
          <w:sz w:val="17"/>
          <w:szCs w:val="17"/>
          <w:color w:val="auto"/>
        </w:rPr>
        <w:t>stricter regulations, and several states have adopted codes of conduct or enacted state laws that further regulate the conduct of lenders, schools, and school personnel. The effect of such actions may be to increase the cost of participating in the Title IV programs and other student loan programs, although we are unable to calculate such potential costs at this time.</w:t>
      </w:r>
    </w:p>
    <w:p>
      <w:pPr>
        <w:spacing w:after="0" w:line="4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In addition, the recent disruption in the credit markets and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43"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 xml:space="preserve">Also, in recent years, several for-profit education companies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“Risk Factors — We were recently notified that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“Business — Legal Proceedings,” and “Regulation — Regulation of Federal Student Financial Aid Programs — Incentive compensation rule.” Further, 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“Risk Factors — The Office of Inspector General of the Department of Education has commenced an investigation of Grand Canyon University, which is ongoing and which may result in fines, penalties, other sanctions, and damage to our reputation in the industry,” and “Regulation — Regulation of Federal Student Financial Aid Programs — Incentive compensation rule.”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any of which could have a material adverse effect on our business, prospects, financial condition and results of operations and could adversely affect our stock price.</w:t>
      </w:r>
    </w:p>
    <w:p>
      <w:pPr>
        <w:spacing w:after="0" w:line="3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Key financial metrics</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7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44"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following is a summary of our student enrollment at December 31, 2005, 2006, and 2007 and September 30, 2007 and 2008 (which included less than 100 students pursuing non-degree certificates in each period) by degree type and by instructional delivery method:</w:t>
      </w:r>
    </w:p>
    <w:p>
      <w:pPr>
        <w:spacing w:after="0" w:line="5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6"/>
          </w:tcPr>
          <w:p>
            <w:pPr>
              <w:jc w:val="right"/>
              <w:ind w:right="27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0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Master’s degree</w:t>
            </w:r>
          </w:p>
        </w:tc>
        <w:tc>
          <w:tcPr>
            <w:tcW w:w="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8"/>
              </w:rPr>
              <w:t>6,204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5"/>
              </w:rPr>
              <w:t>73.7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5"/>
              </w:rPr>
              <w:t>73.3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62.1</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Bachelor’s degree</w:t>
            </w: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2,218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5"/>
              </w:rPr>
              <w:t>26.3</w:t>
            </w:r>
          </w:p>
        </w:tc>
        <w:tc>
          <w:tcPr>
            <w:tcW w:w="22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5"/>
              </w:rPr>
              <w:t>26.7</w:t>
            </w:r>
          </w:p>
        </w:tc>
        <w:tc>
          <w:tcPr>
            <w:tcW w:w="24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79"/>
              </w:rPr>
              <w:t>37.9</w:t>
            </w:r>
          </w:p>
        </w:tc>
        <w:tc>
          <w:tcPr>
            <w:tcW w:w="24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36.0</w:t>
            </w:r>
          </w:p>
        </w:tc>
        <w:tc>
          <w:tcPr>
            <w:tcW w:w="22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9,671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8"/>
              </w:rPr>
              <w:t>8,422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8"/>
              </w:rPr>
              <w:t>100.0</w:t>
            </w:r>
          </w:p>
        </w:tc>
        <w:tc>
          <w:tcPr>
            <w:tcW w:w="2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4"/>
              </w:rPr>
              <w:t>100.0</w:t>
            </w:r>
          </w:p>
        </w:tc>
        <w:tc>
          <w:tcPr>
            <w:tcW w:w="24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4"/>
              </w:rPr>
              <w:t>100.0</w:t>
            </w:r>
          </w:p>
        </w:tc>
        <w:tc>
          <w:tcPr>
            <w:tcW w:w="24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8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5"/>
              </w:rPr>
              <w:t>73.8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78.8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84.7</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19,287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Ground*</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85"/>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79"/>
              </w:rPr>
              <w:t>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5"/>
              </w:rPr>
              <w:t>15.3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Includes our traditional on-campus students, as well as our professional studies ground students.</w:t>
      </w:r>
    </w:p>
    <w:p>
      <w:pPr>
        <w:spacing w:after="0" w:line="113"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72"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Based on current tuition rates, tuition for a full program would equate to approximately $15,000 for an online master’s program, approximately $47,000 for a full four-year online bachelor’s program, and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is reduced for some of our students by scholarships. For the years ended December 31, 2006 and 2007, revenue was reduced by approximately $8.0 million and $10.3 million, respectively, as a result of scholarships that we offered to our students. For the nine months ended September 30, 2007 and 2008, we offered scholarships with a total value of approximately $6.6 million and $11.9 million, respectively.</w:t>
      </w:r>
    </w:p>
    <w:p>
      <w:pPr>
        <w:spacing w:after="0" w:line="9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We derive a majority of our net revenue from tuition financed by the Title IV programs. For the years ended December 31, 2006 and 2007, we derived cash receipts equal to approximately 67.9%, and 70.2%, respectively, of our net revenue from Title IV programs. Our students also rely on scholarships, personal savings, private loans, and employer tuition reimbursements to pay a portion of their tuition and related expenses. During fiscal 2007, payments derived from private loans constituted approximately 5.1%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31"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i w:val="1"/>
          <w:iCs w:val="1"/>
          <w:color w:val="auto"/>
        </w:rPr>
        <w:t xml:space="preserve">Instructional cost and services. </w:t>
      </w:r>
      <w:r>
        <w:rPr>
          <w:rFonts w:ascii="Arial" w:cs="Arial" w:eastAsia="Arial" w:hAnsi="Arial"/>
          <w:sz w:val="18"/>
          <w:szCs w:val="18"/>
          <w:color w:val="auto"/>
        </w:rPr>
        <w:t>Instructional cost and services consist primarily of costs related to the administration and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educational programs. This expense category 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98"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i w:val="1"/>
          <w:iCs w:val="1"/>
          <w:color w:val="auto"/>
        </w:rPr>
        <w:t xml:space="preserve">Selling and promotional. </w:t>
      </w:r>
      <w:r>
        <w:rPr>
          <w:rFonts w:ascii="Arial" w:cs="Arial" w:eastAsia="Arial" w:hAnsi="Arial"/>
          <w:sz w:val="18"/>
          <w:szCs w:val="18"/>
          <w:color w:val="auto"/>
        </w:rPr>
        <w:t>Selling and promotional expenses include salaries and benefits of personnel engaged in the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and retention of students, as well as 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and September 30, 2008 in an effort to increase our recruiting activities and enroll prospective students. We also leased new enrollment centers in Arizona and Utah, and we intend to continue to increase the number of our 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94"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nine month periods ended September 30, 2007 and 2008, we expensed approximately $2.8 million, $3.7 million, $4.3 million, $3.1 million, and $4.3 million, respectively, pursuant to these arrangements. As we increase our internal recruiting, marketing, and enrollment staff, we expect this revenue share as a proportion of total revenue to decline.</w:t>
      </w:r>
    </w:p>
    <w:p>
      <w:pPr>
        <w:spacing w:after="0" w:line="8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salaries and benefits of employees engaged in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finance, human resources, facilities, compliance, and other corporate functions. General and administrative expenses also include bad debt expense and an allocation of depreciation, amortization, rent and occupancy costs attributable to general and administrative functions.</w:t>
      </w:r>
    </w:p>
    <w:p>
      <w:pPr>
        <w:spacing w:after="0" w:line="92"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i w:val="1"/>
          <w:iCs w:val="1"/>
          <w:color w:val="auto"/>
        </w:rPr>
        <w:t xml:space="preserve">Royalty to former owner. </w:t>
      </w:r>
      <w:r>
        <w:rPr>
          <w:rFonts w:ascii="Arial" w:cs="Arial" w:eastAsia="Arial" w:hAnsi="Arial"/>
          <w:sz w:val="16"/>
          <w:szCs w:val="16"/>
          <w:color w:val="auto"/>
        </w:rPr>
        <w:t>In connection with our February 2004 acquisition of the assets of Grand Canyon University by several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current stockholders, we entered into a royalty fee arrangement with the former owner in which we agreed to pay a stated percentage of cash revenue generated by our online programs. For the years ended December 31, 2005, 2006, and 2007, and for the nine month periods ended September 30, 2007 and 2008, we expensed $1.6 million, $2.7 million, $3.8 million, $2.6 million, and $1.6 million, respectively, in connection with this arrangement. This arrangement has been terminated, as discussed below.</w:t>
      </w:r>
    </w:p>
    <w:p>
      <w:pPr>
        <w:spacing w:after="0" w:line="64"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charges on our capital lease obligations and on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of our notes payable and line of credit.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Factors affecting comparability</w:t>
      </w:r>
    </w:p>
    <w:p>
      <w:pPr>
        <w:spacing w:after="0" w:line="135" w:lineRule="exact"/>
        <w:rPr>
          <w:sz w:val="20"/>
          <w:szCs w:val="20"/>
          <w:color w:val="auto"/>
        </w:rPr>
      </w:pPr>
    </w:p>
    <w:p>
      <w:pPr>
        <w:ind w:left="700" w:right="860" w:firstLine="397"/>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76"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b w:val="1"/>
          <w:bCs w:val="1"/>
          <w:i w:val="1"/>
          <w:iCs w:val="1"/>
          <w:color w:val="auto"/>
        </w:rPr>
        <w:t xml:space="preserve">Conversion to corporate status. </w:t>
      </w:r>
      <w:r>
        <w:rPr>
          <w:rFonts w:ascii="Arial" w:cs="Arial" w:eastAsia="Arial" w:hAnsi="Arial"/>
          <w:sz w:val="17"/>
          <w:szCs w:val="17"/>
          <w:color w:val="auto"/>
        </w:rPr>
        <w:t>On August 24, 2005, we converted from a Delaware limited liability company to a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pursuant to Section 265 of the DGCL. As a 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7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b w:val="1"/>
          <w:bCs w:val="1"/>
          <w:i w:val="1"/>
          <w:iCs w:val="1"/>
          <w:color w:val="auto"/>
        </w:rPr>
        <w:t xml:space="preserve">Public company expenses. </w:t>
      </w:r>
      <w:r>
        <w:rPr>
          <w:rFonts w:ascii="Arial" w:cs="Arial" w:eastAsia="Arial" w:hAnsi="Arial"/>
          <w:sz w:val="17"/>
          <w:szCs w:val="17"/>
          <w:color w:val="auto"/>
        </w:rPr>
        <w:t>Upon consummation of our initial public offering, we will become a public company, and will have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listed for trading on the Nasdaq Global 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83"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b w:val="1"/>
          <w:bCs w:val="1"/>
          <w:i w:val="1"/>
          <w:iCs w:val="1"/>
          <w:color w:val="auto"/>
        </w:rPr>
        <w:t xml:space="preserve">Settlement with former owner. </w:t>
      </w:r>
      <w:r>
        <w:rPr>
          <w:rFonts w:ascii="Arial" w:cs="Arial" w:eastAsia="Arial" w:hAnsi="Arial"/>
          <w:sz w:val="18"/>
          <w:szCs w:val="18"/>
          <w:color w:val="auto"/>
        </w:rPr>
        <w:t>To resolve a dispute with our former owner arising from our acquisition of Grand Canyon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and subsequent lease of our campus, we entered into a standstill agreement in September 2007 pursuant to which we agreed with the former owner to stay all pending legal proceedings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9" w:lineRule="auto"/>
        <w:rPr>
          <w:sz w:val="20"/>
          <w:szCs w:val="20"/>
          <w:color w:val="auto"/>
        </w:rPr>
      </w:pPr>
      <w:r>
        <w:rPr>
          <w:rFonts w:ascii="Arial" w:cs="Arial" w:eastAsia="Arial" w:hAnsi="Arial"/>
          <w:sz w:val="17"/>
          <w:szCs w:val="17"/>
          <w:color w:val="auto"/>
        </w:rPr>
        <w:t>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88"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b w:val="1"/>
          <w:bCs w:val="1"/>
          <w:i w:val="1"/>
          <w:iCs w:val="1"/>
          <w:color w:val="auto"/>
        </w:rPr>
        <w:t xml:space="preserve">Management fees and expenses. </w:t>
      </w:r>
      <w:r>
        <w:rPr>
          <w:rFonts w:ascii="Arial" w:cs="Arial" w:eastAsia="Arial" w:hAnsi="Arial"/>
          <w:sz w:val="17"/>
          <w:szCs w:val="17"/>
          <w:color w:val="auto"/>
        </w:rPr>
        <w:t>In connection with an August 2005 investment led by Endeavour Capital, we entered into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 services agreement with Endeavour Capital’s general partner. Concurrent with the closing of this offering, the professional services agreement will terminate by its terms. For the years ended December 31, 2005, 2006, and 2007, and for the nine month periods ended September 30, 2007 and 2008, we incurred $0.1 million, $0.3 million, $0.3 million, $0.2 million, and $0.3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8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b w:val="1"/>
          <w:bCs w:val="1"/>
          <w:i w:val="1"/>
          <w:iCs w:val="1"/>
          <w:color w:val="auto"/>
        </w:rPr>
        <w:t xml:space="preserve">Stock-based and other executive compensation. </w:t>
      </w:r>
      <w:r>
        <w:rPr>
          <w:rFonts w:ascii="Arial" w:cs="Arial" w:eastAsia="Arial" w:hAnsi="Arial"/>
          <w:sz w:val="17"/>
          <w:szCs w:val="17"/>
          <w:color w:val="auto"/>
        </w:rPr>
        <w:t>Prior to this offering, we have not granted or issued any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Accordingly, we have not recognized any stock-based compensation expense. 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$5.5 million in the fourth quarter of 2008.</w:t>
      </w:r>
    </w:p>
    <w:p>
      <w:pPr>
        <w:spacing w:after="0" w:line="78"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In July 2008, we hired a new Chief Executive Officer, Chief Financial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as well as other financial and accounting personnel. Accordingly, compensation expenses, as reflected in our general and administrative expenses, will be higher beginning in the third quarter of 2008.</w:t>
      </w:r>
    </w:p>
    <w:p>
      <w:pPr>
        <w:spacing w:after="0" w:line="87"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 xml:space="preserve">In connection with the Office of Inspector General investigation and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we expect to incur increased legal expenses associated with responding to and/or defending such matters, including an estimated $1.1 million in the fourth quarter of 2008 as compared to the approximately $0.2 million in legal expenses incurred in the fourth quarter of 2007.</w:t>
      </w:r>
    </w:p>
    <w:p>
      <w:pPr>
        <w:spacing w:after="0" w:line="71"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b w:val="1"/>
          <w:bCs w:val="1"/>
          <w:i w:val="1"/>
          <w:iCs w:val="1"/>
          <w:color w:val="auto"/>
        </w:rPr>
        <w:t xml:space="preserve">License agreement. </w:t>
      </w:r>
      <w:r>
        <w:rPr>
          <w:rFonts w:ascii="Arial" w:cs="Arial" w:eastAsia="Arial" w:hAnsi="Arial"/>
          <w:sz w:val="16"/>
          <w:szCs w:val="16"/>
          <w:color w:val="auto"/>
        </w:rPr>
        <w:t>In June 2004, we entered into a license agreement with Blanchard Education, LLC (“Blanchard”)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use of the Ken Blanchard name for our College 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 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35"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b w:val="1"/>
          <w:bCs w:val="1"/>
          <w:i w:val="1"/>
          <w:iCs w:val="1"/>
          <w:color w:val="auto"/>
        </w:rPr>
        <w:t xml:space="preserve">Overview. </w:t>
      </w:r>
      <w:r>
        <w:rPr>
          <w:rFonts w:ascii="Arial" w:cs="Arial" w:eastAsia="Arial" w:hAnsi="Arial"/>
          <w:sz w:val="17"/>
          <w:szCs w:val="17"/>
          <w:color w:val="auto"/>
        </w:rPr>
        <w:t>We have material weaknesses in internal control over financial reporting. In connection with the preparation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2006, and 2007 financial statements, and our 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84" w:lineRule="exact"/>
        <w:rPr>
          <w:sz w:val="20"/>
          <w:szCs w:val="20"/>
          <w:color w:val="auto"/>
        </w:rPr>
      </w:pPr>
    </w:p>
    <w:p>
      <w:pPr>
        <w:ind w:left="700" w:right="260" w:firstLine="397"/>
        <w:spacing w:after="0" w:line="342" w:lineRule="auto"/>
        <w:rPr>
          <w:sz w:val="20"/>
          <w:szCs w:val="20"/>
          <w:color w:val="auto"/>
        </w:rPr>
      </w:pPr>
      <w:r>
        <w:rPr>
          <w:rFonts w:ascii="Arial" w:cs="Arial" w:eastAsia="Arial" w:hAnsi="Arial"/>
          <w:sz w:val="16"/>
          <w:szCs w:val="16"/>
          <w:b w:val="1"/>
          <w:bCs w:val="1"/>
          <w:i w:val="1"/>
          <w:iCs w:val="1"/>
          <w:color w:val="auto"/>
        </w:rPr>
        <w:t xml:space="preserve">Material weaknesses. </w:t>
      </w:r>
      <w:r>
        <w:rPr>
          <w:rFonts w:ascii="Arial" w:cs="Arial" w:eastAsia="Arial" w:hAnsi="Arial"/>
          <w:sz w:val="16"/>
          <w:szCs w:val="16"/>
          <w:color w:val="auto"/>
        </w:rPr>
        <w:t>In connection with the preparation of our 2005, 2006, and 2007 financial statements, and our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for the six month period ended June 30, 2008, we identified errors regarding our accounting for the following transactions:</w:t>
      </w:r>
    </w:p>
    <w:p>
      <w:pPr>
        <w:spacing w:after="0" w:line="29" w:lineRule="exact"/>
        <w:rPr>
          <w:sz w:val="20"/>
          <w:szCs w:val="20"/>
          <w:color w:val="auto"/>
        </w:rPr>
      </w:pPr>
    </w:p>
    <w:p>
      <w:pPr>
        <w:ind w:left="1700" w:right="140" w:hanging="211"/>
        <w:spacing w:after="0" w:line="264"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73" w:lineRule="exact"/>
        <w:rPr>
          <w:rFonts w:ascii="Arial" w:cs="Arial" w:eastAsia="Arial" w:hAnsi="Arial"/>
          <w:sz w:val="18"/>
          <w:szCs w:val="18"/>
          <w:color w:val="auto"/>
        </w:rPr>
      </w:pPr>
    </w:p>
    <w:p>
      <w:pPr>
        <w:ind w:left="1700" w:right="60" w:hanging="211"/>
        <w:spacing w:after="0" w:line="25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80" w:lineRule="exact"/>
        <w:rPr>
          <w:rFonts w:ascii="Arial" w:cs="Arial" w:eastAsia="Arial" w:hAnsi="Arial"/>
          <w:sz w:val="18"/>
          <w:szCs w:val="18"/>
          <w:color w:val="auto"/>
        </w:rPr>
      </w:pPr>
    </w:p>
    <w:p>
      <w:pPr>
        <w:ind w:left="1700" w:right="100" w:hanging="211"/>
        <w:spacing w:after="0" w:line="264"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73" w:lineRule="exact"/>
        <w:rPr>
          <w:rFonts w:ascii="Arial" w:cs="Arial" w:eastAsia="Arial" w:hAnsi="Arial"/>
          <w:sz w:val="18"/>
          <w:szCs w:val="18"/>
          <w:color w:val="auto"/>
        </w:rPr>
      </w:pPr>
    </w:p>
    <w:p>
      <w:pPr>
        <w:ind w:left="1700" w:hanging="21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all periods, we failed to properly account for the issuance of certain common stock and equity linked instruments to third parties.</w:t>
      </w:r>
    </w:p>
    <w:p>
      <w:pPr>
        <w:spacing w:after="0" w:line="62" w:lineRule="exact"/>
        <w:rPr>
          <w:rFonts w:ascii="Arial" w:cs="Arial" w:eastAsia="Arial" w:hAnsi="Arial"/>
          <w:sz w:val="18"/>
          <w:szCs w:val="18"/>
          <w:color w:val="auto"/>
        </w:rPr>
      </w:pPr>
    </w:p>
    <w:p>
      <w:pPr>
        <w:ind w:left="1700" w:hanging="211"/>
        <w:spacing w:after="0" w:line="264"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73" w:lineRule="exact"/>
        <w:rPr>
          <w:rFonts w:ascii="Arial" w:cs="Arial" w:eastAsia="Arial" w:hAnsi="Arial"/>
          <w:sz w:val="18"/>
          <w:szCs w:val="18"/>
          <w:color w:val="auto"/>
        </w:rPr>
      </w:pPr>
    </w:p>
    <w:p>
      <w:pPr>
        <w:ind w:left="1700" w:hanging="21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failed to properly account for deferred taxes at the date of conversion from a limited liability company to a corporation.</w:t>
      </w:r>
    </w:p>
    <w:p>
      <w:pPr>
        <w:spacing w:after="0" w:line="15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believe that certain of the control deficiencies related to these errors constitute material weaknesses in our internal control over financial reporting. Such material weaknesses related to our lack of processes and controls that would ensure the proper recording of assets, expenses, leases, and equity instruments in accordance with GAAP.</w:t>
      </w:r>
    </w:p>
    <w:p>
      <w:pPr>
        <w:spacing w:after="0" w:line="87" w:lineRule="exact"/>
        <w:rPr>
          <w:sz w:val="20"/>
          <w:szCs w:val="20"/>
          <w:color w:val="auto"/>
        </w:rPr>
      </w:pPr>
    </w:p>
    <w:p>
      <w:pPr>
        <w:ind w:left="700" w:right="480" w:firstLine="397"/>
        <w:spacing w:after="0" w:line="259" w:lineRule="auto"/>
        <w:rPr>
          <w:sz w:val="20"/>
          <w:szCs w:val="20"/>
          <w:color w:val="auto"/>
        </w:rPr>
      </w:pPr>
      <w:r>
        <w:rPr>
          <w:rFonts w:ascii="Arial" w:cs="Arial" w:eastAsia="Arial" w:hAnsi="Arial"/>
          <w:sz w:val="18"/>
          <w:szCs w:val="18"/>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fiscal year 2008. Our Chief Financial Officer has taken responsibility for implementing</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changes and improvements in the internal control over financial reporting and remediate the control deficiencies that gave rise to the material weaknesses. Specifically, these changes include:</w:t>
      </w:r>
    </w:p>
    <w:p>
      <w:pPr>
        <w:spacing w:after="0" w:line="76" w:lineRule="exact"/>
        <w:rPr>
          <w:sz w:val="20"/>
          <w:szCs w:val="20"/>
          <w:color w:val="auto"/>
        </w:rPr>
      </w:pPr>
    </w:p>
    <w:p>
      <w:pPr>
        <w:ind w:left="1700" w:right="340" w:hanging="211"/>
        <w:spacing w:after="0" w:line="342" w:lineRule="auto"/>
        <w:tabs>
          <w:tab w:leader="none" w:pos="1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15" w:lineRule="exact"/>
        <w:rPr>
          <w:rFonts w:ascii="Arial" w:cs="Arial" w:eastAsia="Arial" w:hAnsi="Arial"/>
          <w:sz w:val="16"/>
          <w:szCs w:val="16"/>
          <w:color w:val="auto"/>
        </w:rPr>
      </w:pPr>
    </w:p>
    <w:p>
      <w:pPr>
        <w:ind w:left="1700" w:hanging="211"/>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numerous process changes in the financial reporting area, including additional oversight and review; and</w:t>
      </w:r>
    </w:p>
    <w:p>
      <w:pPr>
        <w:spacing w:after="0" w:line="128" w:lineRule="exact"/>
        <w:rPr>
          <w:rFonts w:ascii="Arial" w:cs="Arial" w:eastAsia="Arial" w:hAnsi="Arial"/>
          <w:sz w:val="17"/>
          <w:szCs w:val="17"/>
          <w:color w:val="auto"/>
        </w:rPr>
      </w:pPr>
    </w:p>
    <w:p>
      <w:pPr>
        <w:ind w:left="1700" w:right="900" w:hanging="211"/>
        <w:spacing w:after="0" w:line="27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conducting training of our accounting staff for purposes of enabling them to recognize and properly account for transactions of the type described above.</w:t>
      </w:r>
    </w:p>
    <w:p>
      <w:pPr>
        <w:spacing w:after="0" w:line="13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2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84" w:lineRule="exact"/>
        <w:rPr>
          <w:sz w:val="20"/>
          <w:szCs w:val="20"/>
          <w:color w:val="auto"/>
        </w:rPr>
      </w:pPr>
    </w:p>
    <w:p>
      <w:pPr>
        <w:ind w:left="700" w:right="700" w:firstLine="397"/>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financial statements:</w:t>
      </w:r>
    </w:p>
    <w:p>
      <w:pPr>
        <w:spacing w:after="0" w:line="76" w:lineRule="exact"/>
        <w:rPr>
          <w:sz w:val="20"/>
          <w:szCs w:val="20"/>
          <w:color w:val="auto"/>
        </w:rPr>
      </w:pPr>
    </w:p>
    <w:p>
      <w:pPr>
        <w:ind w:left="700" w:right="100" w:firstLine="794"/>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Tuition revenue is recognized monthly over the applicable period of instruction. Deferred revenue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student deposits in any period represent the 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6"/>
          <w:szCs w:val="16"/>
          <w:i w:val="1"/>
          <w:iCs w:val="1"/>
          <w:color w:val="auto"/>
        </w:rPr>
        <w:t>Revenue Recognition in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If a student withdraws prior to the end of the third week of a semester, we refund all or a portion of tuition already</w:t>
      </w:r>
      <w:r>
        <w:rPr>
          <w:rFonts w:ascii="Arial" w:cs="Arial" w:eastAsia="Arial" w:hAnsi="Arial"/>
          <w:sz w:val="16"/>
          <w:szCs w:val="16"/>
          <w:i w:val="1"/>
          <w:iCs w:val="1"/>
          <w:color w:val="auto"/>
        </w:rPr>
        <w:t xml:space="preserve"> </w:t>
      </w:r>
      <w:r>
        <w:rPr>
          <w:rFonts w:ascii="Arial" w:cs="Arial" w:eastAsia="Arial" w:hAnsi="Arial"/>
          <w:sz w:val="16"/>
          <w:szCs w:val="16"/>
          <w:color w:val="auto"/>
        </w:rPr>
        <w:t>paid pursuant to our refund policy, which generally results in a reduction in deferred revenue and student deposits.</w:t>
      </w:r>
    </w:p>
    <w:p>
      <w:pPr>
        <w:spacing w:after="0" w:line="73" w:lineRule="exact"/>
        <w:rPr>
          <w:sz w:val="20"/>
          <w:szCs w:val="20"/>
          <w:color w:val="auto"/>
        </w:rPr>
      </w:pPr>
    </w:p>
    <w:p>
      <w:pPr>
        <w:ind w:left="700" w:firstLine="794"/>
        <w:spacing w:after="0" w:line="289" w:lineRule="auto"/>
        <w:rPr>
          <w:sz w:val="20"/>
          <w:szCs w:val="20"/>
          <w:color w:val="auto"/>
        </w:rPr>
      </w:pPr>
      <w:r>
        <w:rPr>
          <w:rFonts w:ascii="Arial" w:cs="Arial" w:eastAsia="Arial" w:hAnsi="Arial"/>
          <w:sz w:val="16"/>
          <w:szCs w:val="16"/>
          <w:b w:val="1"/>
          <w:bCs w:val="1"/>
          <w:i w:val="1"/>
          <w:iCs w:val="1"/>
          <w:color w:val="auto"/>
        </w:rPr>
        <w:t xml:space="preserve">Allowance for doubtful accounts. </w:t>
      </w:r>
      <w:r>
        <w:rPr>
          <w:rFonts w:ascii="Arial" w:cs="Arial" w:eastAsia="Arial" w:hAnsi="Arial"/>
          <w:sz w:val="16"/>
          <w:szCs w:val="16"/>
          <w:color w:val="auto"/>
        </w:rPr>
        <w:t>Bad debt expense is recorded as a general and administrative expense. We record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doubtful accounts for estimated losses 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 reduction in our accounts receivable and related allowances. We believe our reserves are adequate to cover any write offs we may make.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firstLine="794"/>
        <w:spacing w:after="0" w:line="257" w:lineRule="auto"/>
        <w:rPr>
          <w:sz w:val="20"/>
          <w:szCs w:val="20"/>
          <w:color w:val="auto"/>
        </w:rPr>
      </w:pPr>
      <w:r>
        <w:rPr>
          <w:rFonts w:ascii="Arial" w:cs="Arial" w:eastAsia="Arial" w:hAnsi="Arial"/>
          <w:sz w:val="18"/>
          <w:szCs w:val="18"/>
          <w:b w:val="1"/>
          <w:bCs w:val="1"/>
          <w:i w:val="1"/>
          <w:iCs w:val="1"/>
          <w:color w:val="auto"/>
        </w:rPr>
        <w:t xml:space="preserve">Long-Lived Assets. </w:t>
      </w:r>
      <w:r>
        <w:rPr>
          <w:rFonts w:ascii="Arial" w:cs="Arial" w:eastAsia="Arial" w:hAnsi="Arial"/>
          <w:sz w:val="18"/>
          <w:szCs w:val="18"/>
          <w:color w:val="auto"/>
        </w:rPr>
        <w:t>We evaluate the recoverability of our long-lived assets for impairment whenever events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94" w:lineRule="exact"/>
        <w:rPr>
          <w:sz w:val="20"/>
          <w:szCs w:val="20"/>
          <w:color w:val="auto"/>
        </w:rPr>
      </w:pPr>
    </w:p>
    <w:p>
      <w:pPr>
        <w:ind w:left="700" w:right="40" w:firstLine="794"/>
        <w:spacing w:after="0" w:line="26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On August 24, 2005, we converted from a limited liability company to a corporation. For all periods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subsequent to such date, we have been and will continue to be subject to corporate-level U.S. federal and state income taxes. Effective January 1, 2008, we adopted FASB Interpretation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Income Taxes </w:t>
      </w:r>
      <w:r>
        <w:rPr>
          <w:rFonts w:ascii="Arial" w:cs="Arial" w:eastAsia="Arial" w:hAnsi="Arial"/>
          <w:sz w:val="17"/>
          <w:szCs w:val="17"/>
          <w:color w:val="auto"/>
        </w:rPr>
        <w:t>(“SFAS No. 109”). SFAS No. 109 prescribes the use of the asset and liability method to compute the differences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statements of operations data as a percentage of net revenue for each of the periods indicated: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60" w:type="dxa"/>
            <w:vAlign w:val="bottom"/>
            <w:gridSpan w:val="7"/>
            <w:vMerge w:val="restart"/>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60" w:type="dxa"/>
            <w:vAlign w:val="bottom"/>
            <w:gridSpan w:val="7"/>
            <w:vMerge w:val="continue"/>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left="9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2"/>
                <w:szCs w:val="12"/>
                <w:b w:val="1"/>
                <w:bCs w:val="1"/>
                <w:color w:val="auto"/>
                <w:w w:val="81"/>
              </w:rPr>
              <w:t>(1)</w:t>
            </w:r>
          </w:p>
        </w:tc>
        <w:tc>
          <w:tcPr>
            <w:tcW w:w="50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71"/>
              </w:rPr>
              <w:t>(Unaudited)</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0"/>
              </w:rPr>
              <w:t>(Restated)</w:t>
            </w:r>
          </w:p>
        </w:tc>
        <w:tc>
          <w:tcPr>
            <w:tcW w:w="420" w:type="dxa"/>
            <w:vAlign w:val="bottom"/>
            <w:tcBorders>
              <w:top w:val="single" w:sz="8" w:color="auto"/>
              <w:bottom w:val="single" w:sz="8" w:color="auto"/>
            </w:tcBorders>
            <w:vMerge w:val="continue"/>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Instructional cost and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Selling and promotional</w:t>
            </w: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Royalty to former owner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12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 w:hanging="301"/>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Nine Months Ended September 30, 2008 Compared to Nine Months Ended September 30, 2007</w:t>
      </w:r>
    </w:p>
    <w:p>
      <w:pPr>
        <w:spacing w:after="0" w:line="131" w:lineRule="exact"/>
        <w:rPr>
          <w:sz w:val="20"/>
          <w:szCs w:val="20"/>
          <w:color w:val="auto"/>
        </w:rPr>
      </w:pPr>
    </w:p>
    <w:p>
      <w:pPr>
        <w:jc w:val="both"/>
        <w:ind w:left="700" w:right="120" w:firstLine="397"/>
        <w:spacing w:after="0" w:line="293" w:lineRule="auto"/>
        <w:rPr>
          <w:sz w:val="20"/>
          <w:szCs w:val="20"/>
          <w:color w:val="auto"/>
        </w:rPr>
      </w:pPr>
      <w:r>
        <w:rPr>
          <w:rFonts w:ascii="Arial" w:cs="Arial" w:eastAsia="Arial" w:hAnsi="Arial"/>
          <w:sz w:val="16"/>
          <w:szCs w:val="16"/>
          <w:i w:val="1"/>
          <w:iCs w:val="1"/>
          <w:color w:val="auto"/>
        </w:rPr>
        <w:t xml:space="preserve">Net revenue. </w:t>
      </w:r>
      <w:r>
        <w:rPr>
          <w:rFonts w:ascii="Arial" w:cs="Arial" w:eastAsia="Arial" w:hAnsi="Arial"/>
          <w:sz w:val="16"/>
          <w:szCs w:val="16"/>
          <w:color w:val="auto"/>
        </w:rPr>
        <w:t>Our net revenue for the nine months ended September 30, 2008 was $109.6 million, an increase of $41.1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60.1%, as compared to net revenue of $68.5 million for the nine months ended September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62.7% between September 30, 2007 and 2008, as we were able to continue our growth and increase our recruitment, marketing, and enrollment operations following the elimination of the Department of Education’s growth restrictions in October 2006.</w:t>
      </w:r>
    </w:p>
    <w:p>
      <w:pPr>
        <w:spacing w:after="0" w:line="70"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i w:val="1"/>
          <w:iCs w:val="1"/>
          <w:color w:val="auto"/>
        </w:rPr>
        <w:t xml:space="preserve">Instructional cost and services expenses. </w:t>
      </w:r>
      <w:r>
        <w:rPr>
          <w:rFonts w:ascii="Arial" w:cs="Arial" w:eastAsia="Arial" w:hAnsi="Arial"/>
          <w:sz w:val="17"/>
          <w:szCs w:val="17"/>
          <w:color w:val="auto"/>
        </w:rPr>
        <w:t>Our instructional cost and services expenses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2008 were $37.0 million, an increase of $9.5 million, or 34.4%, as compared to instructional cost and services expenses of $27.5 million for the nine months ended September 30, 2007. This increase was primarily due to increases in instructional compensation and related expenses, faculty compensation, depreciation and amortization, and other miscellaneous instructional costs and services of $3.5 million, $2.9 million, $1.0 million, and $2.1 million, respectively. These increases are all attributable to the increased headcount (both staff and faculty) needed to provide student instruction and support services as a result of the increase in enrollments. Our instructional cost and services expenses as a percentage of net revenue decreased by 6.5% to 33.7% for the nine months ended September 30, 2008, as compared to 40.2% for the nine months ended September 30, 2007.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83"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i w:val="1"/>
          <w:iCs w:val="1"/>
          <w:color w:val="auto"/>
        </w:rPr>
        <w:t xml:space="preserve">Selling and promotional expenses. </w:t>
      </w:r>
      <w:r>
        <w:rPr>
          <w:rFonts w:ascii="Arial" w:cs="Arial" w:eastAsia="Arial" w:hAnsi="Arial"/>
          <w:sz w:val="16"/>
          <w:szCs w:val="16"/>
          <w:color w:val="auto"/>
        </w:rPr>
        <w:t>Our selling and promotional expenses for the nine months ended September 30, 2008 were</w:t>
      </w:r>
      <w:r>
        <w:rPr>
          <w:rFonts w:ascii="Arial" w:cs="Arial" w:eastAsia="Arial" w:hAnsi="Arial"/>
          <w:sz w:val="16"/>
          <w:szCs w:val="16"/>
          <w:i w:val="1"/>
          <w:iCs w:val="1"/>
          <w:color w:val="auto"/>
        </w:rPr>
        <w:t xml:space="preserve"> </w:t>
      </w:r>
      <w:r>
        <w:rPr>
          <w:rFonts w:ascii="Arial" w:cs="Arial" w:eastAsia="Arial" w:hAnsi="Arial"/>
          <w:sz w:val="16"/>
          <w:szCs w:val="16"/>
          <w:color w:val="auto"/>
        </w:rPr>
        <w:t>$46.0 million, an increase of $21.7 million, or 89.5%, as compared to selling and promotional expenses of $24.3 million for the nine months ended September 30, 2007. This increase was primarily due to increases in selling and promotional employee compensation and related expenses, advertising, revenue sharing expense, and other selling and promotional related costs of $12.9 million, $6.5 million, $1.2 million, and $1.1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6.5% to 42.0% for the nine months ended September 30, 2008, from 35.5% for the nine months ended September 30, 2007. This increase occurred as a result of a significant increase in the number of our enrollment counselors to increase our efforts to enroll prospective students and also increased lead purchases to support the additional enrollment counselors.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reduce selling and promotional expenses as a percentage of net revenue in the future.</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nine months ended September 30, 2008</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were $16.0 million, an increase of $4.1 million, or 35.0%, as compared to general and administrative expenses of $11.9 million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nine months ended September 30, 2007. This increase was primarily due to increases in legal, audit and corporate insurance; bad debt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expense; employee compensation; and other general and administrative expenses of $1.1 million, $1.0 million, $0.8 million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$1.2 million, respectively. The increase in legal, audit, and corporate insurance is primarily related to legal costs associated with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Sungard matter, which went to arbitration in the second quarter of fiscal 2008, as well as costs incurred related to the OIG investigation.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“Business — Legal Proceedings.” Bad debt expense increased to $5.3 million for the nine months ended September 30, 2008 from</w:t>
      </w:r>
    </w:p>
    <w:p>
      <w:pPr>
        <w:spacing w:after="0" w:line="32" w:lineRule="exact"/>
        <w:rPr>
          <w:sz w:val="20"/>
          <w:szCs w:val="20"/>
          <w:color w:val="auto"/>
        </w:rPr>
      </w:pPr>
    </w:p>
    <w:p>
      <w:pPr>
        <w:ind w:left="700" w:right="20"/>
        <w:spacing w:after="0" w:line="323" w:lineRule="auto"/>
        <w:rPr>
          <w:sz w:val="20"/>
          <w:szCs w:val="20"/>
          <w:color w:val="auto"/>
        </w:rPr>
      </w:pPr>
      <w:r>
        <w:rPr>
          <w:rFonts w:ascii="Arial" w:cs="Arial" w:eastAsia="Arial" w:hAnsi="Arial"/>
          <w:sz w:val="16"/>
          <w:szCs w:val="16"/>
          <w:color w:val="auto"/>
        </w:rPr>
        <w:t>$4.3 million for the nine months ended September 30, 2007 as a result of an increase in net revenue. The other general and administrative expense increase was attributable to expenditures made to continue to support the growth of our business. Our general</w:t>
      </w: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2" w:lineRule="auto"/>
        <w:rPr>
          <w:sz w:val="20"/>
          <w:szCs w:val="20"/>
          <w:color w:val="auto"/>
        </w:rPr>
      </w:pPr>
      <w:r>
        <w:rPr>
          <w:rFonts w:ascii="Arial" w:cs="Arial" w:eastAsia="Arial" w:hAnsi="Arial"/>
          <w:sz w:val="17"/>
          <w:szCs w:val="17"/>
          <w:color w:val="auto"/>
        </w:rPr>
        <w:t>and administrative expenses as a percentage of net revenue decreased by 2.4% to 14.9% for the nine months ended September 30, 2008, from 17.3% for the nine months ended September 30, 2007, primarily due to a decrease in our bad debt expense and employee compensation and related benefits as a percentage of net revenue between periods from 6.3% and 4.3% of revenue during the first nine months of 2007, respectively, to 4.8% and 3.4% of net revenue during the first nine months of 2008, respectively. The improvement in bad debt expense as a percentage of net revenue is primarily due to an improvement in our aging between periods and an increased revenue base. The decrease in employee compensation and related benefits as a percentage of net revenue is the result of us leveraging our current staffing over a larger revenue base.</w:t>
      </w:r>
    </w:p>
    <w:p>
      <w:pPr>
        <w:spacing w:after="0" w:line="83"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Royalty to former owner. </w:t>
      </w:r>
      <w:r>
        <w:rPr>
          <w:rFonts w:ascii="Arial" w:cs="Arial" w:eastAsia="Arial" w:hAnsi="Arial"/>
          <w:sz w:val="17"/>
          <w:szCs w:val="17"/>
          <w:color w:val="auto"/>
        </w:rPr>
        <w:t>In connection with our royalty fee arrangement with the former owner related to online revenue, we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royalty expenses for the nine months ended September 30, 2008 of $1.6 million, a decrease of $1.0 million, or 37.6%, as compared to royalty expenses incurred of $2.6 million for the nine months ended September 30, 2007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1.5% for the nine months ended September 30, 2008 from 3.8% for the nine months ended September 30, 2007.</w:t>
      </w:r>
    </w:p>
    <w:p>
      <w:pPr>
        <w:spacing w:after="0" w:line="83"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for both the nine month periods ended September 30, 2008 and 2007 was $2.2 million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level of borrowings remained fairly consistent between periods.</w:t>
      </w:r>
    </w:p>
    <w:p>
      <w:pPr>
        <w:spacing w:after="0" w:line="76"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Our interest income for the nine months ended September 30, 2008 was $0.5 million, a decrease of $0.3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$0.8 million for the nine months ended September 30, 2007, as a result of decreased levels of cash and cash equivalents.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for the nine months ended September 30, 2008 was $2.8 million, an increase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$2.5 million from $0.3 million for the nine months ended September 30, 2007. This increase was primarily attributable to increased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before income taxes, partially offset by a slight decrease in our effective income tax rate to 39.1% from 40.0%.</w:t>
      </w:r>
    </w:p>
    <w:p>
      <w:pPr>
        <w:spacing w:after="0" w:line="116"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Our net income for the nine months ended September 30, 2008 was $4.5 million, an increase of $4.0 million, or 760%,</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net income of $0.5 million for the nine months ended September 30, 2007, due to the factors discussed above.</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18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Net revenue. </w:t>
      </w:r>
      <w:r>
        <w:rPr>
          <w:rFonts w:ascii="Arial" w:cs="Arial" w:eastAsia="Arial" w:hAnsi="Arial"/>
          <w:sz w:val="17"/>
          <w:szCs w:val="17"/>
          <w:color w:val="auto"/>
        </w:rPr>
        <w:t>Our net revenue for the year ended December 31, 2007 was $99.3 million, an increase of $27.2 million, or 37.7%,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revenue of $72.1 million for the 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8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Instructional cost and services expenses. </w:t>
      </w:r>
      <w:r>
        <w:rPr>
          <w:rFonts w:ascii="Arial" w:cs="Arial" w:eastAsia="Arial" w:hAnsi="Arial"/>
          <w:sz w:val="16"/>
          <w:szCs w:val="16"/>
          <w:color w:val="auto"/>
        </w:rPr>
        <w:t>Our instructional cost and services expenses for the year ended December 31, 2007 were</w:t>
      </w:r>
      <w:r>
        <w:rPr>
          <w:rFonts w:ascii="Arial" w:cs="Arial" w:eastAsia="Arial" w:hAnsi="Arial"/>
          <w:sz w:val="16"/>
          <w:szCs w:val="16"/>
          <w:i w:val="1"/>
          <w:iCs w:val="1"/>
          <w:color w:val="auto"/>
        </w:rPr>
        <w:t xml:space="preserve"> </w:t>
      </w:r>
      <w:r>
        <w:rPr>
          <w:rFonts w:ascii="Arial" w:cs="Arial" w:eastAsia="Arial" w:hAnsi="Arial"/>
          <w:sz w:val="16"/>
          <w:szCs w:val="16"/>
          <w:color w:val="auto"/>
        </w:rPr>
        <w:t>$39.1 million, an increase of $7.8 million, or 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Selling and promotional expenses. </w:t>
      </w:r>
      <w:r>
        <w:rPr>
          <w:rFonts w:ascii="Arial" w:cs="Arial" w:eastAsia="Arial" w:hAnsi="Arial"/>
          <w:sz w:val="18"/>
          <w:szCs w:val="18"/>
          <w:color w:val="auto"/>
        </w:rPr>
        <w:t>Our selling and promotional expenses for the year ended December 31, 2007 were</w:t>
      </w:r>
    </w:p>
    <w:p>
      <w:pPr>
        <w:spacing w:after="0" w:line="23"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$35.1 million, an increase of $15.1 million, or 74.9%, as compared to selling and promotional expenses of $20.1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year ended December 31, 2007 were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$17.0 million, an increase of $2.0 million, or 13.3%, as compared to general and administrative expenses of $15.0 million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2006. Bad debt expense increased to $6.3 million for the year ended December 31, 2007 from $4.7 million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year ended December 31, 2006 primarily as a result of a proportional increase in net revenue. The general and administrative expense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increase was also attributable to expenditures made to continue to support the growth of our business. Our general and administrative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expenses as a percentage of net revenue decreased by 3.7% to 17.1% for the year ended December 31, 2007, from 20.8%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2006, as we benefited from leveraging our prior infrastructure investments over a larger enrollment and revenue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base.</w:t>
      </w:r>
    </w:p>
    <w:p>
      <w:pPr>
        <w:spacing w:after="0" w:line="116"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i w:val="1"/>
          <w:iCs w:val="1"/>
          <w:color w:val="auto"/>
        </w:rPr>
        <w:t xml:space="preserve">Royalty to former owner. </w:t>
      </w:r>
      <w:r>
        <w:rPr>
          <w:rFonts w:ascii="Arial" w:cs="Arial" w:eastAsia="Arial" w:hAnsi="Arial"/>
          <w:sz w:val="16"/>
          <w:szCs w:val="16"/>
          <w:color w:val="auto"/>
        </w:rPr>
        <w:t>In connection with our royalty fee arrangement with the former owner related to online revenue, we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royalty expenses for the year ended 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60"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 ended December 31, 2007 was $3.0 million, an increase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for the year ended December 31, 2006 due to a higher average level of borrowings in 2007.</w:t>
      </w:r>
    </w:p>
    <w:p>
      <w:pPr>
        <w:spacing w:after="0" w:line="76" w:lineRule="exact"/>
        <w:rPr>
          <w:sz w:val="20"/>
          <w:szCs w:val="20"/>
          <w:color w:val="auto"/>
        </w:rPr>
      </w:pPr>
    </w:p>
    <w:p>
      <w:pPr>
        <w:jc w:val="both"/>
        <w:ind w:left="700" w:right="220" w:firstLine="397"/>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year ended December 31, 2007 was $1.2 million, an increase of $0.3 million, or 28.5%,</w:t>
      </w:r>
      <w:r>
        <w:rPr>
          <w:rFonts w:ascii="Arial" w:cs="Arial" w:eastAsia="Arial" w:hAnsi="Arial"/>
          <w:sz w:val="18"/>
          <w:szCs w:val="18"/>
          <w:i w:val="1"/>
          <w:iCs w:val="1"/>
          <w:color w:val="auto"/>
        </w:rPr>
        <w:t xml:space="preserve"> </w:t>
      </w:r>
      <w:r>
        <w:rPr>
          <w:rFonts w:ascii="Arial" w:cs="Arial" w:eastAsia="Arial" w:hAnsi="Arial"/>
          <w:sz w:val="18"/>
          <w:szCs w:val="18"/>
          <w:color w:val="auto"/>
        </w:rPr>
        <w:t>from $0.9 million for the year ended December 31, 2006, as a result of increased levels of cash and cash equivalents, offset by slightly lower interest rates.</w:t>
      </w:r>
    </w:p>
    <w:p>
      <w:pPr>
        <w:spacing w:after="0" w:line="87"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for the year ended December 31, 2007 was $1.0 million, an increase of $0.5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92.1%, from $0.5 million for the year ended December 31, 2006. This increase was primarily attributable to increased income before income taxes, partially offset by a decrease in our effective income tax rate to 40.0% from 46.9%.</w:t>
      </w:r>
    </w:p>
    <w:p>
      <w:pPr>
        <w:spacing w:after="0" w:line="71"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Our net income for the year ended December 31, 2007 was $1.5 million, an increase of $0.9 million, or 155.2%,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income of $0.6 million for the year ended December 31, 2006, due to the factors discussed above.</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185"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i w:val="1"/>
          <w:iCs w:val="1"/>
          <w:color w:val="auto"/>
        </w:rPr>
        <w:t xml:space="preserve">Net revenue. </w:t>
      </w:r>
      <w:r>
        <w:rPr>
          <w:rFonts w:ascii="Arial" w:cs="Arial" w:eastAsia="Arial" w:hAnsi="Arial"/>
          <w:sz w:val="16"/>
          <w:szCs w:val="16"/>
          <w:color w:val="auto"/>
        </w:rPr>
        <w:t>Our net revenue for the year ended December 31, 2006 was $72.1 million, an increase of $20.3 million, or 39.2%,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revenue of $51.8 million for the 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ground programs in an online delivery format, as limited by the growth restrictions imposed by the Department of Education, which were eliminated in October 2006.</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Instruction cost and services expenses. </w:t>
      </w:r>
      <w:r>
        <w:rPr>
          <w:rFonts w:ascii="Arial" w:cs="Arial" w:eastAsia="Arial" w:hAnsi="Arial"/>
          <w:sz w:val="16"/>
          <w:szCs w:val="16"/>
          <w:color w:val="auto"/>
        </w:rPr>
        <w:t>Our instructional cost and services expenses for the year ended December 31, 2006 were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$31.3 million, an increase of $3.2 million, or 11.5%, as compared to instructional cost and services expenses of $28.1 million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2005. This increase was primarily due to increases in instructional compensation expense and student support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services as a result of the increase in enrollments. Our instructional cost and services expenses as a percentage of net revenue decreased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10.8% to 43.4% for the year ended December 31, 2006, as compared to 54.2% for the year ended December 31, 2005. This decrease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2006 was a result of the continued shift of our student population to online programs, our ability to leverage the relatively fixed cost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structure of our campus-based facilities and ground faculty across an increasing revenue base, and more efficient course scheduling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faculty utilization.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Selling and promotional expenses. </w:t>
      </w:r>
      <w:r>
        <w:rPr>
          <w:rFonts w:ascii="Arial" w:cs="Arial" w:eastAsia="Arial" w:hAnsi="Arial"/>
          <w:sz w:val="18"/>
          <w:szCs w:val="18"/>
          <w:color w:val="auto"/>
        </w:rPr>
        <w:t>Our selling and promotional expenses for the year ended December 31, 2006 were</w:t>
      </w:r>
    </w:p>
    <w:p>
      <w:pPr>
        <w:spacing w:after="0" w:line="23"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$20.1 million, an increase of $6.0 million, or 43.0%, as 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year ended December 31, 2006 were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$15.0 million, an increase of $2.0 million, or 15.8%, as compared to general and administrative expenses of $13.0 million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2005. Bad debt expense increased to $4.7 million for the year ended December 31, 2006 from $2.6 million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year ended December 31, 2005 due to an increase in net revenue and management’s assessment of our rapidly growing student base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in payment trends. Our general and administrative expenses as a percentage of net revenue decreased by 4.2% to 20.8%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year ended December 31, 2006, from 25.0% for the year ended December 31, 2005, as we benefited from leveraging our prior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infrastructure investments over a larger enrollment and revenue base.</w:t>
      </w:r>
    </w:p>
    <w:p>
      <w:pPr>
        <w:spacing w:after="0" w:line="116"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i w:val="1"/>
          <w:iCs w:val="1"/>
          <w:color w:val="auto"/>
        </w:rPr>
        <w:t xml:space="preserve">Royalty to former owner. </w:t>
      </w:r>
      <w:r>
        <w:rPr>
          <w:rFonts w:ascii="Arial" w:cs="Arial" w:eastAsia="Arial" w:hAnsi="Arial"/>
          <w:sz w:val="16"/>
          <w:szCs w:val="16"/>
          <w:color w:val="auto"/>
        </w:rPr>
        <w:t>In connection with our royalty fee arrangement with our former owner, we incurred royalty expenses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2006 of $2.7 million, 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64"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year ended December 31, 2006 was $2.8 million, a decrease of $0.3 million, or 8.7%,</w:t>
      </w:r>
      <w:r>
        <w:rPr>
          <w:rFonts w:ascii="Arial" w:cs="Arial" w:eastAsia="Arial" w:hAnsi="Arial"/>
          <w:sz w:val="16"/>
          <w:szCs w:val="16"/>
          <w:i w:val="1"/>
          <w:iCs w:val="1"/>
          <w:color w:val="auto"/>
        </w:rPr>
        <w:t xml:space="preserve"> </w:t>
      </w:r>
      <w:r>
        <w:rPr>
          <w:rFonts w:ascii="Arial" w:cs="Arial" w:eastAsia="Arial" w:hAnsi="Arial"/>
          <w:sz w:val="16"/>
          <w:szCs w:val="16"/>
          <w:color w:val="auto"/>
        </w:rPr>
        <w:t>from $3.1 million for the year ended December 31, 2005. The decrease was primarily due to a lower average level of borrowings in 2006.</w:t>
      </w:r>
    </w:p>
    <w:p>
      <w:pPr>
        <w:spacing w:after="0" w:line="29" w:lineRule="exact"/>
        <w:rPr>
          <w:sz w:val="20"/>
          <w:szCs w:val="20"/>
          <w:color w:val="auto"/>
        </w:rPr>
      </w:pPr>
    </w:p>
    <w:p>
      <w:pPr>
        <w:ind w:left="700" w:right="660" w:firstLine="397"/>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for the year ended December 31, 2006 was $0.9 million, an increase of $0.6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$0.3 million for the year ended December 31, 2005 as a result of increased levels of cash and cash equivalents earning interest.</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year ended December 31, 2006 was $0.5 million, an increase of</w:t>
      </w:r>
    </w:p>
    <w:p>
      <w:pPr>
        <w:spacing w:after="0" w:line="35" w:lineRule="exact"/>
        <w:rPr>
          <w:sz w:val="20"/>
          <w:szCs w:val="20"/>
          <w:color w:val="auto"/>
        </w:rPr>
      </w:pPr>
    </w:p>
    <w:p>
      <w:pPr>
        <w:ind w:left="700" w:right="200"/>
        <w:spacing w:after="0" w:line="261" w:lineRule="auto"/>
        <w:rPr>
          <w:sz w:val="20"/>
          <w:szCs w:val="20"/>
          <w:color w:val="auto"/>
        </w:rPr>
      </w:pPr>
      <w:r>
        <w:rPr>
          <w:rFonts w:ascii="Arial" w:cs="Arial" w:eastAsia="Arial" w:hAnsi="Arial"/>
          <w:sz w:val="18"/>
          <w:szCs w:val="18"/>
          <w:color w:val="auto"/>
        </w:rPr>
        <w:t>$4.0 million from income tax benefit of $3.4 million for the year ended December 31, 2005. This increase was primarily attributable to our net income before income taxes and a change in our effective income tax rate to 46.9% from 44.5%.</w:t>
      </w:r>
    </w:p>
    <w:p>
      <w:pPr>
        <w:spacing w:after="0" w:line="89" w:lineRule="exact"/>
        <w:rPr>
          <w:sz w:val="20"/>
          <w:szCs w:val="20"/>
          <w:color w:val="auto"/>
        </w:rPr>
      </w:pPr>
    </w:p>
    <w:p>
      <w:pPr>
        <w:ind w:left="700" w:right="740" w:firstLine="397"/>
        <w:spacing w:after="0" w:line="308" w:lineRule="auto"/>
        <w:rPr>
          <w:sz w:val="20"/>
          <w:szCs w:val="20"/>
          <w:color w:val="auto"/>
        </w:rPr>
      </w:pPr>
      <w:r>
        <w:rPr>
          <w:rFonts w:ascii="Arial" w:cs="Arial" w:eastAsia="Arial" w:hAnsi="Arial"/>
          <w:sz w:val="17"/>
          <w:szCs w:val="17"/>
          <w:i w:val="1"/>
          <w:iCs w:val="1"/>
          <w:color w:val="auto"/>
        </w:rPr>
        <w:t xml:space="preserve">Net income (loss). </w:t>
      </w:r>
      <w:r>
        <w:rPr>
          <w:rFonts w:ascii="Arial" w:cs="Arial" w:eastAsia="Arial" w:hAnsi="Arial"/>
          <w:sz w:val="17"/>
          <w:szCs w:val="17"/>
          <w:color w:val="auto"/>
        </w:rPr>
        <w:t>Our net income for the year ended December 31, 2006 was $0.6 million, an increase of $4.9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loss of $4.3 million for the year ended December 31, 2006 due to the factors discussed above.</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Quarterly Results and Seasonality</w:t>
      </w:r>
    </w:p>
    <w:p>
      <w:pPr>
        <w:spacing w:after="0" w:line="135" w:lineRule="exact"/>
        <w:rPr>
          <w:sz w:val="20"/>
          <w:szCs w:val="20"/>
          <w:color w:val="auto"/>
        </w:rPr>
      </w:pPr>
    </w:p>
    <w:p>
      <w:pPr>
        <w:ind w:left="700" w:right="1020" w:firstLine="397"/>
        <w:spacing w:after="0" w:line="286" w:lineRule="auto"/>
        <w:rPr>
          <w:sz w:val="20"/>
          <w:szCs w:val="20"/>
          <w:color w:val="auto"/>
        </w:rPr>
      </w:pPr>
      <w:r>
        <w:rPr>
          <w:rFonts w:ascii="Arial" w:cs="Arial" w:eastAsia="Arial" w:hAnsi="Arial"/>
          <w:sz w:val="17"/>
          <w:szCs w:val="17"/>
          <w:color w:val="auto"/>
        </w:rPr>
        <w:t>The following tables set forth certain unaudited financial and operating data in the first and second quarters of 2008 and each quarter during the years ended December 31, 2006 and 2007. We believe that the unaudited information reflects all adjustments, which include only normal and recurring adjustments, necessary to present fairly the information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First Quarter</w:t>
            </w:r>
          </w:p>
        </w:tc>
        <w:tc>
          <w:tcPr>
            <w:tcW w:w="180" w:type="dxa"/>
            <w:vAlign w:val="bottom"/>
          </w:tcPr>
          <w:p>
            <w:pPr>
              <w:spacing w:after="0"/>
              <w:rPr>
                <w:sz w:val="14"/>
                <w:szCs w:val="14"/>
                <w:color w:val="auto"/>
              </w:rPr>
            </w:pPr>
          </w:p>
        </w:tc>
        <w:tc>
          <w:tcPr>
            <w:tcW w:w="130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w w:val="95"/>
              </w:rPr>
              <w:t>Second Quarter</w:t>
            </w:r>
          </w:p>
        </w:tc>
        <w:tc>
          <w:tcPr>
            <w:tcW w:w="160" w:type="dxa"/>
            <w:vAlign w:val="bottom"/>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w:t>
            </w:r>
          </w:p>
        </w:tc>
        <w:tc>
          <w:tcPr>
            <w:tcW w:w="380" w:type="dxa"/>
            <w:vAlign w:val="bottom"/>
            <w:gridSpan w:val="2"/>
          </w:tcPr>
          <w:p>
            <w:pPr>
              <w:jc w:val="center"/>
              <w:ind w:right="10"/>
              <w:spacing w:after="0" w:line="120" w:lineRule="exact"/>
              <w:rPr>
                <w:sz w:val="20"/>
                <w:szCs w:val="20"/>
                <w:color w:val="auto"/>
              </w:rPr>
            </w:pPr>
            <w:r>
              <w:rPr>
                <w:rFonts w:ascii="Arial" w:cs="Arial" w:eastAsia="Arial" w:hAnsi="Arial"/>
                <w:sz w:val="12"/>
                <w:szCs w:val="12"/>
                <w:b w:val="1"/>
                <w:bCs w:val="1"/>
                <w:color w:val="auto"/>
                <w:w w:val="73"/>
              </w:rPr>
              <w:t>except</w:t>
            </w:r>
          </w:p>
        </w:tc>
        <w:tc>
          <w:tcPr>
            <w:tcW w:w="10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enrollment data)</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4"/>
          </w:tcPr>
          <w:p>
            <w:pPr>
              <w:jc w:val="center"/>
              <w:ind w:left="291"/>
              <w:spacing w:after="0" w:line="149" w:lineRule="exact"/>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4"/>
          </w:tcPr>
          <w:p>
            <w:pPr>
              <w:jc w:val="center"/>
              <w:ind w:left="311"/>
              <w:spacing w:after="0"/>
              <w:rPr>
                <w:sz w:val="20"/>
                <w:szCs w:val="20"/>
                <w:color w:val="auto"/>
              </w:rPr>
            </w:pPr>
            <w:r>
              <w:rPr>
                <w:rFonts w:ascii="Arial" w:cs="Arial" w:eastAsia="Arial" w:hAnsi="Arial"/>
                <w:sz w:val="14"/>
                <w:szCs w:val="14"/>
                <w:b w:val="1"/>
                <w:bCs w:val="1"/>
                <w:color w:val="auto"/>
                <w:w w:val="90"/>
              </w:rPr>
              <w:t>(restated)</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16,695</w:t>
            </w:r>
          </w:p>
        </w:tc>
        <w:tc>
          <w:tcPr>
            <w:tcW w:w="240" w:type="dxa"/>
            <w:vAlign w:val="bottom"/>
          </w:tcPr>
          <w:p>
            <w:pPr>
              <w:spacing w:after="0"/>
              <w:rPr>
                <w:sz w:val="18"/>
                <w:szCs w:val="18"/>
                <w:color w:val="auto"/>
              </w:rPr>
            </w:pPr>
          </w:p>
        </w:tc>
        <w:tc>
          <w:tcPr>
            <w:tcW w:w="50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16,009</w:t>
            </w:r>
          </w:p>
        </w:tc>
        <w:tc>
          <w:tcPr>
            <w:tcW w:w="22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17,580</w:t>
            </w:r>
          </w:p>
        </w:tc>
        <w:tc>
          <w:tcPr>
            <w:tcW w:w="2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Instructional costs and services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promotional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to former owner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 (loss)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Net interest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(101)</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Period end enrollment</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23,213</w:t>
            </w:r>
          </w:p>
        </w:tc>
        <w:tc>
          <w:tcPr>
            <w:tcW w:w="240" w:type="dxa"/>
            <w:vAlign w:val="bottom"/>
          </w:tcPr>
          <w:p>
            <w:pPr>
              <w:spacing w:after="0"/>
              <w:rPr>
                <w:sz w:val="18"/>
                <w:szCs w:val="18"/>
                <w:color w:val="auto"/>
              </w:rPr>
            </w:pPr>
          </w:p>
        </w:tc>
        <w:tc>
          <w:tcPr>
            <w:tcW w:w="50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20,858</w:t>
            </w:r>
          </w:p>
        </w:tc>
        <w:tc>
          <w:tcPr>
            <w:tcW w:w="22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24,401</w:t>
            </w:r>
          </w:p>
        </w:tc>
        <w:tc>
          <w:tcPr>
            <w:tcW w:w="2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Instructional costs and services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promotional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to former owner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 (loss)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(1,815)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Net interest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(2,190)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(1,315)</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Period end enrollment</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35,709</w:t>
            </w:r>
          </w:p>
        </w:tc>
        <w:tc>
          <w:tcPr>
            <w:tcW w:w="240" w:type="dxa"/>
            <w:vAlign w:val="bottom"/>
          </w:tcPr>
          <w:p>
            <w:pPr>
              <w:spacing w:after="0"/>
              <w:rPr>
                <w:sz w:val="18"/>
                <w:szCs w:val="18"/>
                <w:color w:val="auto"/>
              </w:rPr>
            </w:pPr>
          </w:p>
        </w:tc>
        <w:tc>
          <w:tcPr>
            <w:tcW w:w="50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34,566</w:t>
            </w:r>
          </w:p>
        </w:tc>
        <w:tc>
          <w:tcPr>
            <w:tcW w:w="22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39,351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Instructional costs and services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promotional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to former owner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Net interest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(80)</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Period end enrollment</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0"/>
        </w:trPr>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50"/>
              <w:spacing w:after="0"/>
              <w:rPr>
                <w:sz w:val="20"/>
                <w:szCs w:val="20"/>
                <w:color w:val="auto"/>
              </w:rPr>
            </w:pPr>
            <w:r>
              <w:rPr>
                <w:rFonts w:ascii="Arial" w:cs="Arial" w:eastAsia="Arial" w:hAnsi="Arial"/>
                <w:sz w:val="18"/>
                <w:szCs w:val="18"/>
                <w:color w:val="auto"/>
                <w:w w:val="99"/>
              </w:rPr>
              <w:t>59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397"/>
        <w:spacing w:after="0" w:line="269"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We financed our operating activities and capital expenditures during the years ended December 31, 2005, 2006, and 2007</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first nine months of 2008 primarily through cash provided by operating activities and several private placements of securities. Our unrestricted cash, cash equivalents, and marketable securities were $14.4 million, $23.2 million, and $22.2 million at December 31, 2006 and 2007 and September 30, 2008, respectively.</w:t>
      </w:r>
    </w:p>
    <w:p>
      <w:pPr>
        <w:spacing w:after="0" w:line="92" w:lineRule="exact"/>
        <w:rPr>
          <w:sz w:val="20"/>
          <w:szCs w:val="20"/>
          <w:color w:val="auto"/>
        </w:rPr>
      </w:pPr>
    </w:p>
    <w:p>
      <w:pPr>
        <w:ind w:left="700" w:right="580" w:firstLine="397"/>
        <w:spacing w:after="0" w:line="308" w:lineRule="auto"/>
        <w:rPr>
          <w:sz w:val="20"/>
          <w:szCs w:val="20"/>
          <w:color w:val="auto"/>
        </w:rPr>
      </w:pPr>
      <w:r>
        <w:rPr>
          <w:rFonts w:ascii="Arial" w:cs="Arial" w:eastAsia="Arial" w:hAnsi="Arial"/>
          <w:sz w:val="17"/>
          <w:szCs w:val="17"/>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87"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operating activities for the nine months ended September 30, 2008 was $18.1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payment of $19.5 million that was made to our former owner in April 2008 to satisfy in full all past royalties due under the royalty agreement and the elimination of the existing obligation to pay royalties for online student revenues in perpetuity, net cash provided by operating activities for the nine months ended September 30, 2008 would have been $30.4 million. Net cash provided by operating activities for the year ended December 31, 2007 was $7.1 million. Our operating cash flows were affected by our dispute with our former owner; as previously discussed, during 2007 we accrued $3.8 million of royalties payable to our former owner and funded a $3.0 million deposit in connection with a preliminary settlement of that dispute with our former owner. Excluding the accrual and payment to our former owner, net cash provided by operating activities would have been $6.3 million. Our tax payments exceeded our tax expense as our $5.0 million of income taxes paid represented a majority of our 2006 and 2007 tax obligations.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360" w:firstLine="397"/>
        <w:spacing w:after="0" w:line="279" w:lineRule="auto"/>
        <w:rPr>
          <w:sz w:val="20"/>
          <w:szCs w:val="20"/>
          <w:color w:val="auto"/>
        </w:rPr>
      </w:pPr>
      <w:r>
        <w:rPr>
          <w:rFonts w:ascii="Arial" w:cs="Arial" w:eastAsia="Arial" w:hAnsi="Arial"/>
          <w:sz w:val="17"/>
          <w:szCs w:val="17"/>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7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87"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provided by (used in) investing activities was $(10.0) million, $6.7 million, and $(7.6)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ended December 31, 2005, 2006, and 2007, respectively, and $(6.1) million for the nine months ended September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$6.0 million for the nine months ended September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8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(used in) financing activities was $16.0 million, $(1.7) million, and $9.3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2005, 2006, and 2007, respectively, and $(13.1) million for the nine months ended September 30, 2008. During these periods, principal payments on notes payable, capital lease obligations and our line of credit were offset by private placements of securities by our stockholders and amounts drawn on our line of credit. Net cash used in financing activities for the nine months ended September 30, 2008 also included the $6.0 million related to the repurchase of a warrant from our former owner pursuant to the standstill agreement.</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following table sets forth, as of December 31, 2007, the aggregate amounts of our significant contractual obligations and commitments with definitive payment terms due in each of the periods presented (in millions):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6"/>
              </w:rPr>
              <w:t>Payments Due by Period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0"/>
                <w:szCs w:val="10"/>
                <w:color w:val="auto"/>
              </w:rPr>
            </w:pP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60" w:type="dxa"/>
            <w:vAlign w:val="bottom"/>
          </w:tcPr>
          <w:p>
            <w:pPr>
              <w:spacing w:after="0"/>
              <w:rPr>
                <w:sz w:val="10"/>
                <w:szCs w:val="10"/>
                <w:color w:val="auto"/>
              </w:rPr>
            </w:pPr>
          </w:p>
        </w:tc>
        <w:tc>
          <w:tcPr>
            <w:tcW w:w="4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Years</w:t>
            </w:r>
          </w:p>
        </w:tc>
        <w:tc>
          <w:tcPr>
            <w:tcW w:w="380" w:type="dxa"/>
            <w:vAlign w:val="bottom"/>
          </w:tcPr>
          <w:p>
            <w:pPr>
              <w:spacing w:after="0"/>
              <w:rPr>
                <w:sz w:val="10"/>
                <w:szCs w:val="10"/>
                <w:color w:val="auto"/>
              </w:rPr>
            </w:pP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Years</w:t>
            </w:r>
          </w:p>
        </w:tc>
        <w:tc>
          <w:tcPr>
            <w:tcW w:w="74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2-3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w w:val="98"/>
              </w:rPr>
              <w:t>4-5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r>
              <w:rPr>
                <w:rFonts w:ascii="Arial" w:cs="Arial" w:eastAsia="Arial" w:hAnsi="Arial"/>
                <w:sz w:val="15"/>
                <w:szCs w:val="15"/>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(1)</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improvement obligations</w:t>
            </w:r>
            <w:r>
              <w:rPr>
                <w:rFonts w:ascii="Arial" w:cs="Arial" w:eastAsia="Arial" w:hAnsi="Arial"/>
                <w:sz w:val="15"/>
                <w:szCs w:val="15"/>
                <w:color w:val="auto"/>
              </w:rPr>
              <w:t>(1)</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(2)</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30.4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620" w:hanging="301"/>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8, “Notes Payable and Capital Lease Obligations,” to our financial statements, which are included elsewhere in this prospectus, for a discussion of our long term debt and capital lease obligations.</w:t>
      </w:r>
    </w:p>
    <w:p>
      <w:pPr>
        <w:spacing w:after="0" w:line="8" w:lineRule="exact"/>
        <w:rPr>
          <w:rFonts w:ascii="Arial" w:cs="Arial" w:eastAsia="Arial" w:hAnsi="Arial"/>
          <w:sz w:val="18"/>
          <w:szCs w:val="18"/>
          <w:color w:val="auto"/>
        </w:rPr>
      </w:pPr>
    </w:p>
    <w:p>
      <w:pPr>
        <w:ind w:left="1000" w:right="220" w:hanging="301"/>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9, “Commitments and Contingencies,” to our financial statements, which are included elsewhere in this prospectus, for a discussion of our operating lease obligations.</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Inflation</w:t>
      </w:r>
    </w:p>
    <w:p>
      <w:pPr>
        <w:spacing w:after="0" w:line="18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believe that inflation has not had a material impact on our results of operations for the years ended December 31, 2005, 2006, or 2007 and the nine months ended September 30, 2008. There can be no assurance that future inflation will not have an adverse impact on our operating results and financial condition.</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94"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7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94" w:lineRule="exact"/>
        <w:rPr>
          <w:sz w:val="20"/>
          <w:szCs w:val="20"/>
          <w:color w:val="auto"/>
        </w:rPr>
      </w:pPr>
    </w:p>
    <w:p>
      <w:pPr>
        <w:ind w:left="1700" w:hanging="211"/>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hanging="211"/>
        <w:spacing w:after="0"/>
        <w:tabs>
          <w:tab w:leader="none" w:pos="1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interest expense, or the cash requirements necessary to service interest or principal payments on our indebtedness;</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or cash required to replace assets that are being depreciated or amortized; and</w:t>
      </w:r>
    </w:p>
    <w:p>
      <w:pPr>
        <w:spacing w:after="0" w:line="117" w:lineRule="exact"/>
        <w:rPr>
          <w:rFonts w:ascii="Arial" w:cs="Arial" w:eastAsia="Arial" w:hAnsi="Arial"/>
          <w:sz w:val="18"/>
          <w:szCs w:val="18"/>
          <w:color w:val="auto"/>
        </w:rPr>
      </w:pPr>
    </w:p>
    <w:p>
      <w:pPr>
        <w:ind w:left="1700" w:hanging="211"/>
        <w:spacing w:after="0" w:line="264"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87"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10"/>
            <w:vMerge w:val="restart"/>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2"/>
                <w:szCs w:val="12"/>
                <w:b w:val="1"/>
                <w:bCs w:val="1"/>
                <w:color w:val="auto"/>
                <w:w w:val="71"/>
              </w:rPr>
              <w:t>(Unaudited)</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12"/>
                <w:szCs w:val="12"/>
                <w:b w:val="1"/>
                <w:bCs w:val="1"/>
                <w:color w:val="auto"/>
                <w:w w:val="92"/>
              </w:rPr>
              <w:t>(a)</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2,319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4,536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(b)</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2,585</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9,074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7,309</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 w:hanging="307"/>
        <w:spacing w:after="0" w:line="26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9" w:lineRule="exact"/>
        <w:rPr>
          <w:rFonts w:ascii="Arial" w:cs="Arial" w:eastAsia="Arial" w:hAnsi="Arial"/>
          <w:sz w:val="18"/>
          <w:szCs w:val="18"/>
          <w:color w:val="auto"/>
        </w:rPr>
      </w:pPr>
    </w:p>
    <w:p>
      <w:pPr>
        <w:ind w:left="1000" w:right="40" w:hanging="307"/>
        <w:spacing w:after="0" w:line="27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22" w:lineRule="exact"/>
        <w:rPr>
          <w:rFonts w:ascii="Arial" w:cs="Arial" w:eastAsia="Arial" w:hAnsi="Arial"/>
          <w:sz w:val="17"/>
          <w:szCs w:val="17"/>
          <w:color w:val="auto"/>
        </w:rPr>
      </w:pPr>
    </w:p>
    <w:p>
      <w:pPr>
        <w:ind w:left="1000" w:right="100" w:hanging="291"/>
        <w:spacing w:after="0" w:line="273" w:lineRule="auto"/>
        <w:tabs>
          <w:tab w:leader="none" w:pos="10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Reflects management fees and expenses of $0.1 million, $0.3 million, and $0.3 million for the years ended December 31, 2005, 2006, and 2007, respectively, and $0.2 million and $0.3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8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To date, we have not granted or issued any stock-based compensation. We have adopted and implemented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portion of which will be fully vested upon grant. As a result, we expect to incur non-cash, stock-based compensation expenses in future periods, including expenses of approximately $5.5 million in the fourth quarter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Quantitative and Qualitative Disclosure About Risk</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i w:val="1"/>
          <w:iCs w:val="1"/>
          <w:color w:val="auto"/>
        </w:rPr>
        <w:t xml:space="preserve">Market risk. </w:t>
      </w:r>
      <w:r>
        <w:rPr>
          <w:rFonts w:ascii="Arial" w:cs="Arial" w:eastAsia="Arial" w:hAnsi="Arial"/>
          <w:sz w:val="18"/>
          <w:szCs w:val="18"/>
          <w:color w:val="auto"/>
        </w:rPr>
        <w:t>We have no derivative financial instruments or derivative commodity instruments. We invest cash in excess of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requirements in short term certificates of deposit and money market instruments.</w:t>
      </w:r>
    </w:p>
    <w:p>
      <w:pPr>
        <w:spacing w:after="0" w:line="7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manage interest rate risk by investing excess funds in cash equivalents and marketable securities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2007 and September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 xml:space="preserve">In June 2006, the FASB issued FASB Interpretation No. 48, </w:t>
      </w:r>
      <w:r>
        <w:rPr>
          <w:rFonts w:ascii="Arial" w:cs="Arial" w:eastAsia="Arial" w:hAnsi="Arial"/>
          <w:sz w:val="16"/>
          <w:szCs w:val="16"/>
          <w:i w:val="1"/>
          <w:iCs w:val="1"/>
          <w:color w:val="auto"/>
        </w:rPr>
        <w:t>Accounting for Uncertainty in Income Taxes —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109 </w:t>
      </w:r>
      <w:r>
        <w:rPr>
          <w:rFonts w:ascii="Arial" w:cs="Arial" w:eastAsia="Arial" w:hAnsi="Arial"/>
          <w:sz w:val="16"/>
          <w:szCs w:val="16"/>
          <w:color w:val="auto"/>
        </w:rPr>
        <w:t>(“FIN 48”). This interpretation, among other things, creates a two step approach for evaluating uncertain tax</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its adoption did not have a material impact on our financial statements.</w:t>
      </w:r>
    </w:p>
    <w:p>
      <w:pPr>
        <w:spacing w:after="0" w:line="7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have a material impact on our financial position or results of operations.</w:t>
      </w:r>
    </w:p>
    <w:p>
      <w:pPr>
        <w:spacing w:after="0" w:line="9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Amendment of FASB Statement No. 115 </w:t>
      </w:r>
      <w:r>
        <w:rPr>
          <w:rFonts w:ascii="Arial" w:cs="Arial" w:eastAsia="Arial" w:hAnsi="Arial"/>
          <w:sz w:val="17"/>
          <w:szCs w:val="17"/>
          <w:color w:val="auto"/>
        </w:rPr>
        <w:t>(“SFAS No. 159”). This standard permits entities to choose to measure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BUSINESS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72"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0" w:lineRule="exact"/>
        <w:rPr>
          <w:sz w:val="20"/>
          <w:szCs w:val="20"/>
          <w:color w:val="auto"/>
        </w:rPr>
      </w:pPr>
    </w:p>
    <w:p>
      <w:pPr>
        <w:ind w:left="700" w:right="260" w:firstLine="397"/>
        <w:spacing w:after="0" w:line="273" w:lineRule="auto"/>
        <w:rPr>
          <w:sz w:val="20"/>
          <w:szCs w:val="20"/>
          <w:color w:val="auto"/>
        </w:rPr>
      </w:pPr>
      <w:r>
        <w:rPr>
          <w:rFonts w:ascii="Arial" w:cs="Arial" w:eastAsia="Arial" w:hAnsi="Arial"/>
          <w:sz w:val="17"/>
          <w:szCs w:val="17"/>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84"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We have experienced significant growth in enrollment, net revenue, and operating income over the last several years. Our enrollment at December 31, 2007 was approximately 14,800, representing an increase of approximately 38% over our enrollment at December 31, 2006. Our net revenue and operating income for the year ended December 31, 2007 were $99.3 million and $4.3 million, respectively, representing increases of 37.7% and 42.8%, respectively, over the year ended December 31, 2006. Our enrollment at September 30, 2008 was approximately 22,000, representing an increase of approximately 63% over our enrollment at September 30, 2007. Our net revenue and operating income for the nine months ended September 30, 2008 were $109.6 million and $9.0 million, respectively, representing increases of 60.1% and 305.5%, respectively, over the nine months ended September 30, 2007. We believe our growth is the result of a combination of factors, including our:</w:t>
      </w:r>
    </w:p>
    <w:p>
      <w:pPr>
        <w:spacing w:after="0" w:line="84" w:lineRule="exact"/>
        <w:rPr>
          <w:sz w:val="20"/>
          <w:szCs w:val="20"/>
          <w:color w:val="auto"/>
        </w:rPr>
      </w:pPr>
    </w:p>
    <w:p>
      <w:pPr>
        <w:ind w:left="1700" w:hanging="21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focus on our core disciplines of education, business, and healthcare;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convenient and flexible online delivery platform targeted at working adults;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innovative marketing, recruitment, and retention approach;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portfolio of academically rigorous, career-oriented program offerings.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History</w:t>
      </w:r>
    </w:p>
    <w:p>
      <w:pPr>
        <w:spacing w:after="0" w:line="135"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early 1980s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8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78"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Industry</w:t>
      </w:r>
    </w:p>
    <w:p>
      <w:pPr>
        <w:spacing w:after="0" w:line="135"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i w:val="1"/>
          <w:iCs w:val="1"/>
          <w:color w:val="auto"/>
        </w:rPr>
        <w:t xml:space="preserve">Postsecondary education. </w:t>
      </w:r>
      <w:r>
        <w:rPr>
          <w:rFonts w:ascii="Arial" w:cs="Arial" w:eastAsia="Arial" w:hAnsi="Arial"/>
          <w:sz w:val="16"/>
          <w:szCs w:val="16"/>
          <w:color w:val="auto"/>
        </w:rPr>
        <w:t>The United States market for postsecondary education represents a large and growing opportunity.</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 March 2008 NCES report, total revenue for all degree-granting postsecondary institutions was over $385 billion for the 2004-05 school year. In addition, according to a September 2008 NCES report, the number of students enrolled in postsecondary institutions was projected to be approximately 18.0 million in 2007 and the number was projected to grow to 18.6 million by 2010. We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2" w:lineRule="auto"/>
        <w:rPr>
          <w:sz w:val="20"/>
          <w:szCs w:val="20"/>
          <w:color w:val="auto"/>
        </w:rPr>
      </w:pPr>
      <w:r>
        <w:rPr>
          <w:rFonts w:ascii="Arial" w:cs="Arial" w:eastAsia="Arial" w:hAnsi="Arial"/>
          <w:sz w:val="17"/>
          <w:szCs w:val="17"/>
          <w:color w:val="auto"/>
        </w:rPr>
        <w:t>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 individuals without a degree. According to the U.S. Census Bureau, in 2006, the median income for individuals age 25 years or older with a bachelor’s or master’s degree was approximately 70% or 102% higher, respectively, than for a high school graduate of the same age with no college education.</w:t>
      </w:r>
    </w:p>
    <w:p>
      <w:pPr>
        <w:spacing w:after="0" w:line="83"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According to the March 2008 NCES report, as of 2007 71% of adults age 25 years or older did not possess a bachelor’s or higher degree. In the September 2008 report, the NCES estimated that, as of 2006, adults age 25 years or older represented 39% of total</w:t>
      </w:r>
    </w:p>
    <w:p>
      <w:pPr>
        <w:ind w:left="700"/>
        <w:spacing w:after="0" w:line="252" w:lineRule="auto"/>
        <w:rPr>
          <w:sz w:val="20"/>
          <w:szCs w:val="20"/>
          <w:color w:val="auto"/>
        </w:rPr>
      </w:pPr>
      <w:r>
        <w:rPr>
          <w:rFonts w:ascii="Arial" w:cs="Arial" w:eastAsia="Arial" w:hAnsi="Arial"/>
          <w:sz w:val="18"/>
          <w:szCs w:val="18"/>
          <w:color w:val="auto"/>
        </w:rPr>
        <w:t>U.S. postsecondary enrollments, or approximately 6.9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100"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i w:val="1"/>
          <w:iCs w:val="1"/>
          <w:color w:val="auto"/>
        </w:rPr>
        <w:t xml:space="preserve">Online postsecondary education. </w:t>
      </w:r>
      <w:r>
        <w:rPr>
          <w:rFonts w:ascii="Arial" w:cs="Arial" w:eastAsia="Arial" w:hAnsi="Arial"/>
          <w:sz w:val="17"/>
          <w:szCs w:val="17"/>
          <w:color w:val="auto"/>
        </w:rPr>
        <w:t>The market for online postsecondary education is growing more rapidly than the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83"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Education, business, and healthcare. </w:t>
      </w:r>
      <w:r>
        <w:rPr>
          <w:rFonts w:ascii="Arial" w:cs="Arial" w:eastAsia="Arial" w:hAnsi="Arial"/>
          <w:sz w:val="17"/>
          <w:szCs w:val="17"/>
          <w:color w:val="auto"/>
        </w:rPr>
        <w:t>The education, business, and healthcare sectors represent a large and growing market for</w:t>
      </w:r>
      <w:r>
        <w:rPr>
          <w:rFonts w:ascii="Arial" w:cs="Arial" w:eastAsia="Arial" w:hAnsi="Arial"/>
          <w:sz w:val="17"/>
          <w:szCs w:val="17"/>
          <w:i w:val="1"/>
          <w:iCs w:val="1"/>
          <w:color w:val="auto"/>
        </w:rPr>
        <w:t xml:space="preserve"> </w:t>
      </w:r>
      <w:r>
        <w:rPr>
          <w:rFonts w:ascii="Arial" w:cs="Arial" w:eastAsia="Arial" w:hAnsi="Arial"/>
          <w:sz w:val="17"/>
          <w:szCs w:val="17"/>
          <w:color w:val="auto"/>
        </w:rPr>
        <w:t>postsecondary education. According to the March 2008 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87" w:lineRule="exact"/>
        <w:rPr>
          <w:sz w:val="20"/>
          <w:szCs w:val="20"/>
          <w:color w:val="auto"/>
        </w:rPr>
      </w:pPr>
    </w:p>
    <w:p>
      <w:pPr>
        <w:ind w:left="1700" w:right="120" w:hanging="211"/>
        <w:spacing w:after="0" w:line="257"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93" w:lineRule="exact"/>
        <w:rPr>
          <w:rFonts w:ascii="Arial" w:cs="Arial" w:eastAsia="Arial" w:hAnsi="Arial"/>
          <w:sz w:val="18"/>
          <w:szCs w:val="18"/>
          <w:color w:val="auto"/>
        </w:rPr>
      </w:pPr>
    </w:p>
    <w:p>
      <w:pPr>
        <w:jc w:val="both"/>
        <w:ind w:left="1700" w:right="100" w:hanging="211"/>
        <w:spacing w:after="0" w:line="342" w:lineRule="auto"/>
        <w:tabs>
          <w:tab w:leader="none" w:pos="1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80" w:hanging="211"/>
        <w:spacing w:after="0" w:line="302" w:lineRule="auto"/>
        <w:tabs>
          <w:tab w:leader="none" w:pos="1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we have the following competitive strengths:</w:t>
      </w:r>
    </w:p>
    <w:p>
      <w:pPr>
        <w:spacing w:after="0" w:line="131" w:lineRule="exact"/>
        <w:rPr>
          <w:sz w:val="20"/>
          <w:szCs w:val="20"/>
          <w:color w:val="auto"/>
        </w:rPr>
      </w:pPr>
    </w:p>
    <w:p>
      <w:pPr>
        <w:ind w:left="700" w:right="40" w:firstLine="794"/>
        <w:spacing w:after="0" w:line="290" w:lineRule="auto"/>
        <w:rPr>
          <w:sz w:val="20"/>
          <w:szCs w:val="20"/>
          <w:color w:val="auto"/>
        </w:rPr>
      </w:pPr>
      <w:r>
        <w:rPr>
          <w:rFonts w:ascii="Arial" w:cs="Arial" w:eastAsia="Arial" w:hAnsi="Arial"/>
          <w:sz w:val="16"/>
          <w:szCs w:val="16"/>
          <w:i w:val="1"/>
          <w:iCs w:val="1"/>
          <w:color w:val="auto"/>
        </w:rPr>
        <w:t xml:space="preserve">Established presence in targeted, high demand disciplines. </w:t>
      </w:r>
      <w:r>
        <w:rPr>
          <w:rFonts w:ascii="Arial" w:cs="Arial" w:eastAsia="Arial" w:hAnsi="Arial"/>
          <w:sz w:val="16"/>
          <w:szCs w:val="16"/>
          <w:color w:val="auto"/>
        </w:rPr>
        <w:t>We have an established presence within our three core disciplines</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business, and healthcare, which, 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72" w:lineRule="exact"/>
        <w:rPr>
          <w:sz w:val="20"/>
          <w:szCs w:val="20"/>
          <w:color w:val="auto"/>
        </w:rPr>
      </w:pPr>
    </w:p>
    <w:p>
      <w:pPr>
        <w:ind w:left="700" w:right="120" w:firstLine="794"/>
        <w:spacing w:after="0" w:line="291" w:lineRule="auto"/>
        <w:rPr>
          <w:sz w:val="20"/>
          <w:szCs w:val="20"/>
          <w:color w:val="auto"/>
        </w:rPr>
      </w:pPr>
      <w:r>
        <w:rPr>
          <w:rFonts w:ascii="Arial" w:cs="Arial" w:eastAsia="Arial" w:hAnsi="Arial"/>
          <w:sz w:val="16"/>
          <w:szCs w:val="16"/>
          <w:i w:val="1"/>
          <w:iCs w:val="1"/>
          <w:color w:val="auto"/>
        </w:rPr>
        <w:t xml:space="preserve">Focus on graduate degrees for working adults. </w:t>
      </w:r>
      <w:r>
        <w:rPr>
          <w:rFonts w:ascii="Arial" w:cs="Arial" w:eastAsia="Arial" w:hAnsi="Arial"/>
          <w:sz w:val="16"/>
          <w:szCs w:val="16"/>
          <w:color w:val="auto"/>
        </w:rPr>
        <w:t>We have designed our program offerings and our online delivery platform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 needs of working adults, particularly 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September 30, 2008, approximately 60.0% of our online students were enrolled in graduate degree programs.</w:t>
      </w:r>
    </w:p>
    <w:p>
      <w:pPr>
        <w:spacing w:after="0" w:line="73" w:lineRule="exact"/>
        <w:rPr>
          <w:sz w:val="20"/>
          <w:szCs w:val="20"/>
          <w:color w:val="auto"/>
        </w:rPr>
      </w:pPr>
    </w:p>
    <w:p>
      <w:pPr>
        <w:ind w:left="700" w:right="140" w:firstLine="794"/>
        <w:spacing w:after="0" w:line="290" w:lineRule="auto"/>
        <w:rPr>
          <w:sz w:val="20"/>
          <w:szCs w:val="20"/>
          <w:color w:val="auto"/>
        </w:rPr>
      </w:pPr>
      <w:r>
        <w:rPr>
          <w:rFonts w:ascii="Arial" w:cs="Arial" w:eastAsia="Arial" w:hAnsi="Arial"/>
          <w:sz w:val="16"/>
          <w:szCs w:val="16"/>
          <w:i w:val="1"/>
          <w:iCs w:val="1"/>
          <w:color w:val="auto"/>
        </w:rPr>
        <w:t xml:space="preserve">Innovative marketing, recruiting, and retention strategy. </w:t>
      </w:r>
      <w:r>
        <w:rPr>
          <w:rFonts w:ascii="Arial" w:cs="Arial" w:eastAsia="Arial" w:hAnsi="Arial"/>
          <w:sz w:val="16"/>
          <w:szCs w:val="16"/>
          <w:color w:val="auto"/>
        </w:rPr>
        <w:t>We have developed an integrated, innovative approach to student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recruitment, and retention to reach our 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72" w:lineRule="exact"/>
        <w:rPr>
          <w:sz w:val="20"/>
          <w:szCs w:val="20"/>
          <w:color w:val="auto"/>
        </w:rPr>
      </w:pPr>
    </w:p>
    <w:p>
      <w:pPr>
        <w:ind w:left="700" w:firstLine="794"/>
        <w:spacing w:after="0" w:line="254" w:lineRule="auto"/>
        <w:rPr>
          <w:sz w:val="20"/>
          <w:szCs w:val="20"/>
          <w:color w:val="auto"/>
        </w:rPr>
      </w:pPr>
      <w:r>
        <w:rPr>
          <w:rFonts w:ascii="Arial" w:cs="Arial" w:eastAsia="Arial" w:hAnsi="Arial"/>
          <w:sz w:val="18"/>
          <w:szCs w:val="18"/>
          <w:i w:val="1"/>
          <w:iCs w:val="1"/>
          <w:color w:val="auto"/>
        </w:rPr>
        <w:t xml:space="preserve">Commitment to offering academically rigorous, career-oriented programs. </w:t>
      </w:r>
      <w:r>
        <w:rPr>
          <w:rFonts w:ascii="Arial" w:cs="Arial" w:eastAsia="Arial" w:hAnsi="Arial"/>
          <w:sz w:val="18"/>
          <w:szCs w:val="18"/>
          <w:color w:val="auto"/>
        </w:rPr>
        <w:t>We are committed to offering academically</w:t>
      </w:r>
      <w:r>
        <w:rPr>
          <w:rFonts w:ascii="Arial" w:cs="Arial" w:eastAsia="Arial" w:hAnsi="Arial"/>
          <w:sz w:val="18"/>
          <w:szCs w:val="18"/>
          <w:i w:val="1"/>
          <w:iCs w:val="1"/>
          <w:color w:val="auto"/>
        </w:rPr>
        <w:t xml:space="preserve"> </w:t>
      </w:r>
      <w:r>
        <w:rPr>
          <w:rFonts w:ascii="Arial" w:cs="Arial" w:eastAsia="Arial" w:hAnsi="Arial"/>
          <w:sz w:val="18"/>
          <w:szCs w:val="18"/>
          <w:color w:val="auto"/>
        </w:rPr>
        <w:t>rigorous educational programs that are designed to 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98" w:lineRule="exact"/>
        <w:rPr>
          <w:sz w:val="20"/>
          <w:szCs w:val="20"/>
          <w:color w:val="auto"/>
        </w:rPr>
      </w:pPr>
    </w:p>
    <w:p>
      <w:pPr>
        <w:ind w:left="700" w:right="160" w:firstLine="794"/>
        <w:spacing w:after="0" w:line="259" w:lineRule="auto"/>
        <w:rPr>
          <w:sz w:val="20"/>
          <w:szCs w:val="20"/>
          <w:color w:val="auto"/>
        </w:rPr>
      </w:pPr>
      <w:r>
        <w:rPr>
          <w:rFonts w:ascii="Arial" w:cs="Arial" w:eastAsia="Arial" w:hAnsi="Arial"/>
          <w:sz w:val="18"/>
          <w:szCs w:val="18"/>
          <w:i w:val="1"/>
          <w:iCs w:val="1"/>
          <w:color w:val="auto"/>
        </w:rPr>
        <w:t xml:space="preserve">Complementary online capabilities and campus-based tradition. </w:t>
      </w:r>
      <w:r>
        <w:rPr>
          <w:rFonts w:ascii="Arial" w:cs="Arial" w:eastAsia="Arial" w:hAnsi="Arial"/>
          <w:sz w:val="18"/>
          <w:szCs w:val="18"/>
          <w:color w:val="auto"/>
        </w:rPr>
        <w:t>We believe that our online capabilities, combined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97" w:lineRule="auto"/>
        <w:rPr>
          <w:sz w:val="20"/>
          <w:szCs w:val="20"/>
          <w:color w:val="auto"/>
        </w:rPr>
      </w:pPr>
      <w:r>
        <w:rPr>
          <w:rFonts w:ascii="Arial" w:cs="Arial" w:eastAsia="Arial" w:hAnsi="Arial"/>
          <w:sz w:val="16"/>
          <w:szCs w:val="16"/>
          <w:color w:val="auto"/>
        </w:rPr>
        <w:t>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64" w:lineRule="exact"/>
        <w:rPr>
          <w:sz w:val="20"/>
          <w:szCs w:val="20"/>
          <w:color w:val="auto"/>
        </w:rPr>
      </w:pPr>
    </w:p>
    <w:p>
      <w:pPr>
        <w:ind w:left="700" w:firstLine="794"/>
        <w:spacing w:after="0" w:line="254" w:lineRule="auto"/>
        <w:rPr>
          <w:sz w:val="20"/>
          <w:szCs w:val="20"/>
          <w:color w:val="auto"/>
        </w:rPr>
      </w:pPr>
      <w:r>
        <w:rPr>
          <w:rFonts w:ascii="Arial" w:cs="Arial" w:eastAsia="Arial" w:hAnsi="Arial"/>
          <w:sz w:val="18"/>
          <w:szCs w:val="18"/>
          <w:i w:val="1"/>
          <w:iCs w:val="1"/>
          <w:color w:val="auto"/>
        </w:rPr>
        <w:t xml:space="preserve">Experienced executive management team with strong operating track-record. </w:t>
      </w:r>
      <w:r>
        <w:rPr>
          <w:rFonts w:ascii="Arial" w:cs="Arial" w:eastAsia="Arial" w:hAnsi="Arial"/>
          <w:sz w:val="18"/>
          <w:szCs w:val="18"/>
          <w:color w:val="auto"/>
        </w:rPr>
        <w:t>Our executive management team possesses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experience in the management and 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has worked in the education services sector for more than 20 years and has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98" w:lineRule="exact"/>
        <w:rPr>
          <w:sz w:val="20"/>
          <w:szCs w:val="20"/>
          <w:color w:val="auto"/>
        </w:rPr>
      </w:pPr>
    </w:p>
    <w:p>
      <w:pPr>
        <w:ind w:left="700" w:right="320" w:firstLine="794"/>
        <w:spacing w:after="0" w:line="291" w:lineRule="auto"/>
        <w:rPr>
          <w:sz w:val="20"/>
          <w:szCs w:val="20"/>
          <w:color w:val="auto"/>
        </w:rPr>
      </w:pPr>
      <w:r>
        <w:rPr>
          <w:rFonts w:ascii="Arial" w:cs="Arial" w:eastAsia="Arial" w:hAnsi="Arial"/>
          <w:sz w:val="16"/>
          <w:szCs w:val="16"/>
          <w:color w:val="auto"/>
        </w:rPr>
        <w:t>Effective July 1, 2008, we hired Brian Mueller, Stan Meyer, and Dan Bachus to serve as our Chief Executive Officer, Executive Vice President, and Chief Financial Officer, respectively. Mr. Mueller has been involved in the education industry for over</w:t>
      </w:r>
    </w:p>
    <w:p>
      <w:pPr>
        <w:ind w:left="700" w:right="20"/>
        <w:spacing w:after="0" w:line="253" w:lineRule="auto"/>
        <w:rPr>
          <w:sz w:val="20"/>
          <w:szCs w:val="20"/>
          <w:color w:val="auto"/>
        </w:rPr>
      </w:pPr>
      <w:r>
        <w:rPr>
          <w:rFonts w:ascii="Arial" w:cs="Arial" w:eastAsia="Arial" w:hAnsi="Arial"/>
          <w:sz w:val="18"/>
          <w:szCs w:val="18"/>
          <w:color w:val="auto"/>
        </w:rPr>
        <w:t>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Growth Strategies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pursue the following growth strategies:</w:t>
      </w:r>
    </w:p>
    <w:p>
      <w:pPr>
        <w:spacing w:after="0" w:line="131" w:lineRule="exact"/>
        <w:rPr>
          <w:sz w:val="20"/>
          <w:szCs w:val="20"/>
          <w:color w:val="auto"/>
        </w:rPr>
      </w:pPr>
    </w:p>
    <w:p>
      <w:pPr>
        <w:ind w:left="700" w:right="280" w:firstLine="794"/>
        <w:spacing w:after="0" w:line="290" w:lineRule="auto"/>
        <w:rPr>
          <w:sz w:val="20"/>
          <w:szCs w:val="20"/>
          <w:color w:val="auto"/>
        </w:rPr>
      </w:pPr>
      <w:r>
        <w:rPr>
          <w:rFonts w:ascii="Arial" w:cs="Arial" w:eastAsia="Arial" w:hAnsi="Arial"/>
          <w:sz w:val="16"/>
          <w:szCs w:val="16"/>
          <w:i w:val="1"/>
          <w:iCs w:val="1"/>
          <w:color w:val="auto"/>
        </w:rPr>
        <w:t xml:space="preserve">Increase enrollment in existing programs. </w:t>
      </w:r>
      <w:r>
        <w:rPr>
          <w:rFonts w:ascii="Arial" w:cs="Arial" w:eastAsia="Arial" w:hAnsi="Arial"/>
          <w:sz w:val="16"/>
          <w:szCs w:val="16"/>
          <w:color w:val="auto"/>
        </w:rPr>
        <w:t>We continue to increase enrollment in our three core disciplines by identifying,</w:t>
      </w:r>
      <w:r>
        <w:rPr>
          <w:rFonts w:ascii="Arial" w:cs="Arial" w:eastAsia="Arial" w:hAnsi="Arial"/>
          <w:sz w:val="16"/>
          <w:szCs w:val="16"/>
          <w:i w:val="1"/>
          <w:iCs w:val="1"/>
          <w:color w:val="auto"/>
        </w:rPr>
        <w:t xml:space="preserve"> </w:t>
      </w:r>
      <w:r>
        <w:rPr>
          <w:rFonts w:ascii="Arial" w:cs="Arial" w:eastAsia="Arial" w:hAnsi="Arial"/>
          <w:sz w:val="16"/>
          <w:szCs w:val="16"/>
          <w:color w:val="auto"/>
        </w:rPr>
        <w:t>enrolling, and retaining students seeking careers in 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over 200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72" w:lineRule="exact"/>
        <w:rPr>
          <w:sz w:val="20"/>
          <w:szCs w:val="20"/>
          <w:color w:val="auto"/>
        </w:rPr>
      </w:pPr>
    </w:p>
    <w:p>
      <w:pPr>
        <w:ind w:left="700" w:firstLine="794"/>
        <w:spacing w:after="0" w:line="272" w:lineRule="auto"/>
        <w:rPr>
          <w:sz w:val="20"/>
          <w:szCs w:val="20"/>
          <w:color w:val="auto"/>
        </w:rPr>
      </w:pPr>
      <w:r>
        <w:rPr>
          <w:rFonts w:ascii="Arial" w:cs="Arial" w:eastAsia="Arial" w:hAnsi="Arial"/>
          <w:sz w:val="17"/>
          <w:szCs w:val="17"/>
          <w:i w:val="1"/>
          <w:iCs w:val="1"/>
          <w:color w:val="auto"/>
        </w:rPr>
        <w:t xml:space="preserve">Expand online program and degree offerings. </w:t>
      </w:r>
      <w:r>
        <w:rPr>
          <w:rFonts w:ascii="Arial" w:cs="Arial" w:eastAsia="Arial" w:hAnsi="Arial"/>
          <w:sz w:val="17"/>
          <w:szCs w:val="17"/>
          <w:color w:val="auto"/>
        </w:rPr>
        <w:t>We develop and offer new programs that we believe have attractive demand</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We launched 17 new online program offerings in 2007, including the Ken Blanchard Executive MBA program, and twelve new online programs in the first nine months of 2008, including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83" w:lineRule="exact"/>
        <w:rPr>
          <w:sz w:val="20"/>
          <w:szCs w:val="20"/>
          <w:color w:val="auto"/>
        </w:rPr>
      </w:pPr>
    </w:p>
    <w:p>
      <w:pPr>
        <w:ind w:left="700" w:right="340" w:firstLine="794"/>
        <w:spacing w:after="0" w:line="259" w:lineRule="auto"/>
        <w:rPr>
          <w:sz w:val="20"/>
          <w:szCs w:val="20"/>
          <w:color w:val="auto"/>
        </w:rPr>
      </w:pPr>
      <w:r>
        <w:rPr>
          <w:rFonts w:ascii="Arial" w:cs="Arial" w:eastAsia="Arial" w:hAnsi="Arial"/>
          <w:sz w:val="18"/>
          <w:szCs w:val="18"/>
          <w:i w:val="1"/>
          <w:iCs w:val="1"/>
          <w:color w:val="auto"/>
        </w:rPr>
        <w:t xml:space="preserve">Further enhance our brand recognition. </w:t>
      </w:r>
      <w:r>
        <w:rPr>
          <w:rFonts w:ascii="Arial" w:cs="Arial" w:eastAsia="Arial" w:hAnsi="Arial"/>
          <w:sz w:val="18"/>
          <w:szCs w:val="18"/>
          <w:color w:val="auto"/>
        </w:rPr>
        <w:t>We continue to enhance our brand recognition by pursuing online and offline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campaigns, establishing strategic branding relationships with recognized industry leaders, and developing complementary resources in our core disciplines that increase the overall awareness of our offerings. In our marketing efforts, we emphasize the academic rigor and career orientation of our programs.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We seek to promote our brand by establishing relationships with industry leaders, such as Ken Blanchard, who have recognizable identities with potential students and further validate the quality and relevance of our program offerings.</w:t>
      </w:r>
    </w:p>
    <w:p>
      <w:pPr>
        <w:spacing w:after="0" w:line="76" w:lineRule="exact"/>
        <w:rPr>
          <w:sz w:val="20"/>
          <w:szCs w:val="20"/>
          <w:color w:val="auto"/>
        </w:rPr>
      </w:pPr>
    </w:p>
    <w:p>
      <w:pPr>
        <w:ind w:left="700" w:right="60" w:firstLine="794"/>
        <w:spacing w:after="0" w:line="271" w:lineRule="auto"/>
        <w:rPr>
          <w:sz w:val="20"/>
          <w:szCs w:val="20"/>
          <w:color w:val="auto"/>
        </w:rPr>
      </w:pPr>
      <w:r>
        <w:rPr>
          <w:rFonts w:ascii="Arial" w:cs="Arial" w:eastAsia="Arial" w:hAnsi="Arial"/>
          <w:sz w:val="17"/>
          <w:szCs w:val="17"/>
          <w:i w:val="1"/>
          <w:iCs w:val="1"/>
          <w:color w:val="auto"/>
        </w:rPr>
        <w:t xml:space="preserve">Expand relationships with private sector and government employers. </w:t>
      </w:r>
      <w:r>
        <w:rPr>
          <w:rFonts w:ascii="Arial" w:cs="Arial" w:eastAsia="Arial" w:hAnsi="Arial"/>
          <w:sz w:val="17"/>
          <w:szCs w:val="17"/>
          <w:color w:val="auto"/>
        </w:rPr>
        <w:t>We seek additional relationships with health care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school districts, emergency services providers, and other employers through which we can market our offerings to their employees. As evidence of our success in these initiatives to date, in the first nine months of 2008, we taught courses at 29 hospitals and had direct billing arrangements with 28 employers covering programs being pursued by approximately 2,100 of their employees. We recently 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84" w:lineRule="exact"/>
        <w:rPr>
          <w:sz w:val="20"/>
          <w:szCs w:val="20"/>
          <w:color w:val="auto"/>
        </w:rPr>
      </w:pPr>
    </w:p>
    <w:p>
      <w:pPr>
        <w:ind w:left="700" w:right="20" w:firstLine="794"/>
        <w:spacing w:after="0" w:line="290" w:lineRule="auto"/>
        <w:rPr>
          <w:sz w:val="20"/>
          <w:szCs w:val="20"/>
          <w:color w:val="auto"/>
        </w:rPr>
      </w:pPr>
      <w:r>
        <w:rPr>
          <w:rFonts w:ascii="Arial" w:cs="Arial" w:eastAsia="Arial" w:hAnsi="Arial"/>
          <w:sz w:val="16"/>
          <w:szCs w:val="16"/>
          <w:i w:val="1"/>
          <w:iCs w:val="1"/>
          <w:color w:val="auto"/>
        </w:rPr>
        <w:t xml:space="preserve">Leverage infrastructure and drive earnings growth. </w:t>
      </w:r>
      <w:r>
        <w:rPr>
          <w:rFonts w:ascii="Arial" w:cs="Arial" w:eastAsia="Arial" w:hAnsi="Arial"/>
          <w:sz w:val="16"/>
          <w:szCs w:val="16"/>
          <w:color w:val="auto"/>
        </w:rPr>
        <w:t>We have made significant investments in our people, processes,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infrastructure since 2004. We believe 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Approach to Academic Quality</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31" w:lineRule="exact"/>
        <w:rPr>
          <w:sz w:val="20"/>
          <w:szCs w:val="20"/>
          <w:color w:val="auto"/>
        </w:rPr>
      </w:pPr>
    </w:p>
    <w:p>
      <w:pPr>
        <w:ind w:left="1700" w:hanging="211"/>
        <w:spacing w:after="0" w:line="273" w:lineRule="auto"/>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Academically rigorous, career oriented curricula. </w:t>
      </w:r>
      <w:r>
        <w:rPr>
          <w:rFonts w:ascii="Arial" w:cs="Arial" w:eastAsia="Arial" w:hAnsi="Arial"/>
          <w:sz w:val="17"/>
          <w:szCs w:val="17"/>
          <w:color w:val="auto"/>
        </w:rPr>
        <w:t>We create academically rigorous curricula that are designed to enable all</w:t>
      </w:r>
      <w:r>
        <w:rPr>
          <w:rFonts w:ascii="Arial" w:cs="Arial" w:eastAsia="Arial" w:hAnsi="Arial"/>
          <w:sz w:val="17"/>
          <w:szCs w:val="17"/>
          <w:i w:val="1"/>
          <w:iCs w:val="1"/>
          <w:color w:val="auto"/>
        </w:rPr>
        <w:t xml:space="preserve"> </w:t>
      </w:r>
      <w:r>
        <w:rPr>
          <w:rFonts w:ascii="Arial" w:cs="Arial" w:eastAsia="Arial" w:hAnsi="Arial"/>
          <w:sz w:val="17"/>
          <w:szCs w:val="17"/>
          <w:color w:val="auto"/>
        </w:rPr>
        <w:t>students to gain the foundational knowledge, 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83" w:lineRule="exact"/>
        <w:rPr>
          <w:rFonts w:ascii="Arial" w:cs="Arial" w:eastAsia="Arial" w:hAnsi="Arial"/>
          <w:sz w:val="17"/>
          <w:szCs w:val="17"/>
          <w:color w:val="auto"/>
        </w:rPr>
      </w:pPr>
    </w:p>
    <w:p>
      <w:pPr>
        <w:ind w:left="1700" w:right="60" w:hanging="211"/>
        <w:spacing w:after="0" w:line="272" w:lineRule="auto"/>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Qualified faculty. </w:t>
      </w:r>
      <w:r>
        <w:rPr>
          <w:rFonts w:ascii="Arial" w:cs="Arial" w:eastAsia="Arial" w:hAnsi="Arial"/>
          <w:sz w:val="17"/>
          <w:szCs w:val="17"/>
          <w:color w:val="auto"/>
        </w:rPr>
        <w:t>We demonstrate our commitment to high quality education by hiring and contracting qualified faculty</w:t>
      </w:r>
      <w:r>
        <w:rPr>
          <w:rFonts w:ascii="Arial" w:cs="Arial" w:eastAsia="Arial" w:hAnsi="Arial"/>
          <w:sz w:val="17"/>
          <w:szCs w:val="17"/>
          <w:i w:val="1"/>
          <w:iCs w:val="1"/>
          <w:color w:val="auto"/>
        </w:rPr>
        <w:t xml:space="preserve"> </w:t>
      </w:r>
      <w:r>
        <w:rPr>
          <w:rFonts w:ascii="Arial" w:cs="Arial" w:eastAsia="Arial" w:hAnsi="Arial"/>
          <w:sz w:val="17"/>
          <w:szCs w:val="17"/>
          <w:color w:val="auto"/>
        </w:rPr>
        <w:t>with relevant practical experience. Substantially all of our current faculty members hold at least a master’s degree in their respective field and approximately 29%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83" w:lineRule="exact"/>
        <w:rPr>
          <w:rFonts w:ascii="Arial" w:cs="Arial" w:eastAsia="Arial" w:hAnsi="Arial"/>
          <w:sz w:val="17"/>
          <w:szCs w:val="17"/>
          <w:color w:val="auto"/>
        </w:rPr>
      </w:pPr>
    </w:p>
    <w:p>
      <w:pPr>
        <w:ind w:left="1700" w:right="140" w:hanging="211"/>
        <w:spacing w:after="0" w:line="302" w:lineRule="auto"/>
        <w:tabs>
          <w:tab w:leader="none" w:pos="17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Standardized course design. </w:t>
      </w:r>
      <w:r>
        <w:rPr>
          <w:rFonts w:ascii="Arial" w:cs="Arial" w:eastAsia="Arial" w:hAnsi="Arial"/>
          <w:sz w:val="16"/>
          <w:szCs w:val="16"/>
          <w:color w:val="auto"/>
        </w:rPr>
        <w:t>We employ a standardized curriculum development process to ensure a consistent learning</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with 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46" w:lineRule="exact"/>
        <w:rPr>
          <w:rFonts w:ascii="Arial" w:cs="Arial" w:eastAsia="Arial" w:hAnsi="Arial"/>
          <w:sz w:val="16"/>
          <w:szCs w:val="16"/>
          <w:color w:val="auto"/>
        </w:rPr>
      </w:pPr>
    </w:p>
    <w:p>
      <w:pPr>
        <w:ind w:left="1700" w:right="40" w:hanging="211"/>
        <w:spacing w:after="0" w:line="259"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Effective student services. </w:t>
      </w:r>
      <w:r>
        <w:rPr>
          <w:rFonts w:ascii="Arial" w:cs="Arial" w:eastAsia="Arial" w:hAnsi="Arial"/>
          <w:sz w:val="18"/>
          <w:szCs w:val="18"/>
          <w:color w:val="auto"/>
        </w:rPr>
        <w:t>We establish teams comprised of academic and administrative personnel that act as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contact point for each of our students, beginning at the application stage and continuing through graduation. In recent years, we have also concentrated on improving the technology used to support student learning, including enhancing our online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spacing w:after="0" w:line="286" w:lineRule="auto"/>
        <w:rPr>
          <w:sz w:val="20"/>
          <w:szCs w:val="20"/>
          <w:color w:val="auto"/>
        </w:rPr>
      </w:pPr>
      <w:r>
        <w:rPr>
          <w:rFonts w:ascii="Arial" w:cs="Arial" w:eastAsia="Arial" w:hAnsi="Arial"/>
          <w:sz w:val="17"/>
          <w:szCs w:val="17"/>
          <w:color w:val="auto"/>
        </w:rPr>
        <w:t>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71" w:lineRule="exact"/>
        <w:rPr>
          <w:sz w:val="20"/>
          <w:szCs w:val="20"/>
          <w:color w:val="auto"/>
        </w:rPr>
      </w:pPr>
    </w:p>
    <w:p>
      <w:pPr>
        <w:ind w:left="1700" w:hanging="211"/>
        <w:spacing w:after="0" w:line="289" w:lineRule="auto"/>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academic oversight and assessment functions for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through our Office of Assessment and 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 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72"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We also offer, for both our online and ground programs, the following features in an effort to enrich the academic experience of current and prospective students:</w:t>
      </w:r>
    </w:p>
    <w:p>
      <w:pPr>
        <w:spacing w:after="0" w:line="76" w:lineRule="exact"/>
        <w:rPr>
          <w:sz w:val="20"/>
          <w:szCs w:val="20"/>
          <w:color w:val="auto"/>
        </w:rPr>
      </w:pPr>
    </w:p>
    <w:p>
      <w:pPr>
        <w:ind w:left="1700" w:hanging="211"/>
        <w:spacing w:after="0" w:line="291" w:lineRule="auto"/>
        <w:tabs>
          <w:tab w:leader="none" w:pos="17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Flexibility in program delivery. </w:t>
      </w:r>
      <w:r>
        <w:rPr>
          <w:rFonts w:ascii="Arial" w:cs="Arial" w:eastAsia="Arial" w:hAnsi="Arial"/>
          <w:sz w:val="16"/>
          <w:szCs w:val="16"/>
          <w:color w:val="auto"/>
        </w:rPr>
        <w:t>We also seek to meet market demands by providing students with the flexibility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courses exclusively 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72" w:lineRule="exact"/>
        <w:rPr>
          <w:rFonts w:ascii="Arial" w:cs="Arial" w:eastAsia="Arial" w:hAnsi="Arial"/>
          <w:sz w:val="16"/>
          <w:szCs w:val="16"/>
          <w:color w:val="auto"/>
        </w:rPr>
      </w:pPr>
    </w:p>
    <w:p>
      <w:pPr>
        <w:ind w:left="1700" w:hanging="211"/>
        <w:spacing w:after="0" w:line="273" w:lineRule="auto"/>
        <w:tabs>
          <w:tab w:leader="none" w:pos="17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Small class size. </w:t>
      </w:r>
      <w:r>
        <w:rPr>
          <w:rFonts w:ascii="Arial" w:cs="Arial" w:eastAsia="Arial" w:hAnsi="Arial"/>
          <w:sz w:val="17"/>
          <w:szCs w:val="17"/>
          <w:color w:val="auto"/>
        </w:rPr>
        <w:t>At September 30, 2008, over 90% of our online classes had 25 or fewer students, with no classes</w:t>
      </w:r>
      <w:r>
        <w:rPr>
          <w:rFonts w:ascii="Arial" w:cs="Arial" w:eastAsia="Arial" w:hAnsi="Arial"/>
          <w:sz w:val="17"/>
          <w:szCs w:val="17"/>
          <w:i w:val="1"/>
          <w:iCs w:val="1"/>
          <w:color w:val="auto"/>
        </w:rPr>
        <w:t xml:space="preserve"> </w:t>
      </w:r>
      <w:r>
        <w:rPr>
          <w:rFonts w:ascii="Arial" w:cs="Arial" w:eastAsia="Arial" w:hAnsi="Arial"/>
          <w:sz w:val="17"/>
          <w:szCs w:val="17"/>
          <w:color w:val="auto"/>
        </w:rPr>
        <w:t>exceeding 40 students, and over 80% of our ground classes had 25 or fewer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Accreditation and Program Approvals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3480" w:type="dxa"/>
            <w:vAlign w:val="bottom"/>
          </w:tcPr>
          <w:p>
            <w:pPr>
              <w:spacing w:after="0"/>
              <w:rPr>
                <w:sz w:val="20"/>
                <w:szCs w:val="20"/>
                <w:color w:val="auto"/>
              </w:rPr>
            </w:pPr>
            <w:r>
              <w:rPr>
                <w:rFonts w:ascii="Arial" w:cs="Arial" w:eastAsia="Arial" w:hAnsi="Arial"/>
                <w:sz w:val="14"/>
                <w:szCs w:val="14"/>
                <w:b w:val="1"/>
                <w:bCs w:val="1"/>
                <w:color w:val="auto"/>
              </w:rPr>
              <w:t>College</w:t>
            </w:r>
          </w:p>
        </w:tc>
        <w:tc>
          <w:tcPr>
            <w:tcW w:w="600" w:type="dxa"/>
            <w:vAlign w:val="bottom"/>
          </w:tcPr>
          <w:p>
            <w:pPr>
              <w:spacing w:after="0"/>
              <w:rPr>
                <w:sz w:val="16"/>
                <w:szCs w:val="16"/>
                <w:color w:val="auto"/>
              </w:rPr>
            </w:pPr>
          </w:p>
        </w:tc>
        <w:tc>
          <w:tcPr>
            <w:tcW w:w="3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Specialized Accreditations and Program Approvals</w:t>
            </w:r>
          </w:p>
        </w:tc>
        <w:tc>
          <w:tcPr>
            <w:tcW w:w="2280" w:type="dxa"/>
            <w:vAlign w:val="bottom"/>
          </w:tcPr>
          <w:p>
            <w:pPr>
              <w:ind w:left="1320"/>
              <w:spacing w:after="0"/>
              <w:rPr>
                <w:sz w:val="20"/>
                <w:szCs w:val="20"/>
                <w:color w:val="auto"/>
              </w:rPr>
            </w:pPr>
            <w:r>
              <w:rPr>
                <w:rFonts w:ascii="Arial" w:cs="Arial" w:eastAsia="Arial" w:hAnsi="Arial"/>
                <w:sz w:val="14"/>
                <w:szCs w:val="14"/>
                <w:b w:val="1"/>
                <w:bCs w:val="1"/>
                <w:color w:val="auto"/>
                <w:w w:val="95"/>
              </w:rPr>
              <w:t>Current Period</w:t>
            </w:r>
          </w:p>
        </w:tc>
      </w:tr>
      <w:tr>
        <w:trPr>
          <w:trHeight w:val="249"/>
        </w:trPr>
        <w:tc>
          <w:tcPr>
            <w:tcW w:w="3480" w:type="dxa"/>
            <w:vAlign w:val="bottom"/>
          </w:tcPr>
          <w:p>
            <w:pPr>
              <w:spacing w:after="0"/>
              <w:rPr>
                <w:sz w:val="20"/>
                <w:szCs w:val="20"/>
                <w:color w:val="auto"/>
              </w:rPr>
            </w:pPr>
            <w:r>
              <w:rPr>
                <w:rFonts w:ascii="Arial" w:cs="Arial" w:eastAsia="Arial" w:hAnsi="Arial"/>
                <w:sz w:val="18"/>
                <w:szCs w:val="18"/>
                <w:i w:val="1"/>
                <w:iCs w:val="1"/>
                <w:color w:val="auto"/>
              </w:rPr>
              <w:t>College of Education</w:t>
            </w: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  The Arizona State Board of Education</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1"/>
              </w:rPr>
              <w:t>2008 - 2010</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approves our College of Education to offer</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Institutional Recommendations for the</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9"/>
              </w:rPr>
              <w:t>certification of elementary, secondary, and</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special education teachers and school</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administrators.</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  The Association of Collegiate Business</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1"/>
              </w:rPr>
              <w:t>2007 - 2017</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1"/>
              </w:rPr>
              <w:t>Schools and Programs accredits our Master of</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3"/>
              </w:rPr>
              <w:t>Business Administration degree program and</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5"/>
              </w:rPr>
              <w:t>our Bachelor of Science degree programs in</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Accounting, Business Administration, and</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Marketing.</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i w:val="1"/>
                <w:iCs w:val="1"/>
                <w:color w:val="auto"/>
              </w:rPr>
              <w:t>College of Nursing and Health Sciences</w:t>
            </w: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  The Commission on Collegiate Nursing</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2"/>
              </w:rPr>
              <w:t>2006 - 2016 (B.S.)</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5"/>
              </w:rPr>
              <w:t>Education accredits our Bachelor of Science</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0"/>
              </w:rPr>
              <w:t>2006 - 2011 (M.S.)</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(B.S.) in Nursing and Master of Science</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(M.S.) — Nursing degree programs.</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  The Arizona State Board of Nursing</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2"/>
              </w:rPr>
              <w:t>2006 - 2016 (B.S.)</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9"/>
              </w:rPr>
              <w:t>approves our Bachelor of Science (B.S.) in</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0"/>
              </w:rPr>
              <w:t>2006 - 2011 (M.S.)</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Nursing and Master of Science (M.S.) —</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Nursing degree programs.</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  The Commission on Accreditation of</w:t>
            </w:r>
          </w:p>
        </w:tc>
        <w:tc>
          <w:tcPr>
            <w:tcW w:w="2280" w:type="dxa"/>
            <w:vAlign w:val="bottom"/>
          </w:tcPr>
          <w:p>
            <w:pPr>
              <w:jc w:val="center"/>
              <w:ind w:left="312"/>
              <w:spacing w:after="0"/>
              <w:rPr>
                <w:sz w:val="20"/>
                <w:szCs w:val="20"/>
                <w:color w:val="auto"/>
              </w:rPr>
            </w:pPr>
            <w:r>
              <w:rPr>
                <w:rFonts w:ascii="Arial" w:cs="Arial" w:eastAsia="Arial" w:hAnsi="Arial"/>
                <w:sz w:val="18"/>
                <w:szCs w:val="18"/>
                <w:color w:val="auto"/>
                <w:w w:val="91"/>
              </w:rPr>
              <w:t>2008 - 2013</w:t>
            </w:r>
          </w:p>
        </w:tc>
      </w:tr>
      <w:tr>
        <w:trPr>
          <w:trHeight w:val="216"/>
        </w:trPr>
        <w:tc>
          <w:tcPr>
            <w:tcW w:w="3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Athletic Training Education accredits our</w:t>
            </w:r>
          </w:p>
        </w:tc>
        <w:tc>
          <w:tcPr>
            <w:tcW w:w="22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Athletic Training Program.</w:t>
            </w: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-3197860</wp:posOffset>
            </wp:positionV>
            <wp:extent cx="26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-3197860</wp:posOffset>
            </wp:positionV>
            <wp:extent cx="17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Curricula</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began offering our first doctoral degree program, a Doctorate of Education in Organizational Leadership, in May 2008.</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offer our academic programs through our four distinct colleges:</w:t>
      </w:r>
    </w:p>
    <w:p>
      <w:pPr>
        <w:spacing w:after="0" w:line="131" w:lineRule="exact"/>
        <w:rPr>
          <w:sz w:val="20"/>
          <w:szCs w:val="20"/>
          <w:color w:val="auto"/>
        </w:rPr>
      </w:pPr>
    </w:p>
    <w:p>
      <w:pPr>
        <w:ind w:left="1700" w:hanging="211"/>
        <w:spacing w:after="0" w:line="342" w:lineRule="auto"/>
        <w:tabs>
          <w:tab w:leader="none" w:pos="1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15" w:lineRule="exact"/>
        <w:rPr>
          <w:rFonts w:ascii="Arial" w:cs="Arial" w:eastAsia="Arial" w:hAnsi="Arial"/>
          <w:sz w:val="16"/>
          <w:szCs w:val="16"/>
          <w:color w:val="auto"/>
        </w:rPr>
      </w:pPr>
    </w:p>
    <w:p>
      <w:pPr>
        <w:jc w:val="both"/>
        <w:ind w:left="1700" w:right="200" w:hanging="211"/>
        <w:spacing w:after="0" w:line="286" w:lineRule="auto"/>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7"/>
          <w:szCs w:val="17"/>
          <w:color w:val="auto"/>
        </w:rPr>
      </w:pPr>
    </w:p>
    <w:p>
      <w:pPr>
        <w:ind w:left="1700" w:right="60" w:hanging="211"/>
        <w:spacing w:after="0" w:line="277" w:lineRule="auto"/>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College of Nursing and Health Sciences, which has a strong reputation within the Arizona healthcare community and is the second largest nursing program in Arizona; and</w:t>
      </w:r>
    </w:p>
    <w:p>
      <w:pPr>
        <w:spacing w:after="0" w:line="62" w:lineRule="exact"/>
        <w:rPr>
          <w:rFonts w:ascii="Arial" w:cs="Arial" w:eastAsia="Arial" w:hAnsi="Arial"/>
          <w:sz w:val="18"/>
          <w:szCs w:val="18"/>
          <w:color w:val="auto"/>
        </w:rPr>
      </w:pPr>
    </w:p>
    <w:p>
      <w:pPr>
        <w:ind w:left="1700" w:right="200" w:hanging="211"/>
        <w:spacing w:after="0" w:line="342" w:lineRule="auto"/>
        <w:tabs>
          <w:tab w:leader="none" w:pos="1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29"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 See “Intellectual Property.”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7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College of Education</w:t>
            </w:r>
          </w:p>
        </w:tc>
        <w:tc>
          <w:tcPr>
            <w:tcW w:w="80" w:type="dxa"/>
            <w:vAlign w:val="bottom"/>
          </w:tcPr>
          <w:p>
            <w:pPr>
              <w:spacing w:after="0"/>
              <w:rPr>
                <w:sz w:val="14"/>
                <w:szCs w:val="14"/>
                <w:color w:val="auto"/>
              </w:rPr>
            </w:pPr>
          </w:p>
        </w:tc>
        <w:tc>
          <w:tcPr>
            <w:tcW w:w="476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rPr>
              <w:t>Ken Blanchard College of Business</w:t>
            </w:r>
          </w:p>
        </w:tc>
      </w:tr>
      <w:tr>
        <w:trPr>
          <w:trHeight w:val="142"/>
        </w:trPr>
        <w:tc>
          <w:tcPr>
            <w:tcW w:w="178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b w:val="1"/>
                <w:bCs w:val="1"/>
                <w:color w:val="auto"/>
              </w:rPr>
              <w:t>Degree Program</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80" w:type="dxa"/>
            <w:vAlign w:val="bottom"/>
          </w:tcPr>
          <w:p>
            <w:pPr>
              <w:spacing w:after="0"/>
              <w:rPr>
                <w:sz w:val="12"/>
                <w:szCs w:val="12"/>
                <w:color w:val="auto"/>
              </w:rPr>
            </w:pPr>
          </w:p>
        </w:tc>
        <w:tc>
          <w:tcPr>
            <w:tcW w:w="2000" w:type="dxa"/>
            <w:vAlign w:val="bottom"/>
            <w:tcBorders>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Degree Program</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820"/>
              <w:spacing w:after="0" w:line="142" w:lineRule="exact"/>
              <w:rPr>
                <w:sz w:val="20"/>
                <w:szCs w:val="20"/>
                <w:color w:val="auto"/>
              </w:rPr>
            </w:pPr>
            <w:r>
              <w:rPr>
                <w:rFonts w:ascii="Arial" w:cs="Arial" w:eastAsia="Arial" w:hAnsi="Arial"/>
                <w:sz w:val="14"/>
                <w:szCs w:val="14"/>
                <w:b w:val="1"/>
                <w:bCs w:val="1"/>
                <w:color w:val="auto"/>
              </w:rPr>
              <w:t>Emphasis</w:t>
            </w:r>
          </w:p>
        </w:tc>
      </w:tr>
      <w:tr>
        <w:trPr>
          <w:trHeight w:val="194"/>
        </w:trPr>
        <w:tc>
          <w:tcPr>
            <w:tcW w:w="1780" w:type="dxa"/>
            <w:vAlign w:val="bottom"/>
          </w:tcPr>
          <w:p>
            <w:pPr>
              <w:spacing w:after="0"/>
              <w:rPr>
                <w:sz w:val="20"/>
                <w:szCs w:val="20"/>
                <w:color w:val="auto"/>
              </w:rPr>
            </w:pPr>
            <w:r>
              <w:rPr>
                <w:rFonts w:ascii="Arial" w:cs="Arial" w:eastAsia="Arial" w:hAnsi="Arial"/>
                <w:sz w:val="13"/>
                <w:szCs w:val="13"/>
                <w:color w:val="auto"/>
              </w:rPr>
              <w:t>Master of Arts in Teaching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80" w:type="dxa"/>
            <w:vAlign w:val="bottom"/>
            <w:gridSpan w:val="2"/>
          </w:tcPr>
          <w:p>
            <w:pPr>
              <w:ind w:left="80"/>
              <w:spacing w:after="0"/>
              <w:rPr>
                <w:sz w:val="20"/>
                <w:szCs w:val="20"/>
                <w:color w:val="auto"/>
              </w:rPr>
            </w:pPr>
            <w:r>
              <w:rPr>
                <w:rFonts w:ascii="Arial" w:cs="Arial" w:eastAsia="Arial" w:hAnsi="Arial"/>
                <w:sz w:val="13"/>
                <w:szCs w:val="13"/>
                <w:color w:val="auto"/>
              </w:rPr>
              <w:t>Ken Blanchard Executive MBA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77"/>
        </w:trPr>
        <w:tc>
          <w:tcPr>
            <w:tcW w:w="1780" w:type="dxa"/>
            <w:vAlign w:val="bottom"/>
          </w:tcPr>
          <w:p>
            <w:pPr>
              <w:spacing w:after="0"/>
              <w:rPr>
                <w:sz w:val="20"/>
                <w:szCs w:val="20"/>
                <w:color w:val="auto"/>
              </w:rPr>
            </w:pPr>
            <w:r>
              <w:rPr>
                <w:rFonts w:ascii="Arial" w:cs="Arial" w:eastAsia="Arial" w:hAnsi="Arial"/>
                <w:sz w:val="13"/>
                <w:szCs w:val="13"/>
                <w:color w:val="auto"/>
              </w:rPr>
              <w:t>Master of Education</w:t>
            </w:r>
          </w:p>
        </w:tc>
        <w:tc>
          <w:tcPr>
            <w:tcW w:w="52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Education Administration —</w:t>
            </w:r>
          </w:p>
        </w:tc>
        <w:tc>
          <w:tcPr>
            <w:tcW w:w="2080" w:type="dxa"/>
            <w:vAlign w:val="bottom"/>
            <w:gridSpan w:val="2"/>
          </w:tcPr>
          <w:p>
            <w:pPr>
              <w:ind w:left="80"/>
              <w:spacing w:after="0"/>
              <w:rPr>
                <w:sz w:val="20"/>
                <w:szCs w:val="20"/>
                <w:color w:val="auto"/>
              </w:rPr>
            </w:pPr>
            <w:r>
              <w:rPr>
                <w:rFonts w:ascii="Arial" w:cs="Arial" w:eastAsia="Arial" w:hAnsi="Arial"/>
                <w:sz w:val="13"/>
                <w:szCs w:val="13"/>
                <w:color w:val="auto"/>
              </w:rPr>
              <w:t>Master of Business Administration</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rPr>
                <w:sz w:val="20"/>
                <w:szCs w:val="20"/>
                <w:color w:val="auto"/>
              </w:rPr>
            </w:pPr>
            <w:r>
              <w:rPr>
                <w:rFonts w:ascii="Arial" w:cs="Arial" w:eastAsia="Arial" w:hAnsi="Arial"/>
                <w:sz w:val="13"/>
                <w:szCs w:val="13"/>
                <w:color w:val="auto"/>
              </w:rPr>
              <w:t>General 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ind w:left="20"/>
              <w:spacing w:after="0" w:line="135" w:lineRule="exact"/>
              <w:rPr>
                <w:sz w:val="20"/>
                <w:szCs w:val="20"/>
                <w:color w:val="auto"/>
              </w:rPr>
            </w:pPr>
            <w:r>
              <w:rPr>
                <w:rFonts w:ascii="Arial" w:cs="Arial" w:eastAsia="Arial" w:hAnsi="Arial"/>
                <w:sz w:val="13"/>
                <w:szCs w:val="13"/>
                <w:color w:val="auto"/>
              </w:rPr>
              <w:t>Institutional Recommendation (“IR”)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 Systems 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Education Administration —</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Leadership</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Organizational   Leadership</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76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  Management of Information Systems</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Education Administration —</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Marketing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School Leadership</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Six Sigma</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IR</w:t>
            </w:r>
          </w:p>
        </w:tc>
        <w:tc>
          <w:tcPr>
            <w:tcW w:w="20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Master of Science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Non-IR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Leadership</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Curriculum and Instruction: Reading</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5"/>
              </w:rPr>
              <w:t>•  Leadership — Disaster Preparedness Crisis</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Curriculum and Instruction: Technology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Executive Fire Leadership</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Non-IR</w:t>
            </w:r>
          </w:p>
        </w:tc>
        <w:tc>
          <w:tcPr>
            <w:tcW w:w="20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Bachelor of Science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Special Education for Certified Special</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40"/>
              <w:spacing w:after="0" w:line="135" w:lineRule="exact"/>
              <w:rPr>
                <w:sz w:val="20"/>
                <w:szCs w:val="20"/>
                <w:color w:val="auto"/>
              </w:rPr>
            </w:pPr>
            <w:r>
              <w:rPr>
                <w:rFonts w:ascii="Arial" w:cs="Arial" w:eastAsia="Arial" w:hAnsi="Arial"/>
                <w:sz w:val="13"/>
                <w:szCs w:val="13"/>
                <w:color w:val="auto"/>
              </w:rPr>
              <w:t>Accounting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Educators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Business Administration</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Teaching English to Speakers of Other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Business Administration — Healthcare</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Languages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Special Education — 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6"/>
              </w:rPr>
              <w:t>•  Business Administration — Management of</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Special Education — Non-IR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Information Systems Marketing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School Counseling — K-12*</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40"/>
              <w:spacing w:after="0" w:line="135" w:lineRule="exact"/>
              <w:rPr>
                <w:sz w:val="20"/>
                <w:szCs w:val="20"/>
                <w:color w:val="auto"/>
              </w:rPr>
            </w:pPr>
            <w:r>
              <w:rPr>
                <w:rFonts w:ascii="Arial" w:cs="Arial" w:eastAsia="Arial" w:hAnsi="Arial"/>
                <w:sz w:val="13"/>
                <w:szCs w:val="13"/>
                <w:color w:val="auto"/>
              </w:rPr>
              <w:t>Applied Management•  Accounting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Finance</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Elementary/Special Education*</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Entrepreneurial Studies</w:t>
            </w:r>
          </w:p>
        </w:tc>
      </w:tr>
      <w:tr>
        <w:trPr>
          <w:trHeight w:val="135"/>
        </w:trPr>
        <w:tc>
          <w:tcPr>
            <w:tcW w:w="1780" w:type="dxa"/>
            <w:vAlign w:val="bottom"/>
          </w:tcPr>
          <w:p>
            <w:pPr>
              <w:spacing w:after="0" w:line="135" w:lineRule="exact"/>
              <w:rPr>
                <w:sz w:val="20"/>
                <w:szCs w:val="20"/>
                <w:color w:val="auto"/>
              </w:rPr>
            </w:pPr>
            <w:r>
              <w:rPr>
                <w:rFonts w:ascii="Arial" w:cs="Arial" w:eastAsia="Arial" w:hAnsi="Arial"/>
                <w:sz w:val="13"/>
                <w:szCs w:val="13"/>
                <w:color w:val="auto"/>
              </w:rPr>
              <w:t>Bachelor of Science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Elementary Education — Early Childhood</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Public Safety Administration</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Education</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English</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Math</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Science</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Secondary Education — Biology*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6"/>
              </w:rPr>
              <w:t>•  Secondary Education — Business Education</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and Technology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Secondary Education — Chemistry*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Mathematics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Social Studies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0"/>
        </w:trPr>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2"/>
          </w:tcPr>
          <w:p>
            <w:pPr>
              <w:ind w:left="60"/>
              <w:spacing w:after="0"/>
              <w:rPr>
                <w:sz w:val="20"/>
                <w:szCs w:val="20"/>
                <w:color w:val="auto"/>
              </w:rPr>
            </w:pPr>
            <w:r>
              <w:rPr>
                <w:rFonts w:ascii="Arial" w:cs="Arial" w:eastAsia="Arial" w:hAnsi="Arial"/>
                <w:sz w:val="13"/>
                <w:szCs w:val="13"/>
                <w:color w:val="auto"/>
                <w:w w:val="97"/>
              </w:rPr>
              <w:t>•  Secondary Education — Physical Education</w:t>
            </w: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3"/>
                <w:szCs w:val="13"/>
                <w:color w:val="auto"/>
              </w:rPr>
              <w:t>Bachelor of Arts</w:t>
            </w:r>
          </w:p>
        </w:tc>
        <w:tc>
          <w:tcPr>
            <w:tcW w:w="5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English for Secondary Teachers*</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78740</wp:posOffset>
            </wp:positionV>
            <wp:extent cx="814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program was offered on ground only.</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rPr>
              <w:t>College of Nursing and Health Sciences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College of Liberal Arts</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Degree Program</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w w:val="99"/>
              </w:rPr>
              <w:t>Degree Program</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68"/>
        </w:trPr>
        <w:tc>
          <w:tcPr>
            <w:tcW w:w="2180" w:type="dxa"/>
            <w:vAlign w:val="bottom"/>
            <w:gridSpan w:val="2"/>
          </w:tcPr>
          <w:p>
            <w:pPr>
              <w:spacing w:after="0"/>
              <w:rPr>
                <w:sz w:val="20"/>
                <w:szCs w:val="20"/>
                <w:color w:val="auto"/>
              </w:rPr>
            </w:pPr>
            <w:r>
              <w:rPr>
                <w:rFonts w:ascii="Arial" w:cs="Arial" w:eastAsia="Arial" w:hAnsi="Arial"/>
                <w:sz w:val="13"/>
                <w:szCs w:val="13"/>
                <w:color w:val="auto"/>
              </w:rPr>
              <w:t>Master of Science — Nursing</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20"/>
              <w:spacing w:after="0"/>
              <w:rPr>
                <w:sz w:val="20"/>
                <w:szCs w:val="20"/>
                <w:color w:val="auto"/>
              </w:rPr>
            </w:pPr>
            <w:r>
              <w:rPr>
                <w:rFonts w:ascii="Arial" w:cs="Arial" w:eastAsia="Arial" w:hAnsi="Arial"/>
                <w:sz w:val="13"/>
                <w:szCs w:val="13"/>
                <w:color w:val="auto"/>
              </w:rPr>
              <w:t>Family Nurse Practitioner*</w:t>
            </w:r>
          </w:p>
        </w:tc>
        <w:tc>
          <w:tcPr>
            <w:tcW w:w="1720" w:type="dxa"/>
            <w:vAlign w:val="bottom"/>
            <w:gridSpan w:val="3"/>
          </w:tcPr>
          <w:p>
            <w:pPr>
              <w:ind w:left="100"/>
              <w:spacing w:after="0"/>
              <w:rPr>
                <w:sz w:val="20"/>
                <w:szCs w:val="20"/>
                <w:color w:val="auto"/>
              </w:rPr>
            </w:pPr>
            <w:r>
              <w:rPr>
                <w:rFonts w:ascii="Arial" w:cs="Arial" w:eastAsia="Arial" w:hAnsi="Arial"/>
                <w:sz w:val="13"/>
                <w:szCs w:val="13"/>
                <w:color w:val="auto"/>
              </w:rPr>
              <w:t>Bachelor of Arts in History*</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Nursing Leadership in Healthcare Systems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Clinical Nurse Specialist*</w:t>
            </w:r>
          </w:p>
        </w:tc>
        <w:tc>
          <w:tcPr>
            <w:tcW w:w="17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Bachelor of Science</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Justice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  Clinical Nurse Specialist (Education Focus)*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Psychology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rPr>
                <w:sz w:val="20"/>
                <w:szCs w:val="20"/>
                <w:color w:val="auto"/>
              </w:rPr>
            </w:pPr>
            <w:r>
              <w:rPr>
                <w:rFonts w:ascii="Arial" w:cs="Arial" w:eastAsia="Arial" w:hAnsi="Arial"/>
                <w:sz w:val="13"/>
                <w:szCs w:val="13"/>
                <w:color w:val="auto"/>
              </w:rPr>
              <w:t>Nursing Education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Sociology*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720" w:type="dxa"/>
            <w:vAlign w:val="bottom"/>
            <w:gridSpan w:val="3"/>
          </w:tcPr>
          <w:p>
            <w:pPr>
              <w:ind w:left="100"/>
              <w:spacing w:after="0"/>
              <w:rPr>
                <w:sz w:val="20"/>
                <w:szCs w:val="20"/>
                <w:color w:val="auto"/>
              </w:rPr>
            </w:pPr>
            <w:r>
              <w:rPr>
                <w:rFonts w:ascii="Arial" w:cs="Arial" w:eastAsia="Arial" w:hAnsi="Arial"/>
                <w:sz w:val="13"/>
                <w:szCs w:val="13"/>
                <w:color w:val="auto"/>
              </w:rPr>
              <w:t>Bachelor of Arts</w:t>
            </w:r>
          </w:p>
        </w:tc>
        <w:tc>
          <w:tcPr>
            <w:tcW w:w="460" w:type="dxa"/>
            <w:vAlign w:val="bottom"/>
          </w:tcPr>
          <w:p>
            <w:pPr>
              <w:spacing w:after="0"/>
              <w:rPr>
                <w:sz w:val="21"/>
                <w:szCs w:val="21"/>
                <w:color w:val="auto"/>
              </w:rPr>
            </w:pPr>
          </w:p>
        </w:tc>
        <w:tc>
          <w:tcPr>
            <w:tcW w:w="2760" w:type="dxa"/>
            <w:vAlign w:val="bottom"/>
            <w:gridSpan w:val="3"/>
          </w:tcPr>
          <w:p>
            <w:pPr>
              <w:ind w:left="80"/>
              <w:spacing w:after="0"/>
              <w:rPr>
                <w:sz w:val="20"/>
                <w:szCs w:val="20"/>
                <w:color w:val="auto"/>
              </w:rPr>
            </w:pPr>
            <w:r>
              <w:rPr>
                <w:rFonts w:ascii="Arial" w:cs="Arial" w:eastAsia="Arial" w:hAnsi="Arial"/>
                <w:sz w:val="13"/>
                <w:szCs w:val="13"/>
                <w:color w:val="auto"/>
              </w:rPr>
              <w:t>•  Communications — Digital Media*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Communications — Graphic Design*</w:t>
            </w: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color w:val="auto"/>
              </w:rPr>
              <w:t>Bachelor of Science in Nursing</w:t>
            </w: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Basic Science*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Communications — Public Relations*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Pre-Medicine*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English Literature*</w:t>
            </w: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color w:val="auto"/>
              </w:rPr>
              <w:t>Bachelor of Science</w:t>
            </w: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Pre-Pharmacy*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Interdisciplinary Studies — Communication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Biology — Pre-Physician Assistant*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Christian Leadership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Biology — Pre-Physical Therapy*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Intercultural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Biology — Pre-Occupational Therapy*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w w:val="92"/>
              </w:rPr>
              <w:t>•  Christian Studies — Biblical/Theological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Pre-Veterinary*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Christian Studies — Pastoral Ministry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2"/>
              </w:rPr>
              <w:t>•  Health Science: Professional Development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Christian Studies — Worship Ministry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Advanced Patient Care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Christian Studies — Youth Ministry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Medical Imaging Sciences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Christian Leadership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Athletic Training*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Corporate Fitness and Wellness*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20"/>
              <w:spacing w:after="0" w:line="135" w:lineRule="exact"/>
              <w:rPr>
                <w:sz w:val="20"/>
                <w:szCs w:val="20"/>
                <w:color w:val="auto"/>
              </w:rPr>
            </w:pPr>
            <w:r>
              <w:rPr>
                <w:rFonts w:ascii="Arial" w:cs="Arial" w:eastAsia="Arial" w:hAnsi="Arial"/>
                <w:sz w:val="13"/>
                <w:szCs w:val="13"/>
                <w:color w:val="auto"/>
              </w:rPr>
              <w:t>Physical Education*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20"/>
              <w:spacing w:after="0"/>
              <w:rPr>
                <w:sz w:val="20"/>
                <w:szCs w:val="20"/>
                <w:color w:val="auto"/>
              </w:rPr>
            </w:pPr>
            <w:r>
              <w:rPr>
                <w:rFonts w:ascii="Arial" w:cs="Arial" w:eastAsia="Arial" w:hAnsi="Arial"/>
                <w:sz w:val="13"/>
                <w:szCs w:val="13"/>
                <w:color w:val="auto"/>
              </w:rPr>
              <w:t>Recreation*</w:t>
            </w:r>
          </w:p>
        </w:tc>
        <w:tc>
          <w:tcPr>
            <w:tcW w:w="1720" w:type="dxa"/>
            <w:vAlign w:val="bottom"/>
            <w:gridSpan w:val="3"/>
            <w:vMerge w:val="restart"/>
          </w:tcPr>
          <w:p>
            <w:pPr>
              <w:ind w:left="100"/>
              <w:spacing w:after="0"/>
              <w:rPr>
                <w:sz w:val="20"/>
                <w:szCs w:val="20"/>
                <w:color w:val="auto"/>
              </w:rPr>
            </w:pPr>
            <w:r>
              <w:rPr>
                <w:rFonts w:ascii="Arial" w:cs="Arial" w:eastAsia="Arial" w:hAnsi="Arial"/>
                <w:sz w:val="13"/>
                <w:szCs w:val="13"/>
                <w:i w:val="1"/>
                <w:iCs w:val="1"/>
                <w:color w:val="auto"/>
              </w:rPr>
              <w:t>Undergraduate Minors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Athletic Coaching*</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Justice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Behavioral Sciences*</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Physical Education*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Business</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Political Science*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Critical Thinking and</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Psychology*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Expression*</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Recreation*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Exercise Science*</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Social Sciences*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Family Studies</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Sociology*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Health Education*</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Spanish*</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1480" w:type="dxa"/>
            <w:vAlign w:val="bottom"/>
          </w:tcPr>
          <w:p>
            <w:pPr>
              <w:ind w:left="40"/>
              <w:spacing w:after="0"/>
              <w:rPr>
                <w:sz w:val="20"/>
                <w:szCs w:val="20"/>
                <w:color w:val="auto"/>
              </w:rPr>
            </w:pPr>
            <w:r>
              <w:rPr>
                <w:rFonts w:ascii="Arial" w:cs="Arial" w:eastAsia="Arial" w:hAnsi="Arial"/>
                <w:sz w:val="13"/>
                <w:szCs w:val="13"/>
                <w:color w:val="auto"/>
              </w:rPr>
              <w:t>History*</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78740</wp:posOffset>
            </wp:positionV>
            <wp:extent cx="8147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program was offered on ground only.</w:t>
      </w:r>
    </w:p>
    <w:p>
      <w:pPr>
        <w:spacing w:after="0" w:line="113" w:lineRule="exact"/>
        <w:rPr>
          <w:sz w:val="20"/>
          <w:szCs w:val="20"/>
          <w:color w:val="auto"/>
        </w:rPr>
      </w:pPr>
    </w:p>
    <w:p>
      <w:pPr>
        <w:ind w:left="700" w:right="280" w:firstLine="397"/>
        <w:spacing w:after="0" w:line="257" w:lineRule="auto"/>
        <w:rPr>
          <w:sz w:val="20"/>
          <w:szCs w:val="20"/>
          <w:color w:val="auto"/>
        </w:rPr>
      </w:pPr>
      <w:r>
        <w:rPr>
          <w:rFonts w:ascii="Arial" w:cs="Arial" w:eastAsia="Arial" w:hAnsi="Arial"/>
          <w:sz w:val="18"/>
          <w:szCs w:val="18"/>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94"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Program Development</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We typically identify a potential new degree program or emphasis area through market demand or from proposals developed by faculty, staff, students, alumni, or partners, and then perform an analysis of the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1" w:lineRule="auto"/>
        <w:rPr>
          <w:sz w:val="20"/>
          <w:szCs w:val="20"/>
          <w:color w:val="auto"/>
        </w:rPr>
      </w:pPr>
      <w:r>
        <w:rPr>
          <w:rFonts w:ascii="Arial" w:cs="Arial" w:eastAsia="Arial" w:hAnsi="Arial"/>
          <w:sz w:val="17"/>
          <w:szCs w:val="17"/>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Assessment</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Faculty</w:t>
      </w:r>
    </w:p>
    <w:p>
      <w:pPr>
        <w:spacing w:after="0" w:line="135"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Our faculty includes full-time, ground-based faculty who teach under a nine-month or twelve-month teaching contract, as well as adjunct ground-based faculty and online faculty who we contract to teach on a course-by-course basis for a specified fee. As of September 30, 2008, we employed 460 ground-based faculty members, of which 53 were full-time and 407 were part-time adjuncts, and maintained a pool of over 1,000 online faculty members, all of whom had completed our required training and 656 of which taught at least one course during the first nine months of 2008. Substantially all of our current faculty members hold at least a master’s degree in their respective field and approximately 29%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98"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87"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60"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Student Support Services</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99" w:lineRule="exact"/>
        <w:rPr>
          <w:sz w:val="20"/>
          <w:szCs w:val="20"/>
          <w:color w:val="auto"/>
        </w:rPr>
      </w:pPr>
    </w:p>
    <w:p>
      <w:pPr>
        <w:ind w:left="700" w:right="80" w:firstLine="794"/>
        <w:spacing w:after="0" w:line="264"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 for</w:t>
      </w:r>
      <w:r>
        <w:rPr>
          <w:rFonts w:ascii="Arial" w:cs="Arial" w:eastAsia="Arial" w:hAnsi="Arial"/>
          <w:sz w:val="18"/>
          <w:szCs w:val="18"/>
          <w:i w:val="1"/>
          <w:iCs w:val="1"/>
          <w:color w:val="auto"/>
        </w:rPr>
        <w:t xml:space="preserve"> </w:t>
      </w:r>
      <w:r>
        <w:rPr>
          <w:rFonts w:ascii="Arial" w:cs="Arial" w:eastAsia="Arial" w:hAnsi="Arial"/>
          <w:sz w:val="18"/>
          <w:szCs w:val="18"/>
          <w:color w:val="auto"/>
        </w:rPr>
        <w:t>Academic and Professional Success offers new student orientation, academic advising, technical support, research services, writing services, and other tutoring to all our online and campus students.</w:t>
      </w:r>
    </w:p>
    <w:p>
      <w:pPr>
        <w:spacing w:after="0" w:line="87" w:lineRule="exact"/>
        <w:rPr>
          <w:sz w:val="20"/>
          <w:szCs w:val="20"/>
          <w:color w:val="auto"/>
        </w:rPr>
      </w:pPr>
    </w:p>
    <w:p>
      <w:pPr>
        <w:ind w:left="700" w:right="20" w:firstLine="794"/>
        <w:spacing w:after="0" w:line="279" w:lineRule="auto"/>
        <w:rPr>
          <w:sz w:val="20"/>
          <w:szCs w:val="20"/>
          <w:color w:val="auto"/>
        </w:rPr>
      </w:pPr>
      <w:r>
        <w:rPr>
          <w:rFonts w:ascii="Arial" w:cs="Arial" w:eastAsia="Arial" w:hAnsi="Arial"/>
          <w:sz w:val="17"/>
          <w:szCs w:val="17"/>
          <w:i w:val="1"/>
          <w:iCs w:val="1"/>
          <w:color w:val="auto"/>
        </w:rPr>
        <w:t xml:space="preserve">Administrative services. </w:t>
      </w:r>
      <w:r>
        <w:rPr>
          <w:rFonts w:ascii="Arial" w:cs="Arial" w:eastAsia="Arial" w:hAnsi="Arial"/>
          <w:sz w:val="17"/>
          <w:szCs w:val="17"/>
          <w:color w:val="auto"/>
        </w:rPr>
        <w:t>We provide students with the ability to access a variety of administrative services both telephonically</w:t>
      </w:r>
      <w:r>
        <w:rPr>
          <w:rFonts w:ascii="Arial" w:cs="Arial" w:eastAsia="Arial" w:hAnsi="Arial"/>
          <w:sz w:val="17"/>
          <w:szCs w:val="17"/>
          <w:i w:val="1"/>
          <w:iCs w:val="1"/>
          <w:color w:val="auto"/>
        </w:rPr>
        <w:t xml:space="preserve"> </w:t>
      </w:r>
      <w:r>
        <w:rPr>
          <w:rFonts w:ascii="Arial" w:cs="Arial" w:eastAsia="Arial" w:hAnsi="Arial"/>
          <w:sz w:val="17"/>
          <w:szCs w:val="17"/>
          <w:color w:val="auto"/>
        </w:rPr>
        <w:t>and via the Internet. For example, students can 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77" w:lineRule="exact"/>
        <w:rPr>
          <w:sz w:val="20"/>
          <w:szCs w:val="20"/>
          <w:color w:val="auto"/>
        </w:rPr>
      </w:pPr>
    </w:p>
    <w:p>
      <w:pPr>
        <w:ind w:left="700" w:right="60" w:firstLine="794"/>
        <w:spacing w:after="0" w:line="257"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endeavors of all students, faculty, and 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94" w:lineRule="exact"/>
        <w:rPr>
          <w:sz w:val="20"/>
          <w:szCs w:val="20"/>
          <w:color w:val="auto"/>
        </w:rPr>
      </w:pPr>
    </w:p>
    <w:p>
      <w:pPr>
        <w:ind w:left="700" w:firstLine="794"/>
        <w:spacing w:after="0" w:line="276" w:lineRule="auto"/>
        <w:rPr>
          <w:sz w:val="20"/>
          <w:szCs w:val="20"/>
          <w:color w:val="auto"/>
        </w:rPr>
      </w:pPr>
      <w:r>
        <w:rPr>
          <w:rFonts w:ascii="Arial" w:cs="Arial" w:eastAsia="Arial" w:hAnsi="Arial"/>
          <w:sz w:val="17"/>
          <w:szCs w:val="17"/>
          <w:i w:val="1"/>
          <w:iCs w:val="1"/>
          <w:color w:val="auto"/>
        </w:rPr>
        <w:t xml:space="preserve">Career services. </w:t>
      </w:r>
      <w:r>
        <w:rPr>
          <w:rFonts w:ascii="Arial" w:cs="Arial" w:eastAsia="Arial" w:hAnsi="Arial"/>
          <w:sz w:val="17"/>
          <w:szCs w:val="17"/>
          <w:color w:val="auto"/>
        </w:rPr>
        <w:t>For those students seeking to change careers or explore new career opportunities, we offer career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including resume 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8" w:lineRule="exact"/>
        <w:rPr>
          <w:sz w:val="20"/>
          <w:szCs w:val="20"/>
          <w:color w:val="auto"/>
        </w:rPr>
      </w:pPr>
    </w:p>
    <w:p>
      <w:pPr>
        <w:jc w:val="both"/>
        <w:ind w:left="700" w:right="80" w:firstLine="794"/>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16 hours per day during the week and 14 hours per day on</w:t>
      </w:r>
      <w:r>
        <w:rPr>
          <w:rFonts w:ascii="Arial" w:cs="Arial" w:eastAsia="Arial" w:hAnsi="Arial"/>
          <w:sz w:val="18"/>
          <w:szCs w:val="18"/>
          <w:i w:val="1"/>
          <w:iCs w:val="1"/>
          <w:color w:val="auto"/>
        </w:rPr>
        <w:t xml:space="preserve"> </w:t>
      </w:r>
      <w:r>
        <w:rPr>
          <w:rFonts w:ascii="Arial" w:cs="Arial" w:eastAsia="Arial" w:hAnsi="Arial"/>
          <w:sz w:val="18"/>
          <w:szCs w:val="18"/>
          <w:color w:val="auto"/>
        </w:rPr>
        <w:t>weekends to help our students remedy technology-related issues. We also provide online tutorials and “Frequently Asked Questions” for students who are new to online coursework.</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Marketing, Recruitment, and Retention</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career-oriented educational programs, build strong brand 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enable us to gain a better understanding of the attributes of our students who ultimately enroll and graduate so that we can target our marketing and enrollment processes accordingly.</w:t>
      </w:r>
    </w:p>
    <w:p>
      <w:pPr>
        <w:spacing w:after="0" w:line="76"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To generate student leads, our marketing and enrollment personnel employ an integrated marketing approach that utilizes a variety of lead sources to identify prospective students. These lead generation sources include:</w:t>
      </w:r>
    </w:p>
    <w:p>
      <w:pPr>
        <w:spacing w:after="0" w:line="76" w:lineRule="exact"/>
        <w:rPr>
          <w:sz w:val="20"/>
          <w:szCs w:val="20"/>
          <w:color w:val="auto"/>
        </w:rPr>
      </w:pPr>
    </w:p>
    <w:p>
      <w:pPr>
        <w:ind w:left="1700" w:right="340" w:hanging="211"/>
        <w:spacing w:after="0" w:line="264"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73" w:lineRule="exact"/>
        <w:rPr>
          <w:rFonts w:ascii="Arial" w:cs="Arial" w:eastAsia="Arial" w:hAnsi="Arial"/>
          <w:sz w:val="18"/>
          <w:szCs w:val="18"/>
          <w:color w:val="auto"/>
        </w:rPr>
      </w:pPr>
    </w:p>
    <w:p>
      <w:pPr>
        <w:ind w:left="1700" w:hanging="211"/>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search engine optimization techniques, through which we seek to obtain high placement in search engine results in response to key topic and word searches and drive traffic to our website;</w:t>
      </w:r>
    </w:p>
    <w:p>
      <w:pPr>
        <w:spacing w:after="0" w:line="62" w:lineRule="exact"/>
        <w:rPr>
          <w:rFonts w:ascii="Arial" w:cs="Arial" w:eastAsia="Arial" w:hAnsi="Arial"/>
          <w:sz w:val="18"/>
          <w:szCs w:val="18"/>
          <w:color w:val="auto"/>
        </w:rPr>
      </w:pPr>
    </w:p>
    <w:p>
      <w:pPr>
        <w:ind w:left="1700" w:right="540" w:hanging="211"/>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seminar and event marketing, in which our marketing and enrollment personnel host group events at various venues, including community colleges, corporations, and hospitals;</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referrals from existing students, alumni, and employees;</w:t>
      </w:r>
    </w:p>
    <w:p>
      <w:pPr>
        <w:spacing w:after="0" w:line="117" w:lineRule="exact"/>
        <w:rPr>
          <w:rFonts w:ascii="Arial" w:cs="Arial" w:eastAsia="Arial" w:hAnsi="Arial"/>
          <w:sz w:val="18"/>
          <w:szCs w:val="18"/>
          <w:color w:val="auto"/>
        </w:rPr>
      </w:pPr>
    </w:p>
    <w:p>
      <w:pPr>
        <w:ind w:left="1700" w:right="20" w:hanging="211"/>
        <w:spacing w:after="0" w:line="259"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78" w:lineRule="exact"/>
        <w:rPr>
          <w:rFonts w:ascii="Arial" w:cs="Arial" w:eastAsia="Arial" w:hAnsi="Arial"/>
          <w:sz w:val="18"/>
          <w:szCs w:val="18"/>
          <w:color w:val="auto"/>
        </w:rPr>
      </w:pPr>
    </w:p>
    <w:p>
      <w:pPr>
        <w:ind w:left="1700" w:right="260" w:hanging="211"/>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print and direct mail advertising campaigns, and other public relations and communications efforts, including promoting our athletic programs and student and alumni events.</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i w:val="1"/>
          <w:iCs w:val="1"/>
          <w:color w:val="auto"/>
        </w:rPr>
        <w:t xml:space="preserve">Recruitment. </w:t>
      </w:r>
      <w:r>
        <w:rPr>
          <w:rFonts w:ascii="Arial" w:cs="Arial" w:eastAsia="Arial" w:hAnsi="Arial"/>
          <w:sz w:val="16"/>
          <w:szCs w:val="16"/>
          <w:color w:val="auto"/>
        </w:rPr>
        <w:t>Once a prospective student has indicated an interest in enrolling in one of our programs, our lead management system</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identifies and directs an 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0"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September 30, 2008, we employed over 550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 and have plans to add up to three additional facilities during the next six months.</w:t>
      </w:r>
    </w:p>
    <w:p>
      <w:pPr>
        <w:spacing w:after="0" w:line="83"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i w:val="1"/>
          <w:iCs w:val="1"/>
          <w:color w:val="auto"/>
        </w:rPr>
        <w:t xml:space="preserve">Retention. </w:t>
      </w:r>
      <w:r>
        <w:rPr>
          <w:rFonts w:ascii="Arial" w:cs="Arial" w:eastAsia="Arial" w:hAnsi="Arial"/>
          <w:sz w:val="17"/>
          <w:szCs w:val="17"/>
          <w:color w:val="auto"/>
        </w:rPr>
        <w:t>We employ a retention team whose purpose is to support the student in advancing from matriculation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graduation. The retention team members, among other 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 significantly increase retention</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308" w:lineRule="auto"/>
        <w:rPr>
          <w:sz w:val="20"/>
          <w:szCs w:val="20"/>
          <w:color w:val="auto"/>
        </w:rPr>
      </w:pPr>
      <w:r>
        <w:rPr>
          <w:rFonts w:ascii="Arial" w:cs="Arial" w:eastAsia="Arial" w:hAnsi="Arial"/>
          <w:sz w:val="17"/>
          <w:szCs w:val="17"/>
          <w:color w:val="auto"/>
        </w:rPr>
        <w:t>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Admissions</w:t>
      </w:r>
    </w:p>
    <w:p>
      <w:pPr>
        <w:spacing w:after="0" w:line="135"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Enrollment</w:t>
      </w:r>
    </w:p>
    <w:p>
      <w:pPr>
        <w:spacing w:after="0" w:line="135"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At September 30, 2008, we had 21,957 students enrolled in our courses, of which 19,287, or 87.8%, were enrolled in our online programs, and 2,670, or 12.2%, were enrolled in our ground programs. Of our online students, which were geographically distributed throughout all 50 states of the United States, and Canada, 91.6% were age 25 or older. Of our ground students, which, although we draw students from throughout the United States, were predominantly comprised of students from Arizona, 63.0% were age 25 or older.</w:t>
      </w:r>
    </w:p>
    <w:p>
      <w:pPr>
        <w:spacing w:after="0" w:line="60"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The following is a summary of our student enrollment at September 30, 2008 and December 31, 2007 (which included less than 100 students pursuing non-degree certificates) by degree type and by instructional delivery method: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September 30, 2008</w:t>
            </w:r>
          </w:p>
        </w:tc>
        <w:tc>
          <w:tcPr>
            <w:tcW w:w="400" w:type="dxa"/>
            <w:vAlign w:val="bottom"/>
          </w:tcPr>
          <w:p>
            <w:pPr>
              <w:spacing w:after="0"/>
              <w:rPr>
                <w:sz w:val="14"/>
                <w:szCs w:val="14"/>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of Total</w:t>
            </w:r>
          </w:p>
        </w:tc>
        <w:tc>
          <w:tcPr>
            <w:tcW w:w="4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Master’s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Bachelor’s</w:t>
            </w:r>
          </w:p>
        </w:tc>
        <w:tc>
          <w:tcPr>
            <w:tcW w:w="4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9,671</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5,598</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September 30, 2008</w:t>
            </w:r>
          </w:p>
        </w:tc>
        <w:tc>
          <w:tcPr>
            <w:tcW w:w="400" w:type="dxa"/>
            <w:vAlign w:val="bottom"/>
          </w:tcPr>
          <w:p>
            <w:pPr>
              <w:spacing w:after="0"/>
              <w:rPr>
                <w:sz w:val="24"/>
                <w:szCs w:val="24"/>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of Total</w:t>
            </w:r>
          </w:p>
        </w:tc>
        <w:tc>
          <w:tcPr>
            <w:tcW w:w="4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Ground*</w:t>
            </w:r>
          </w:p>
        </w:tc>
        <w:tc>
          <w:tcPr>
            <w:tcW w:w="4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Includes our traditional ground students, as well as our professional studies ground students.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Tuition and Fees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94"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We offer tuition scholarships to select students, including online students, athletes, employees, and participants in programs we offer through relationships with employers. For the years ended December 31, 2006 and 2007 and the nine months ended September 30, 2008, our revenue was reduced by approximately $8.0 million, $10.3 million, and $11.9 million, respectively, as a result of scholarships that we offered to our students.</w:t>
      </w:r>
    </w:p>
    <w:p>
      <w:pPr>
        <w:spacing w:after="0" w:line="9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Sources of Student Financing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Title IV programs. </w:t>
      </w:r>
      <w:r>
        <w:rPr>
          <w:rFonts w:ascii="Arial" w:cs="Arial" w:eastAsia="Arial" w:hAnsi="Arial"/>
          <w:sz w:val="16"/>
          <w:szCs w:val="16"/>
          <w:color w:val="auto"/>
        </w:rPr>
        <w:t>The federal government provides for grants and loans to students under the Title IV programs, and students can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use those funds at any institution that has been certified as eligible by the Department of Education. Student financial aid under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Title IV programs is primarily awarded on the basis of a student’s financial need, which is generally defined as the difference between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cost of attending the institution and the amount the student and the student’s family can reasonably contribute to that cost. All students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receiving Title IV program funds must maintain satisfactory academic progress toward completion of their program of study. In addition,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school must ensure that Title IV program funds are properly accounted for and disbursed in the correct amounts to eligible students.</w:t>
      </w:r>
    </w:p>
    <w:p>
      <w:pPr>
        <w:spacing w:after="0" w:line="13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92" w:lineRule="exact"/>
        <w:rPr>
          <w:sz w:val="20"/>
          <w:szCs w:val="20"/>
          <w:color w:val="auto"/>
        </w:rPr>
      </w:pPr>
    </w:p>
    <w:p>
      <w:pPr>
        <w:ind w:left="1700" w:right="40" w:hanging="211"/>
        <w:spacing w:after="0" w:line="288" w:lineRule="auto"/>
        <w:tabs>
          <w:tab w:leader="none" w:pos="17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FFEL. </w:t>
      </w:r>
      <w:r>
        <w:rPr>
          <w:rFonts w:ascii="Arial" w:cs="Arial" w:eastAsia="Arial" w:hAnsi="Arial"/>
          <w:sz w:val="16"/>
          <w:szCs w:val="16"/>
          <w:color w:val="auto"/>
        </w:rPr>
        <w:t>Under the FFEL Program, banks and other lending institutions make loans to students. The FFEL Program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Stafford Loan Program, the 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4" w:lineRule="exact"/>
        <w:rPr>
          <w:rFonts w:ascii="Arial" w:cs="Arial" w:eastAsia="Arial" w:hAnsi="Arial"/>
          <w:sz w:val="16"/>
          <w:szCs w:val="16"/>
          <w:color w:val="auto"/>
        </w:rPr>
      </w:pPr>
    </w:p>
    <w:p>
      <w:pPr>
        <w:ind w:left="1700" w:right="420"/>
        <w:spacing w:after="0" w:line="264" w:lineRule="auto"/>
        <w:rPr>
          <w:rFonts w:ascii="Arial" w:cs="Arial" w:eastAsia="Arial" w:hAnsi="Arial"/>
          <w:sz w:val="16"/>
          <w:szCs w:val="16"/>
          <w:color w:val="auto"/>
        </w:rPr>
      </w:pPr>
      <w:r>
        <w:rPr>
          <w:rFonts w:ascii="Arial" w:cs="Arial" w:eastAsia="Arial" w:hAnsi="Arial"/>
          <w:sz w:val="18"/>
          <w:szCs w:val="18"/>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100"/>
        <w:spacing w:after="0" w:line="279" w:lineRule="auto"/>
        <w:rPr>
          <w:sz w:val="20"/>
          <w:szCs w:val="20"/>
          <w:color w:val="auto"/>
        </w:rPr>
      </w:pPr>
      <w:r>
        <w:rPr>
          <w:rFonts w:ascii="Arial" w:cs="Arial" w:eastAsia="Arial" w:hAnsi="Arial"/>
          <w:sz w:val="17"/>
          <w:szCs w:val="17"/>
          <w:color w:val="auto"/>
        </w:rPr>
        <w:t>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77" w:lineRule="exact"/>
        <w:rPr>
          <w:sz w:val="20"/>
          <w:szCs w:val="20"/>
          <w:color w:val="auto"/>
        </w:rPr>
      </w:pPr>
    </w:p>
    <w:p>
      <w:pPr>
        <w:ind w:left="1700" w:right="20" w:hanging="211"/>
        <w:spacing w:after="0" w:line="276" w:lineRule="auto"/>
        <w:tabs>
          <w:tab w:leader="none" w:pos="170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Pell. </w:t>
      </w:r>
      <w:r>
        <w:rPr>
          <w:rFonts w:ascii="Arial" w:cs="Arial" w:eastAsia="Arial" w:hAnsi="Arial"/>
          <w:sz w:val="17"/>
          <w:szCs w:val="17"/>
          <w:color w:val="auto"/>
        </w:rPr>
        <w:t>Under the Pell Program, the Department of Education makes grants to undergraduate students who demonstrate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need. Effective July 1, 2008, the maximum annual grant a student can receive under the Pell Program is $4,731. Under the August 2008 reauthorization of the Higher Education Act, students will be able for the first time to receive Pell Grant funds for attendance on a year-round basis, which means that the amount a student can receive in a given year will be more than the traditionally defined maximum annual amount.</w:t>
      </w:r>
    </w:p>
    <w:p>
      <w:pPr>
        <w:spacing w:after="0" w:line="78" w:lineRule="exact"/>
        <w:rPr>
          <w:sz w:val="20"/>
          <w:szCs w:val="20"/>
          <w:color w:val="auto"/>
        </w:rPr>
      </w:pPr>
    </w:p>
    <w:p>
      <w:pPr>
        <w:ind w:left="700" w:right="60"/>
        <w:spacing w:after="0" w:line="291"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types of loans, the maximum annual loan amounts and other terms of the loans made under the Federal Direct Loan Program are similar to those for loans made under the FFEL Program.</w:t>
      </w:r>
    </w:p>
    <w:p>
      <w:pPr>
        <w:spacing w:after="0" w:line="73"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i w:val="1"/>
          <w:iCs w:val="1"/>
          <w:color w:val="auto"/>
        </w:rPr>
        <w:t xml:space="preserve">Other financial aid programs. </w:t>
      </w:r>
      <w:r>
        <w:rPr>
          <w:rFonts w:ascii="Arial" w:cs="Arial" w:eastAsia="Arial" w:hAnsi="Arial"/>
          <w:sz w:val="17"/>
          <w:szCs w:val="17"/>
          <w:color w:val="auto"/>
        </w:rPr>
        <w:t>In addition to the Title IV programs listed above, eligible students may participate in several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aid programs or receive support from other governmental sources. These include veterans educational benefits administered by the U.S. Department of Veterans Affairs and state financial aid programs. During fiscal 2007 and the first nine months of 2008, we derived an immaterial amount of our net revenue from tuition financed by such programs.</w:t>
      </w:r>
    </w:p>
    <w:p>
      <w:pPr>
        <w:spacing w:after="0" w:line="7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different lenders for private loans at current market interest rates. Private loans are intended to fund a portion of students’ cost of education not covered by the Title IV programs and other financial aid. During fiscal 2007, payments derived from private loans constituted approximately 5.1%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99"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We derived the remainder of our net revenue from tuition that is self-funded or attributable to employer tuition</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Technology Systems and Management</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76" w:lineRule="exact"/>
        <w:rPr>
          <w:sz w:val="20"/>
          <w:szCs w:val="20"/>
          <w:color w:val="auto"/>
        </w:rPr>
      </w:pPr>
    </w:p>
    <w:p>
      <w:pPr>
        <w:ind w:left="700" w:right="280" w:firstLine="397"/>
        <w:spacing w:after="0" w:line="273" w:lineRule="auto"/>
        <w:rPr>
          <w:sz w:val="20"/>
          <w:szCs w:val="20"/>
          <w:color w:val="auto"/>
        </w:rPr>
      </w:pPr>
      <w:r>
        <w:rPr>
          <w:rFonts w:ascii="Arial" w:cs="Arial" w:eastAsia="Arial" w:hAnsi="Arial"/>
          <w:sz w:val="17"/>
          <w:szCs w:val="17"/>
          <w:i w:val="1"/>
          <w:iCs w:val="1"/>
          <w:color w:val="auto"/>
        </w:rPr>
        <w:t xml:space="preserve">Online course delivery and management. </w:t>
      </w:r>
      <w:r>
        <w:rPr>
          <w:rFonts w:ascii="Arial" w:cs="Arial" w:eastAsia="Arial" w:hAnsi="Arial"/>
          <w:sz w:val="17"/>
          <w:szCs w:val="17"/>
          <w:color w:val="auto"/>
        </w:rPr>
        <w:t>In 2007, we implemented the ANGEL Learning Management Suite, which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began for selected courses in the fall of 2008.</w:t>
      </w:r>
    </w:p>
    <w:p>
      <w:pPr>
        <w:spacing w:after="0" w:line="84"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package to distribute, manage, track, and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all prospective student leads developed, both internally and externally. We also utilize a commercial software package to track Title IV funds, student records, grades, accounts receivable,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accounts payable. Each of these packages is scalable to capacity levels well in excess of current requirements.</w:t>
      </w:r>
    </w:p>
    <w:p>
      <w:pPr>
        <w:spacing w:after="0" w:line="131"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 third party co-location facility. All of our servers are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networked and we have redundant data backup. We 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Ground Campus</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64"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7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2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In addition to our faculty, as of September 30, 2008, we employed 1,121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2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00"/>
        <w:spacing w:after="0" w:line="277" w:lineRule="auto"/>
        <w:rPr>
          <w:sz w:val="20"/>
          <w:szCs w:val="20"/>
          <w:color w:val="auto"/>
        </w:rPr>
      </w:pPr>
      <w:r>
        <w:rPr>
          <w:rFonts w:ascii="Arial" w:cs="Arial" w:eastAsia="Arial" w:hAnsi="Arial"/>
          <w:sz w:val="18"/>
          <w:szCs w:val="18"/>
          <w:color w:val="auto"/>
        </w:rPr>
        <w:t>University, University of Phoenix, and Walden University. In addition, many public and private schools, colleges, and universities, including most major colleges and universities, offer online programs.</w:t>
      </w:r>
    </w:p>
    <w:p>
      <w:pPr>
        <w:spacing w:after="0" w:line="76"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career-oriented and accredited program offerings;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types of degrees offered and marketability of those degrees;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and have plans to add up to three additional enrollment facilities during the next six months.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9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78"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8"/>
          <w:szCs w:val="18"/>
          <w:u w:val="single" w:color="auto"/>
          <w:color w:val="auto"/>
        </w:rPr>
        <w:t>www.gcu.edu</w:t>
      </w:r>
      <w:r>
        <w:rPr>
          <w:rFonts w:ascii="Arial" w:cs="Arial" w:eastAsia="Arial" w:hAnsi="Arial"/>
          <w:sz w:val="18"/>
          <w:szCs w:val="18"/>
          <w:color w:val="auto"/>
        </w:rPr>
        <w:t>,” as well as other words and phrases important to our business.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On February 28, 2007, we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has also counterclaimed alleging breach of contract relating to the parties’ technology services agreement. Following discovery, the arbitration occurred in late May 2008 and final arguments were heard in July 2008. We sought approximately $1.4 million from SunGard, and SunGard counterclaimed for approximately $2.5 million. On October 22, 2008, the arbitration panel awarded SunGard net damages in the amount of approximately $250,000 plus interest. We will also be responsible for paying a share of the related arbitration expenses.</w:t>
      </w:r>
    </w:p>
    <w:p>
      <w:pPr>
        <w:spacing w:after="0" w:line="87"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“Regulation — Regulation of Federal Student Financial Aid Programs — Incentive compensation rule.” We are cooperating with the Office of Inspector General to facilitate its investigation, but cannot presently predict the ultimate outcome of the investigation or any liability or other sanctions that may result.</w:t>
      </w:r>
    </w:p>
    <w:p>
      <w:pPr>
        <w:spacing w:after="0" w:line="6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 xml:space="preserve">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in respect of non-cash awards, are not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A number of similar lawsuits have been filed in recent years against educational institutions that receive Title IV funds. We have filed a motion to dismiss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and plan to contest it vigorously.</w:t>
      </w:r>
    </w:p>
    <w:p>
      <w:pPr>
        <w:spacing w:after="0" w:line="86"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 xml:space="preserve">If it were determined that any of our compensation practices violated the incentive compensation law, we could experience an adverse outcome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case or any liability or other sanctions that may result. It is possible that, during the course of the litigation, other information may be discovered that would adversely affect the outcome of the litigation.</w:t>
      </w:r>
    </w:p>
    <w:p>
      <w:pPr>
        <w:spacing w:after="0" w:line="64"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REGULATION</w:t>
      </w:r>
    </w:p>
    <w:p>
      <w:pPr>
        <w:spacing w:after="0" w:line="135"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77"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operations are also subject to regulation by the Department of Education due to our participation in federal student financial aid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programs under Title IV of the Higher Education Act, which we refer to in this prospectus as the Title IV programs. The Title IV</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programs include educational loans with below-market interest rates that are guaranteed by the federal government in the event of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student’s default on repaying the loan, and also grant programs for students with demonstrated financial need. To participate in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Title IV programs, a school must receive and maintain authorization by the appropriate state education agency or agencies, be accredited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an accrediting commission recognized by the Department of Education, and be certified as an eligible institution by the Department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Education.</w:t>
      </w:r>
    </w:p>
    <w:p>
      <w:pPr>
        <w:spacing w:after="0" w:line="11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73"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We believe we are licensed or authorized in those jurisdictions where a license or authorization is currently required, and we do not believe that any of the states in which we are currently licensed or authorized, other than Arizona, are individually material to our operations. Nevertheless, because we enroll students in all 50 states and the District of Columbia, we expect that other state regulatory authorities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Professional Licensure</w:t>
      </w:r>
    </w:p>
    <w:p>
      <w:pPr>
        <w:spacing w:after="0" w:line="135"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92" w:lineRule="exact"/>
        <w:rPr>
          <w:sz w:val="20"/>
          <w:szCs w:val="20"/>
          <w:color w:val="auto"/>
        </w:rPr>
      </w:pPr>
    </w:p>
    <w:p>
      <w:pPr>
        <w:ind w:left="1700" w:right="800" w:hanging="211"/>
        <w:spacing w:after="0" w:line="277"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whether the program from which the student graduated meets all requirements for professional licensure in that state;</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131" w:lineRule="exact"/>
        <w:rPr>
          <w:sz w:val="20"/>
          <w:szCs w:val="20"/>
          <w:color w:val="auto"/>
        </w:rPr>
      </w:pPr>
    </w:p>
    <w:p>
      <w:pPr>
        <w:ind w:left="700" w:right="260"/>
        <w:spacing w:after="0" w:line="308" w:lineRule="auto"/>
        <w:rPr>
          <w:sz w:val="20"/>
          <w:szCs w:val="20"/>
          <w:color w:val="auto"/>
        </w:rPr>
      </w:pPr>
      <w:r>
        <w:rPr>
          <w:rFonts w:ascii="Arial" w:cs="Arial" w:eastAsia="Arial" w:hAnsi="Arial"/>
          <w:sz w:val="17"/>
          <w:szCs w:val="17"/>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Accreditation</w:t>
      </w:r>
    </w:p>
    <w:p>
      <w:pPr>
        <w:spacing w:after="0" w:line="135"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03"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8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95"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9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60" w:lineRule="exact"/>
        <w:rPr>
          <w:sz w:val="20"/>
          <w:szCs w:val="20"/>
          <w:color w:val="auto"/>
        </w:rPr>
      </w:pPr>
    </w:p>
    <w:p>
      <w:pPr>
        <w:ind w:left="1700" w:right="380" w:hanging="211"/>
        <w:spacing w:after="0" w:line="317" w:lineRule="auto"/>
        <w:tabs>
          <w:tab w:leader="none" w:pos="1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Association of Collegiate Business Schools and Programs accredits our Master of Business Administration degree program and our Bachelor of Science degree programs in Accounting, Business Administration, and Marketing;</w:t>
      </w:r>
    </w:p>
    <w:p>
      <w:pPr>
        <w:ind w:left="1700" w:right="140" w:hanging="211"/>
        <w:spacing w:after="0" w:line="277"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 Nursing degree programs; and</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35"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7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Significant factors relating to the Title IV programs that could adversely affect us include the following:</w:t>
      </w:r>
    </w:p>
    <w:p>
      <w:pPr>
        <w:spacing w:after="0" w:line="131"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i w:val="1"/>
          <w:iCs w:val="1"/>
          <w:color w:val="auto"/>
        </w:rPr>
        <w:t xml:space="preserve">Congressional action. </w:t>
      </w:r>
      <w:r>
        <w:rPr>
          <w:rFonts w:ascii="Arial" w:cs="Arial" w:eastAsia="Arial" w:hAnsi="Arial"/>
          <w:sz w:val="17"/>
          <w:szCs w:val="17"/>
          <w:color w:val="auto"/>
        </w:rPr>
        <w:t>Congress must reauthorize the Higher Education Act on a periodic basis, usually every five to six years,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recent reauthorization occurred in 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8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92"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i w:val="1"/>
          <w:iCs w:val="1"/>
          <w:color w:val="auto"/>
        </w:rPr>
        <w:t xml:space="preserve">Eligibility and certification procedures. </w:t>
      </w:r>
      <w:r>
        <w:rPr>
          <w:rFonts w:ascii="Arial" w:cs="Arial" w:eastAsia="Arial" w:hAnsi="Arial"/>
          <w:sz w:val="18"/>
          <w:szCs w:val="18"/>
          <w:color w:val="auto"/>
        </w:rPr>
        <w:t>Each institution must apply periodically to the Department of Education for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9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87"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or make other significant changes in our operations. With the exception of our newly instituted doctoral program in education, which is accredited but not yet eligible for Title IV funding and which is immaterial to our operations, we do not have any plans to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91"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Department of Education regulations specify extensive criteria by which an institution must establish</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has the requisite “administrative capability” to participate in the Title IV programs. To meet the administrative capability standards, an institution must, among other things:</w:t>
      </w:r>
    </w:p>
    <w:p>
      <w:pPr>
        <w:spacing w:after="0" w:line="87" w:lineRule="exact"/>
        <w:rPr>
          <w:sz w:val="20"/>
          <w:szCs w:val="20"/>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63" w:lineRule="exact"/>
        <w:rPr>
          <w:rFonts w:ascii="Arial" w:cs="Arial" w:eastAsia="Arial" w:hAnsi="Arial"/>
          <w:sz w:val="18"/>
          <w:szCs w:val="18"/>
          <w:color w:val="auto"/>
        </w:rPr>
      </w:pPr>
    </w:p>
    <w:p>
      <w:pPr>
        <w:ind w:left="1700" w:right="300" w:hanging="211"/>
        <w:spacing w:after="0" w:line="277" w:lineRule="auto"/>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63" w:lineRule="exact"/>
        <w:rPr>
          <w:rFonts w:ascii="Arial" w:cs="Arial" w:eastAsia="Arial" w:hAnsi="Arial"/>
          <w:sz w:val="18"/>
          <w:szCs w:val="18"/>
          <w:color w:val="auto"/>
        </w:rPr>
      </w:pPr>
    </w:p>
    <w:p>
      <w:pPr>
        <w:ind w:left="1700" w:right="560" w:hanging="211"/>
        <w:spacing w:after="0" w:line="277" w:lineRule="auto"/>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63" w:lineRule="exact"/>
        <w:rPr>
          <w:rFonts w:ascii="Arial" w:cs="Arial" w:eastAsia="Arial" w:hAnsi="Arial"/>
          <w:sz w:val="18"/>
          <w:szCs w:val="18"/>
          <w:color w:val="auto"/>
        </w:rPr>
      </w:pPr>
    </w:p>
    <w:p>
      <w:pPr>
        <w:jc w:val="both"/>
        <w:ind w:left="1700" w:right="280" w:hanging="211"/>
        <w:spacing w:after="0" w:line="264" w:lineRule="auto"/>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9"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submit all required reports and financial statements in a timely manner; and</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77" w:lineRule="exact"/>
        <w:rPr>
          <w:sz w:val="20"/>
          <w:szCs w:val="20"/>
          <w:color w:val="auto"/>
        </w:rPr>
      </w:pPr>
    </w:p>
    <w:p>
      <w:pPr>
        <w:ind w:left="1700" w:hanging="211"/>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63" w:lineRule="exact"/>
        <w:rPr>
          <w:rFonts w:ascii="Arial" w:cs="Arial" w:eastAsia="Arial" w:hAnsi="Arial"/>
          <w:sz w:val="18"/>
          <w:szCs w:val="18"/>
          <w:color w:val="auto"/>
        </w:rPr>
      </w:pPr>
    </w:p>
    <w:p>
      <w:pPr>
        <w:ind w:left="1700" w:right="180" w:hanging="211"/>
        <w:spacing w:after="0" w:line="277"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63" w:lineRule="exact"/>
        <w:rPr>
          <w:rFonts w:ascii="Arial" w:cs="Arial" w:eastAsia="Arial" w:hAnsi="Arial"/>
          <w:sz w:val="18"/>
          <w:szCs w:val="18"/>
          <w:color w:val="auto"/>
        </w:rPr>
      </w:pPr>
    </w:p>
    <w:p>
      <w:pPr>
        <w:ind w:left="1700" w:right="420" w:hanging="211"/>
        <w:spacing w:after="0" w:line="277"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76"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Financial responsibility. </w:t>
      </w:r>
      <w:r>
        <w:rPr>
          <w:rFonts w:ascii="Arial" w:cs="Arial" w:eastAsia="Arial" w:hAnsi="Arial"/>
          <w:sz w:val="16"/>
          <w:szCs w:val="16"/>
          <w:color w:val="auto"/>
        </w:rPr>
        <w:t>The Higher Education Act and Department of Education regulations establish extensive standards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0" w:lineRule="exact"/>
        <w:rPr>
          <w:sz w:val="20"/>
          <w:szCs w:val="20"/>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primary reserve ratio, which measures the institution’s ability to support current operations from expendable resources; and</w:t>
      </w:r>
    </w:p>
    <w:p>
      <w:pPr>
        <w:spacing w:after="0" w:line="86" w:lineRule="exact"/>
        <w:rPr>
          <w:rFonts w:ascii="Arial" w:cs="Arial" w:eastAsia="Arial" w:hAnsi="Arial"/>
          <w:sz w:val="16"/>
          <w:szCs w:val="16"/>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131"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100"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83"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77"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i w:val="1"/>
          <w:iCs w:val="1"/>
          <w:color w:val="auto"/>
        </w:rPr>
        <w:t xml:space="preserve">Return of Title IV funds for students who withdraw. </w:t>
      </w:r>
      <w:r>
        <w:rPr>
          <w:rFonts w:ascii="Arial" w:cs="Arial" w:eastAsia="Arial" w:hAnsi="Arial"/>
          <w:sz w:val="17"/>
          <w:szCs w:val="17"/>
          <w:color w:val="auto"/>
        </w:rPr>
        <w:t>When a student who has received Title IV funds withdraws from school,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 must determine the amount of Title IV 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93"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A requirement of the Higher Education Act commonly referred to as the “90/10 Rule” provides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loses its eligibility to participate in the Title IV 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color w:val="auto"/>
        </w:rPr>
        <w:t>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Using the Department of Education’s formula under the “90/10 Rule,” for our 2006 and 2007 fiscal years we derived approximately 71.5</w:t>
      </w:r>
    </w:p>
    <w:p>
      <w:pPr>
        <w:spacing w:after="0" w:line="2" w:lineRule="exact"/>
        <w:rPr>
          <w:sz w:val="20"/>
          <w:szCs w:val="20"/>
          <w:color w:val="auto"/>
        </w:rPr>
      </w:pPr>
    </w:p>
    <w:p>
      <w:pPr>
        <w:ind w:left="700" w:right="20" w:hanging="7"/>
        <w:spacing w:after="0" w:line="252"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our students’ employment circumstances could also increase their reliance on Title IV programs.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97"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 some or</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Title IV programs if defaults by its 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64"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3"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2004, 2005, and 2006 federal fiscal years, the three most recent years for which such rates have been calculated, were 1.4%, 1.8%, and 1.6%, respectively.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8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If our students begin taking out loans under the Federal Direct Loan Program, those loans will be combined with our students’ FFEL loans in calculating our annual student loan cohort default rate. In such case, the potential sanctions discussed in this section would be based on the combined cohort default rate.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 commission, bonus,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incentive payment based directly or indirectly 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77"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 xml:space="preserve">In recent years, several for-profit education companies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brought by current or former employees alleging that their institution had made impermissible incentive payments.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73"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 xml:space="preserve">In this regard, 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2007 and was unsealed and served on us following the government’s decision not to intervene at this time. We have filed a motion to dismiss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and plan to contest it vigorously.</w:t>
      </w:r>
    </w:p>
    <w:p>
      <w:pPr>
        <w:spacing w:after="0" w:line="98"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compensation based on success in securing enrollments or financial aid. 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We are cooperating with the Office of Inspector General to facilitate its investigation and are currently reviewing documents and emails that may be responsive to the Office of Inspector General’s subpoena.</w:t>
      </w:r>
    </w:p>
    <w:p>
      <w:pPr>
        <w:spacing w:after="0" w:line="7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 xml:space="preserve">Any fine or other sanction resulting from the Department of Education investigation or otherwise, or any monetary liability resulting from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w:t>
      </w:r>
      <w:r>
        <w:rPr>
          <w:rFonts w:ascii="Arial" w:cs="Arial" w:eastAsia="Arial" w:hAnsi="Arial"/>
          <w:sz w:val="17"/>
          <w:szCs w:val="17"/>
          <w:i w:val="1"/>
          <w:iCs w:val="1"/>
          <w:color w:val="auto"/>
        </w:rPr>
        <w:t xml:space="preserve">qui tam </w:t>
      </w:r>
      <w:r>
        <w:rPr>
          <w:rFonts w:ascii="Arial" w:cs="Arial" w:eastAsia="Arial" w:hAnsi="Arial"/>
          <w:sz w:val="17"/>
          <w:szCs w:val="17"/>
          <w:color w:val="auto"/>
        </w:rPr>
        <w:t>lawsuit or the Office of Inspector General investigation or any liability or other sanctions that might result.</w:t>
      </w:r>
    </w:p>
    <w:p>
      <w:pPr>
        <w:spacing w:after="0" w:line="77"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Department of Education, its Office 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8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Privacy of student records. </w:t>
      </w:r>
      <w:r>
        <w:rPr>
          <w:rFonts w:ascii="Arial" w:cs="Arial" w:eastAsia="Arial" w:hAnsi="Arial"/>
          <w:sz w:val="17"/>
          <w:szCs w:val="17"/>
          <w:color w:val="auto"/>
        </w:rPr>
        <w:t>The Family Educational Rights and Privacy Act of 1974, or FERPA, and the Department of Education’s</w:t>
      </w:r>
      <w:r>
        <w:rPr>
          <w:rFonts w:ascii="Arial" w:cs="Arial" w:eastAsia="Arial" w:hAnsi="Arial"/>
          <w:sz w:val="17"/>
          <w:szCs w:val="17"/>
          <w:i w:val="1"/>
          <w:iCs w:val="1"/>
          <w:color w:val="auto"/>
        </w:rPr>
        <w:t xml:space="preserve"> </w:t>
      </w:r>
      <w:r>
        <w:rPr>
          <w:rFonts w:ascii="Arial" w:cs="Arial" w:eastAsia="Arial" w:hAnsi="Arial"/>
          <w:sz w:val="17"/>
          <w:szCs w:val="17"/>
          <w:color w:val="auto"/>
        </w:rPr>
        <w:t>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8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Potential effect of regulatory violations. </w:t>
      </w:r>
      <w:r>
        <w:rPr>
          <w:rFonts w:ascii="Arial" w:cs="Arial" w:eastAsia="Arial" w:hAnsi="Arial"/>
          <w:sz w:val="18"/>
          <w:szCs w:val="18"/>
          <w:color w:val="auto"/>
        </w:rPr>
        <w:t>If we fail to comply with the regulatory standards governing the Title IV programs, the</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Education could impose one or more sanctions, including transferring us to the reimbursement or cash monitoring system of payment, requiring us to repay Title IV program funds,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3" w:lineRule="auto"/>
        <w:rPr>
          <w:sz w:val="20"/>
          <w:szCs w:val="20"/>
          <w:color w:val="auto"/>
        </w:rPr>
      </w:pPr>
      <w:r>
        <w:rPr>
          <w:rFonts w:ascii="Arial" w:cs="Arial" w:eastAsia="Arial" w:hAnsi="Arial"/>
          <w:sz w:val="18"/>
          <w:szCs w:val="18"/>
          <w:color w:val="auto"/>
        </w:rPr>
        <w:t>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03" w:lineRule="exact"/>
        <w:rPr>
          <w:sz w:val="20"/>
          <w:szCs w:val="20"/>
          <w:color w:val="auto"/>
        </w:rPr>
      </w:pPr>
    </w:p>
    <w:p>
      <w:pPr>
        <w:ind w:left="700" w:right="100" w:firstLine="397"/>
        <w:spacing w:after="0" w:line="289" w:lineRule="auto"/>
        <w:rPr>
          <w:sz w:val="20"/>
          <w:szCs w:val="20"/>
          <w:color w:val="auto"/>
        </w:rPr>
      </w:pPr>
      <w:r>
        <w:rPr>
          <w:rFonts w:ascii="Arial" w:cs="Arial" w:eastAsia="Arial" w:hAnsi="Arial"/>
          <w:sz w:val="16"/>
          <w:szCs w:val="16"/>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2"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7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i w:val="1"/>
          <w:iCs w:val="1"/>
          <w:color w:val="auto"/>
        </w:rPr>
        <w:t xml:space="preserve">Uncertainties, increased oversight, and changes in student loan environment. </w:t>
      </w:r>
      <w:r>
        <w:rPr>
          <w:rFonts w:ascii="Arial" w:cs="Arial" w:eastAsia="Arial" w:hAnsi="Arial"/>
          <w:sz w:val="16"/>
          <w:szCs w:val="16"/>
          <w:color w:val="auto"/>
        </w:rPr>
        <w:t>During 2007 and 2008, student loan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cumulative impact of these developments and conditions has caused some lenders to cease providing Title IV loans to students, including some lenders that have previously provided Title IV loans to our students.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6" w:lineRule="auto"/>
        <w:rPr>
          <w:sz w:val="20"/>
          <w:szCs w:val="20"/>
          <w:color w:val="auto"/>
        </w:rPr>
      </w:pPr>
      <w:r>
        <w:rPr>
          <w:rFonts w:ascii="Arial" w:cs="Arial" w:eastAsia="Arial" w:hAnsi="Arial"/>
          <w:sz w:val="17"/>
          <w:szCs w:val="17"/>
          <w:color w:val="auto"/>
        </w:rPr>
        <w:t>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24" w:lineRule="exact"/>
        <w:rPr>
          <w:sz w:val="20"/>
          <w:szCs w:val="20"/>
          <w:color w:val="auto"/>
        </w:rPr>
      </w:pPr>
    </w:p>
    <w:p>
      <w:pPr>
        <w:ind w:left="1700" w:right="100" w:hanging="211"/>
        <w:spacing w:after="0" w:line="27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authorizes the Department of Education to purchase Title IV loans from lenders, thereby providing capital to the lenders to enable them to continue making Title IV loans to students; and</w:t>
      </w:r>
    </w:p>
    <w:p>
      <w:pPr>
        <w:spacing w:after="0" w:line="8" w:lineRule="exact"/>
        <w:rPr>
          <w:rFonts w:ascii="Arial" w:cs="Arial" w:eastAsia="Arial" w:hAnsi="Arial"/>
          <w:sz w:val="18"/>
          <w:szCs w:val="18"/>
          <w:color w:val="auto"/>
        </w:rPr>
      </w:pPr>
    </w:p>
    <w:p>
      <w:pPr>
        <w:ind w:left="1700" w:right="260" w:hanging="211"/>
        <w:spacing w:after="0" w:line="264"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87"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w:t>
      </w:r>
    </w:p>
    <w:p>
      <w:pPr>
        <w:spacing w:after="0" w:line="76"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i w:val="1"/>
          <w:iCs w:val="1"/>
          <w:color w:val="auto"/>
        </w:rPr>
        <w:t xml:space="preserve">Adding teaching locations, implementing new educational programs, and increasing enrollment. </w:t>
      </w:r>
      <w:r>
        <w:rPr>
          <w:rFonts w:ascii="Arial" w:cs="Arial" w:eastAsia="Arial" w:hAnsi="Arial"/>
          <w:sz w:val="17"/>
          <w:szCs w:val="17"/>
          <w:color w:val="auto"/>
        </w:rPr>
        <w:t>The requirements and standards of</w:t>
      </w:r>
      <w:r>
        <w:rPr>
          <w:rFonts w:ascii="Arial" w:cs="Arial" w:eastAsia="Arial" w:hAnsi="Arial"/>
          <w:sz w:val="17"/>
          <w:szCs w:val="17"/>
          <w:i w:val="1"/>
          <w:iCs w:val="1"/>
          <w:color w:val="auto"/>
        </w:rPr>
        <w:t xml:space="preserve"> </w:t>
      </w:r>
      <w:r>
        <w:rPr>
          <w:rFonts w:ascii="Arial" w:cs="Arial" w:eastAsia="Arial" w:hAnsi="Arial"/>
          <w:sz w:val="17"/>
          <w:szCs w:val="17"/>
          <w:color w:val="auto"/>
        </w:rPr>
        <w:t>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88" w:lineRule="exact"/>
        <w:rPr>
          <w:sz w:val="20"/>
          <w:szCs w:val="20"/>
          <w:color w:val="auto"/>
        </w:rPr>
      </w:pPr>
    </w:p>
    <w:p>
      <w:pPr>
        <w:ind w:left="700" w:right="100" w:firstLine="397"/>
        <w:spacing w:after="0" w:line="269" w:lineRule="auto"/>
        <w:rPr>
          <w:sz w:val="20"/>
          <w:szCs w:val="20"/>
          <w:color w:val="auto"/>
        </w:rPr>
      </w:pPr>
      <w:r>
        <w:rPr>
          <w:rFonts w:ascii="Arial" w:cs="Arial" w:eastAsia="Arial" w:hAnsi="Arial"/>
          <w:sz w:val="17"/>
          <w:szCs w:val="17"/>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580"/>
        <w:spacing w:after="0" w:line="264" w:lineRule="auto"/>
        <w:rPr>
          <w:sz w:val="20"/>
          <w:szCs w:val="20"/>
          <w:color w:val="auto"/>
        </w:rPr>
      </w:pPr>
      <w:r>
        <w:rPr>
          <w:rFonts w:ascii="Arial" w:cs="Arial" w:eastAsia="Arial" w:hAnsi="Arial"/>
          <w:sz w:val="18"/>
          <w:szCs w:val="18"/>
          <w:color w:val="auto"/>
        </w:rPr>
        <w:t>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8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Acquiring other schools. </w:t>
      </w:r>
      <w:r>
        <w:rPr>
          <w:rFonts w:ascii="Arial" w:cs="Arial" w:eastAsia="Arial" w:hAnsi="Arial"/>
          <w:sz w:val="17"/>
          <w:szCs w:val="17"/>
          <w:color w:val="auto"/>
        </w:rPr>
        <w:t>While we have not acquired any other schools in the past, we may seek to do so in the future.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83"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i w:val="1"/>
          <w:iCs w:val="1"/>
          <w:color w:val="auto"/>
        </w:rPr>
        <w:t xml:space="preserve">Provisional certification. </w:t>
      </w:r>
      <w:r>
        <w:rPr>
          <w:rFonts w:ascii="Arial" w:cs="Arial" w:eastAsia="Arial" w:hAnsi="Arial"/>
          <w:sz w:val="18"/>
          <w:szCs w:val="18"/>
          <w:color w:val="auto"/>
        </w:rPr>
        <w:t>Each institution must apply to the Department of Education for continued certification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92"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7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is pending, or at all, or that it will not impose restrictions as a condition of approving our pending recertification application or with respect to any future recertification.</w:t>
      </w:r>
    </w:p>
    <w:p>
      <w:pPr>
        <w:spacing w:after="0" w:line="80"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i w:val="1"/>
          <w:iCs w:val="1"/>
          <w:color w:val="auto"/>
        </w:rPr>
        <w:t xml:space="preserve">Change in ownership resulting in a change in control. </w:t>
      </w:r>
      <w:r>
        <w:rPr>
          <w:rFonts w:ascii="Arial" w:cs="Arial" w:eastAsia="Arial" w:hAnsi="Arial"/>
          <w:sz w:val="18"/>
          <w:szCs w:val="18"/>
          <w:color w:val="auto"/>
        </w:rPr>
        <w:t>Many states and accrediting commissions require institutions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to report or obtain approval of certain changes in control and changes in other</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95"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84"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78" w:lineRule="exact"/>
        <w:rPr>
          <w:sz w:val="20"/>
          <w:szCs w:val="20"/>
          <w:color w:val="auto"/>
        </w:rPr>
      </w:pPr>
    </w:p>
    <w:p>
      <w:pPr>
        <w:ind w:left="700" w:right="220" w:firstLine="397"/>
        <w:spacing w:after="0" w:line="254" w:lineRule="auto"/>
        <w:rPr>
          <w:sz w:val="20"/>
          <w:szCs w:val="20"/>
          <w:color w:val="auto"/>
        </w:rPr>
      </w:pPr>
      <w:r>
        <w:rPr>
          <w:rFonts w:ascii="Arial" w:cs="Arial" w:eastAsia="Arial" w:hAnsi="Arial"/>
          <w:sz w:val="18"/>
          <w:szCs w:val="18"/>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98"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7"/>
          <w:szCs w:val="17"/>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2"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0" w:lineRule="auto"/>
        <w:rPr>
          <w:sz w:val="20"/>
          <w:szCs w:val="20"/>
          <w:color w:val="auto"/>
        </w:rPr>
      </w:pPr>
      <w:r>
        <w:rPr>
          <w:rFonts w:ascii="Arial" w:cs="Arial" w:eastAsia="Arial" w:hAnsi="Arial"/>
          <w:sz w:val="17"/>
          <w:szCs w:val="17"/>
          <w:color w:val="auto"/>
        </w:rPr>
        <w:t>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failure to comply with the requirements of either the Higher Learning Commission or the Arizona State Board for Private Postsecondary Education, or a failure to obtain their approval of the change in control, could result in our loss of accreditation or authorization by such agency, as applicable, which, in turn, would result in our loss of eligibility to participate in the Title IV programs and cause a significant decline in our student enrollments.</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also notified other accrediting commissions and state agencies, as we believed necessary, of this offering and the reasons why we believe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according to its procedures or suspend offering the applicable programs or suspend our activities in that state until we receive the required approval.</w:t>
      </w:r>
    </w:p>
    <w:p>
      <w:pPr>
        <w:spacing w:after="0" w:line="95"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8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i w:val="1"/>
          <w:iCs w:val="1"/>
          <w:color w:val="auto"/>
        </w:rPr>
        <w:t xml:space="preserve">Additional state regulation. </w:t>
      </w:r>
      <w:r>
        <w:rPr>
          <w:rFonts w:ascii="Arial" w:cs="Arial" w:eastAsia="Arial" w:hAnsi="Arial"/>
          <w:sz w:val="16"/>
          <w:szCs w:val="16"/>
          <w:color w:val="auto"/>
        </w:rPr>
        <w:t>Most state education agencies impose regulatory requirements on educational institutions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their boundaries. Some states have sought to 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 and Directors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information regarding our executive officers, directors, and director-nominees.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8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380" w:type="dxa"/>
            <w:vAlign w:val="bottom"/>
          </w:tcPr>
          <w:p>
            <w:pPr>
              <w:jc w:val="right"/>
              <w:ind w:right="51"/>
              <w:spacing w:after="0"/>
              <w:rPr>
                <w:sz w:val="20"/>
                <w:szCs w:val="20"/>
                <w:color w:val="auto"/>
              </w:rPr>
            </w:pPr>
            <w:r>
              <w:rPr>
                <w:rFonts w:ascii="Arial" w:cs="Arial" w:eastAsia="Arial" w:hAnsi="Arial"/>
                <w:sz w:val="14"/>
                <w:szCs w:val="14"/>
                <w:b w:val="1"/>
                <w:bCs w:val="1"/>
                <w:color w:val="auto"/>
              </w:rPr>
              <w:t>Age</w:t>
            </w:r>
          </w:p>
        </w:tc>
        <w:tc>
          <w:tcPr>
            <w:tcW w:w="368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46</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Brian E. Mueller</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55</w:t>
            </w:r>
          </w:p>
        </w:tc>
        <w:tc>
          <w:tcPr>
            <w:tcW w:w="36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John E. Crowley</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52</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36</w:t>
            </w:r>
          </w:p>
        </w:tc>
        <w:tc>
          <w:tcPr>
            <w:tcW w:w="3680" w:type="dxa"/>
            <w:vAlign w:val="bottom"/>
          </w:tcPr>
          <w:p>
            <w:pPr>
              <w:ind w:left="120"/>
              <w:spacing w:after="0"/>
              <w:rPr>
                <w:sz w:val="20"/>
                <w:szCs w:val="20"/>
                <w:color w:val="auto"/>
              </w:rPr>
            </w:pPr>
            <w:r>
              <w:rPr>
                <w:rFonts w:ascii="Arial" w:cs="Arial" w:eastAsia="Arial" w:hAnsi="Arial"/>
                <w:sz w:val="18"/>
                <w:szCs w:val="18"/>
                <w:color w:val="auto"/>
              </w:rPr>
              <w:t>General Counsel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 Stan Meyer</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47</w:t>
            </w:r>
          </w:p>
        </w:tc>
        <w:tc>
          <w:tcPr>
            <w:tcW w:w="368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Timothy R. Fischer</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Michael S. Lacrosse</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53</w:t>
            </w:r>
          </w:p>
        </w:tc>
        <w:tc>
          <w:tcPr>
            <w:tcW w:w="3680" w:type="dxa"/>
            <w:vAlign w:val="bottom"/>
          </w:tcPr>
          <w:p>
            <w:pPr>
              <w:ind w:left="120"/>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46</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Grand Canyon University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Chad N. Heath</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34</w:t>
            </w:r>
          </w:p>
        </w:tc>
        <w:tc>
          <w:tcPr>
            <w:tcW w:w="3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David J. Johnson</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62</w:t>
            </w:r>
          </w:p>
        </w:tc>
        <w:tc>
          <w:tcPr>
            <w:tcW w:w="3680" w:type="dxa"/>
            <w:vAlign w:val="bottom"/>
          </w:tcPr>
          <w:p>
            <w:pPr>
              <w:ind w:left="120"/>
              <w:spacing w:after="0"/>
              <w:rPr>
                <w:sz w:val="20"/>
                <w:szCs w:val="20"/>
                <w:color w:val="auto"/>
              </w:rPr>
            </w:pPr>
            <w:r>
              <w:rPr>
                <w:rFonts w:ascii="Arial" w:cs="Arial" w:eastAsia="Arial" w:hAnsi="Arial"/>
                <w:sz w:val="18"/>
                <w:szCs w:val="18"/>
                <w:color w:val="auto"/>
              </w:rPr>
              <w:t>Director-Nominee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65</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-1826260</wp:posOffset>
            </wp:positionV>
            <wp:extent cx="26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jc w:val="both"/>
        <w:ind w:left="700" w:firstLine="397"/>
        <w:spacing w:after="0" w:line="272" w:lineRule="auto"/>
        <w:rPr>
          <w:sz w:val="20"/>
          <w:szCs w:val="20"/>
          <w:color w:val="auto"/>
        </w:rPr>
      </w:pPr>
      <w:r>
        <w:rPr>
          <w:rFonts w:ascii="Arial" w:cs="Arial" w:eastAsia="Arial" w:hAnsi="Arial"/>
          <w:sz w:val="17"/>
          <w:szCs w:val="17"/>
          <w:i w:val="1"/>
          <w:iCs w:val="1"/>
          <w:color w:val="auto"/>
        </w:rPr>
        <w:t xml:space="preserve">Brent D. Richardson </w:t>
      </w:r>
      <w:r>
        <w:rPr>
          <w:rFonts w:ascii="Arial" w:cs="Arial" w:eastAsia="Arial" w:hAnsi="Arial"/>
          <w:sz w:val="17"/>
          <w:szCs w:val="17"/>
          <w:color w:val="auto"/>
        </w:rPr>
        <w:t>has been serving as our Executive Chairman since July 1, 2008. Mr. Richardson previously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 Mr. Richardson earned his Bachelor of Science degree in Finance from Eastern Illinois University. Brent Richardson and Chris Richardson are brothers.</w:t>
      </w:r>
    </w:p>
    <w:p>
      <w:pPr>
        <w:spacing w:after="0" w:line="83"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Brian E. Mueller </w:t>
      </w:r>
      <w:r>
        <w:rPr>
          <w:rFonts w:ascii="Arial" w:cs="Arial" w:eastAsia="Arial" w:hAnsi="Arial"/>
          <w:sz w:val="17"/>
          <w:szCs w:val="17"/>
          <w:color w:val="auto"/>
        </w:rPr>
        <w:t>has been serving as our Chief Executive Officer since July 1, 2008. From 1987 to 2008, Mr. Mueller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Apollo Group, Inc., a for-profit, 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8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John E. Crowley </w:t>
      </w:r>
      <w:r>
        <w:rPr>
          <w:rFonts w:ascii="Arial" w:cs="Arial" w:eastAsia="Arial" w:hAnsi="Arial"/>
          <w:sz w:val="18"/>
          <w:szCs w:val="18"/>
          <w:color w:val="auto"/>
        </w:rPr>
        <w:t>has been serving as our Chief Operating Officer since 2004. Prior to 2004, Mr. Crowley served as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Educational Resources, a national distributor of 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92"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i w:val="1"/>
          <w:iCs w:val="1"/>
          <w:color w:val="auto"/>
        </w:rPr>
        <w:t xml:space="preserve">Christopher C. Richardson </w:t>
      </w:r>
      <w:r>
        <w:rPr>
          <w:rFonts w:ascii="Arial" w:cs="Arial" w:eastAsia="Arial" w:hAnsi="Arial"/>
          <w:sz w:val="16"/>
          <w:szCs w:val="16"/>
          <w:color w:val="auto"/>
        </w:rPr>
        <w:t>has been serving as our General Counsel since 2007 and as a director since 2004. From 2004 to 2007,</w:t>
      </w:r>
      <w:r>
        <w:rPr>
          <w:rFonts w:ascii="Arial" w:cs="Arial" w:eastAsia="Arial" w:hAnsi="Arial"/>
          <w:sz w:val="16"/>
          <w:szCs w:val="16"/>
          <w:i w:val="1"/>
          <w:iCs w:val="1"/>
          <w:color w:val="auto"/>
        </w:rPr>
        <w:t xml:space="preserve"> </w:t>
      </w:r>
      <w:r>
        <w:rPr>
          <w:rFonts w:ascii="Arial" w:cs="Arial" w:eastAsia="Arial" w:hAnsi="Arial"/>
          <w:sz w:val="16"/>
          <w:szCs w:val="16"/>
          <w:color w:val="auto"/>
        </w:rPr>
        <w:t>Mr. Richardson served as legal counsel in our Office 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3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University, and Juris Doctor from the University of Arizona College of Law, where he graduated summa cum laude. Brent Richardson and Chris Richardson are brothers.</w:t>
      </w:r>
    </w:p>
    <w:p>
      <w:pPr>
        <w:spacing w:after="0" w:line="76"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From January 2007 until June 2008, Mr.</w:t>
      </w:r>
      <w:r>
        <w:rPr>
          <w:rFonts w:ascii="Arial" w:cs="Arial" w:eastAsia="Arial" w:hAnsi="Arial"/>
          <w:sz w:val="16"/>
          <w:szCs w:val="16"/>
          <w:i w:val="1"/>
          <w:iCs w:val="1"/>
          <w:color w:val="auto"/>
        </w:rPr>
        <w:t xml:space="preserve"> </w:t>
      </w:r>
      <w:r>
        <w:rPr>
          <w:rFonts w:ascii="Arial" w:cs="Arial" w:eastAsia="Arial" w:hAnsi="Arial"/>
          <w:sz w:val="16"/>
          <w:szCs w:val="16"/>
          <w:color w:val="auto"/>
        </w:rPr>
        <w:t>Bachus served as chief 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0"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i w:val="1"/>
          <w:iCs w:val="1"/>
          <w:color w:val="auto"/>
        </w:rPr>
        <w:t xml:space="preserve">W. Stan Meyer </w:t>
      </w:r>
      <w:r>
        <w:rPr>
          <w:rFonts w:ascii="Arial" w:cs="Arial" w:eastAsia="Arial" w:hAnsi="Arial"/>
          <w:sz w:val="18"/>
          <w:szCs w:val="18"/>
          <w:color w:val="auto"/>
        </w:rPr>
        <w:t>has been serving as our Executive Vice President since July 1, 2008. From August 2002 to June 2008, Mr. Meyer</w:t>
      </w:r>
      <w:r>
        <w:rPr>
          <w:rFonts w:ascii="Arial" w:cs="Arial" w:eastAsia="Arial" w:hAnsi="Arial"/>
          <w:sz w:val="18"/>
          <w:szCs w:val="18"/>
          <w:i w:val="1"/>
          <w:iCs w:val="1"/>
          <w:color w:val="auto"/>
        </w:rPr>
        <w:t xml:space="preserve"> </w:t>
      </w:r>
      <w:r>
        <w:rPr>
          <w:rFonts w:ascii="Arial" w:cs="Arial" w:eastAsia="Arial" w:hAnsi="Arial"/>
          <w:sz w:val="18"/>
          <w:szCs w:val="18"/>
          <w:color w:val="auto"/>
        </w:rPr>
        <w:t>was employed by Apollo Group, Inc., a for-profit, 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98"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i w:val="1"/>
          <w:iCs w:val="1"/>
          <w:color w:val="auto"/>
        </w:rPr>
        <w:t xml:space="preserve">Timothy R. Fischer </w:t>
      </w:r>
      <w:r>
        <w:rPr>
          <w:rFonts w:ascii="Arial" w:cs="Arial" w:eastAsia="Arial" w:hAnsi="Arial"/>
          <w:sz w:val="17"/>
          <w:szCs w:val="17"/>
          <w:color w:val="auto"/>
        </w:rPr>
        <w:t>has been serving as our Chief Administrative Officer since July 1, 2008. Mr. Fischer previously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from 2005 until July 2008. 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8"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i w:val="1"/>
          <w:iCs w:val="1"/>
          <w:color w:val="auto"/>
        </w:rPr>
        <w:t xml:space="preserve">Michael S. Lacrosse </w:t>
      </w:r>
      <w:r>
        <w:rPr>
          <w:rFonts w:ascii="Arial" w:cs="Arial" w:eastAsia="Arial" w:hAnsi="Arial"/>
          <w:sz w:val="18"/>
          <w:szCs w:val="18"/>
          <w:color w:val="auto"/>
        </w:rPr>
        <w:t>has been serving as our Chief Information Officer since August 2006. From February 2001 to August 2006,</w:t>
      </w:r>
      <w:r>
        <w:rPr>
          <w:rFonts w:ascii="Arial" w:cs="Arial" w:eastAsia="Arial" w:hAnsi="Arial"/>
          <w:sz w:val="18"/>
          <w:szCs w:val="18"/>
          <w:i w:val="1"/>
          <w:iCs w:val="1"/>
          <w:color w:val="auto"/>
        </w:rPr>
        <w:t xml:space="preserve"> </w:t>
      </w:r>
      <w:r>
        <w:rPr>
          <w:rFonts w:ascii="Arial" w:cs="Arial" w:eastAsia="Arial" w:hAnsi="Arial"/>
          <w:sz w:val="18"/>
          <w:szCs w:val="18"/>
          <w:color w:val="auto"/>
        </w:rPr>
        <w:t>Mr. Lacrosse served as chief information officer of 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92"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i w:val="1"/>
          <w:iCs w:val="1"/>
          <w:color w:val="auto"/>
        </w:rPr>
        <w:t xml:space="preserve">Dr. Kathy Player </w:t>
      </w:r>
      <w:r>
        <w:rPr>
          <w:rFonts w:ascii="Arial" w:cs="Arial" w:eastAsia="Arial" w:hAnsi="Arial"/>
          <w:sz w:val="17"/>
          <w:szCs w:val="17"/>
          <w:color w:val="auto"/>
        </w:rPr>
        <w:t>has been serving as Grand Canyon University President since July 31, 2008. From 2007 to July 2008 she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Provost and Chief Academic Officer. From 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8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Chad N. Heath </w:t>
      </w:r>
      <w:r>
        <w:rPr>
          <w:rFonts w:ascii="Arial" w:cs="Arial" w:eastAsia="Arial" w:hAnsi="Arial"/>
          <w:sz w:val="18"/>
          <w:szCs w:val="18"/>
          <w:color w:val="auto"/>
        </w:rPr>
        <w:t>has been serving as a director of Grand Canyon University since 2005. Mr. Heath is a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Endeavour Capital, a private equity firm based in Portland, 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95"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i w:val="1"/>
          <w:iCs w:val="1"/>
          <w:color w:val="auto"/>
        </w:rPr>
        <w:t xml:space="preserve">D. Mark Dorman </w:t>
      </w:r>
      <w:r>
        <w:rPr>
          <w:rFonts w:ascii="Arial" w:cs="Arial" w:eastAsia="Arial" w:hAnsi="Arial"/>
          <w:sz w:val="16"/>
          <w:szCs w:val="16"/>
          <w:color w:val="auto"/>
        </w:rPr>
        <w:t>has been serving as a director of Grand Canyon University since 2005. Mr. Dorman is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Endeavour Capital. Prior to joining Endeavour 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3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440"/>
        <w:spacing w:after="0" w:line="264" w:lineRule="auto"/>
        <w:rPr>
          <w:sz w:val="20"/>
          <w:szCs w:val="20"/>
          <w:color w:val="auto"/>
        </w:rPr>
      </w:pPr>
      <w:r>
        <w:rPr>
          <w:rFonts w:ascii="Arial" w:cs="Arial" w:eastAsia="Arial" w:hAnsi="Arial"/>
          <w:sz w:val="18"/>
          <w:szCs w:val="18"/>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87"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nominated and has agreed to serve as a member of our board of directors effective upon the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offering. From 1997 to 2006, Mr. Johnson 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2"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Jack A. Henry </w:t>
      </w:r>
      <w:r>
        <w:rPr>
          <w:rFonts w:ascii="Arial" w:cs="Arial" w:eastAsia="Arial" w:hAnsi="Arial"/>
          <w:sz w:val="17"/>
          <w:szCs w:val="17"/>
          <w:color w:val="auto"/>
        </w:rPr>
        <w:t>has been nominated and has agreed to serve as a member of our board of directors effective upon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Mr. Henry began his career with Arthur 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8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Other than Brent Richardson and Chris Richardson, who are brothers, there are no family relationships among any of our directors or executive officers.</w:t>
      </w:r>
    </w:p>
    <w:p>
      <w:pPr>
        <w:spacing w:after="0" w:line="76"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In conjunction with the hiring of our new management team, we anticipate that John E. Crowley, our Chief Operating Officer, will transition out of his role with us within the next 12 months in order to pursue other interests.</w:t>
      </w:r>
    </w:p>
    <w:p>
      <w:pPr>
        <w:spacing w:after="0" w:line="76"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Apollo Group, Inc. and certain of its current and former officers and directors, including Messrs. Mueller and Bachus, are named as defendants in various litigation matters arising out of alleged misconduct in connection with Apollo’s stock option grant practices and related financial statement reporting. As disclosed in Apollo Group’s most recent Annual Report on Form 10-K, one of these cases, a derivative action, has been settled. A securities class action arising from substantially the same facts and allegations is ongoing. In addition to the litigation in connection with the stock grant process, Mr. Bachus was also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has been appealed. Mr. Bachus also was originally named as a defendant in a related, ongoing derivative action, but was not named in the current, amended complaint in that action.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Composition</w:t>
      </w:r>
    </w:p>
    <w:p>
      <w:pPr>
        <w:spacing w:after="0" w:line="135"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director does not have a relationship which, in the opinion of our board of directors, would interfere with the exercise of independent judgment by the director in carrying out the responsibilities of a director.</w:t>
      </w:r>
    </w:p>
    <w:p>
      <w:pPr>
        <w:spacing w:after="0" w:line="76"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 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 Messrs. Dorman and Heath and the Endeavour Entities will positively align their interests with those of our public stockholders, our board of directors has affirmatively determined (with Messrs. Dorman and Heath abstaining) that, in its judgment, Messrs. Dorman and Heath meet the applicable independence standards established by the Nasdaq Stock Market.</w:t>
      </w:r>
    </w:p>
    <w:p>
      <w:pPr>
        <w:spacing w:after="0" w:line="77"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At each annual meeting, our stockholders elect our full board of directors. Directors may be removed at any time for cause by the affirmative vote of the holders of a majority of the voting power then entitled to vote.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9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Our audit committee will consist of Messrs. Henry (chair) and Johnson, each of whom will be “independent,”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and required by the rules of Nasdaq 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84"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will consist of Messrs. Johnson (chair), Heath, and Dorman,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is or will be “independent,” as defined under and 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i w:val="1"/>
          <w:iCs w:val="1"/>
          <w:color w:val="auto"/>
        </w:rPr>
        <w:t xml:space="preserve">Nominating and Governance Committee. </w:t>
      </w:r>
      <w:r>
        <w:rPr>
          <w:rFonts w:ascii="Arial" w:cs="Arial" w:eastAsia="Arial" w:hAnsi="Arial"/>
          <w:sz w:val="18"/>
          <w:szCs w:val="18"/>
          <w:color w:val="auto"/>
        </w:rPr>
        <w:t>Our nominating and governance committee will consist of Messrs. Heath (chair) and</w:t>
      </w:r>
      <w:r>
        <w:rPr>
          <w:rFonts w:ascii="Arial" w:cs="Arial" w:eastAsia="Arial" w:hAnsi="Arial"/>
          <w:sz w:val="18"/>
          <w:szCs w:val="18"/>
          <w:i w:val="1"/>
          <w:iCs w:val="1"/>
          <w:color w:val="auto"/>
        </w:rPr>
        <w:t xml:space="preserve"> </w:t>
      </w:r>
      <w:r>
        <w:rPr>
          <w:rFonts w:ascii="Arial" w:cs="Arial" w:eastAsia="Arial" w:hAnsi="Arial"/>
          <w:sz w:val="18"/>
          <w:szCs w:val="18"/>
          <w:color w:val="auto"/>
        </w:rPr>
        <w:t>Dorman, each of whom is “independent,” as defined 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 are no interlocking relationships requiring disclosure under the applicable rules promulgated under the U.S. federal securities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laws.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92" w:lineRule="exact"/>
        <w:rPr>
          <w:sz w:val="20"/>
          <w:szCs w:val="20"/>
          <w:color w:val="auto"/>
        </w:rPr>
      </w:pPr>
    </w:p>
    <w:p>
      <w:pPr>
        <w:ind w:left="1480" w:hanging="180"/>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Brent D. Richardson, our Chief Executive Officer;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John E. Crowley, our Chief Operating Officer;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Christopher C. Richardson, our General Counsel;</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Timothy R. Fischer, currently our Chief Administrative Officer and formerly our Chief Financial Officer; and</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Michael S. Lacrosse, our Chief Information Officer.</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6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Compensation philosophy. </w:t>
      </w:r>
      <w:r>
        <w:rPr>
          <w:rFonts w:ascii="Arial" w:cs="Arial" w:eastAsia="Arial" w:hAnsi="Arial"/>
          <w:sz w:val="16"/>
          <w:szCs w:val="16"/>
          <w:color w:val="auto"/>
        </w:rPr>
        <w:t>Under our compensation philosophy, a named executive officer’s total compensation will vary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our overall performance and with the particular 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3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Compensation objectives. </w:t>
      </w:r>
      <w:r>
        <w:rPr>
          <w:rFonts w:ascii="Arial" w:cs="Arial" w:eastAsia="Arial" w:hAnsi="Arial"/>
          <w:sz w:val="17"/>
          <w:szCs w:val="17"/>
          <w:color w:val="auto"/>
        </w:rPr>
        <w:t>We believe that the compensation program we follow helps us achieve the following objectives:</w:t>
      </w:r>
    </w:p>
    <w:p>
      <w:pPr>
        <w:spacing w:after="0" w:line="142" w:lineRule="exact"/>
        <w:rPr>
          <w:sz w:val="20"/>
          <w:szCs w:val="20"/>
          <w:color w:val="auto"/>
        </w:rPr>
      </w:pPr>
    </w:p>
    <w:p>
      <w:pPr>
        <w:ind w:left="1700" w:right="240" w:hanging="211"/>
        <w:spacing w:after="0" w:line="259" w:lineRule="auto"/>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related to performance. </w:t>
      </w:r>
      <w:r>
        <w:rPr>
          <w:rFonts w:ascii="Arial" w:cs="Arial" w:eastAsia="Arial" w:hAnsi="Arial"/>
          <w:sz w:val="18"/>
          <w:szCs w:val="18"/>
          <w:color w:val="auto"/>
        </w:rPr>
        <w:t>We believe that the performance-based portion of an individual’s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should increase as the individual’s business responsibilities increase. Thus, a material portion of executive compensation should be linked to our and the individual’s performance, which also serves to align the named executive officers’ interests with those of our investors.</w:t>
      </w:r>
    </w:p>
    <w:p>
      <w:pPr>
        <w:spacing w:after="0" w:line="78" w:lineRule="exact"/>
        <w:rPr>
          <w:rFonts w:ascii="Arial" w:cs="Arial" w:eastAsia="Arial" w:hAnsi="Arial"/>
          <w:sz w:val="18"/>
          <w:szCs w:val="18"/>
          <w:color w:val="auto"/>
        </w:rPr>
      </w:pPr>
    </w:p>
    <w:p>
      <w:pPr>
        <w:ind w:left="1700" w:right="80" w:hanging="211"/>
        <w:spacing w:after="0" w:line="257" w:lineRule="auto"/>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programs should foster an</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high integrity, and performance-oriented 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94"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i w:val="1"/>
          <w:iCs w:val="1"/>
          <w:color w:val="auto"/>
        </w:rPr>
        <w:t xml:space="preserve">Company compensation policies. </w:t>
      </w:r>
      <w:r>
        <w:rPr>
          <w:rFonts w:ascii="Arial" w:cs="Arial" w:eastAsia="Arial" w:hAnsi="Arial"/>
          <w:sz w:val="16"/>
          <w:szCs w:val="16"/>
          <w:color w:val="auto"/>
        </w:rPr>
        <w:t>A named executive officer’s total in-service compensation consists of base salary, a cash bonus,</w:t>
      </w:r>
      <w:r>
        <w:rPr>
          <w:rFonts w:ascii="Arial" w:cs="Arial" w:eastAsia="Arial" w:hAnsi="Arial"/>
          <w:sz w:val="16"/>
          <w:szCs w:val="16"/>
          <w:i w:val="1"/>
          <w:iCs w:val="1"/>
          <w:color w:val="auto"/>
        </w:rPr>
        <w:t xml:space="preserve"> </w:t>
      </w:r>
      <w:r>
        <w:rPr>
          <w:rFonts w:ascii="Arial" w:cs="Arial" w:eastAsia="Arial" w:hAnsi="Arial"/>
          <w:sz w:val="16"/>
          <w:szCs w:val="16"/>
          <w:color w:val="auto"/>
        </w:rPr>
        <w:t>and limited perquisites. With regard to these components, we have in the past adhered to the following compensation policies:</w:t>
      </w:r>
    </w:p>
    <w:p>
      <w:pPr>
        <w:spacing w:after="0" w:line="29" w:lineRule="exact"/>
        <w:rPr>
          <w:sz w:val="20"/>
          <w:szCs w:val="20"/>
          <w:color w:val="auto"/>
        </w:rPr>
      </w:pPr>
    </w:p>
    <w:p>
      <w:pPr>
        <w:ind w:left="1700" w:hanging="211"/>
        <w:spacing w:after="0" w:line="257" w:lineRule="auto"/>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Founders with significant equity stakes require limited incentives. </w:t>
      </w:r>
      <w:r>
        <w:rPr>
          <w:rFonts w:ascii="Arial" w:cs="Arial" w:eastAsia="Arial" w:hAnsi="Arial"/>
          <w:sz w:val="18"/>
          <w:szCs w:val="18"/>
          <w:color w:val="auto"/>
        </w:rPr>
        <w:t>As founders of our company, Brent Richardson and Chris</w:t>
      </w:r>
      <w:r>
        <w:rPr>
          <w:rFonts w:ascii="Arial" w:cs="Arial" w:eastAsia="Arial" w:hAnsi="Arial"/>
          <w:sz w:val="18"/>
          <w:szCs w:val="18"/>
          <w:i w:val="1"/>
          <w:iCs w:val="1"/>
          <w:color w:val="auto"/>
        </w:rPr>
        <w:t xml:space="preserve"> </w:t>
      </w:r>
      <w:r>
        <w:rPr>
          <w:rFonts w:ascii="Arial" w:cs="Arial" w:eastAsia="Arial" w:hAnsi="Arial"/>
          <w:sz w:val="18"/>
          <w:szCs w:val="18"/>
          <w:color w:val="auto"/>
        </w:rPr>
        <w:t>Richardson have significant equity ownership 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80" w:lineRule="exact"/>
        <w:rPr>
          <w:rFonts w:ascii="Arial" w:cs="Arial" w:eastAsia="Arial" w:hAnsi="Arial"/>
          <w:sz w:val="18"/>
          <w:szCs w:val="18"/>
          <w:color w:val="auto"/>
        </w:rPr>
      </w:pPr>
    </w:p>
    <w:p>
      <w:pPr>
        <w:ind w:left="1700" w:right="40" w:hanging="211"/>
        <w:spacing w:after="0" w:line="279"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Base salaries should be the largest component of compensation</w:t>
      </w:r>
      <w:r>
        <w:rPr>
          <w:rFonts w:ascii="Arial" w:cs="Arial" w:eastAsia="Arial" w:hAnsi="Arial"/>
          <w:sz w:val="17"/>
          <w:szCs w:val="17"/>
          <w:color w:val="auto"/>
        </w:rPr>
        <w:t>. Our compensation programs should reflect base salaries as</w:t>
      </w:r>
      <w:r>
        <w:rPr>
          <w:rFonts w:ascii="Arial" w:cs="Arial" w:eastAsia="Arial" w:hAnsi="Arial"/>
          <w:sz w:val="17"/>
          <w:szCs w:val="17"/>
          <w:i w:val="1"/>
          <w:iCs w:val="1"/>
          <w:color w:val="auto"/>
        </w:rPr>
        <w:t xml:space="preserve"> </w:t>
      </w:r>
      <w:r>
        <w:rPr>
          <w:rFonts w:ascii="Arial" w:cs="Arial" w:eastAsia="Arial" w:hAnsi="Arial"/>
          <w:sz w:val="17"/>
          <w:szCs w:val="17"/>
          <w:color w:val="auto"/>
        </w:rPr>
        <w:t>being compensation for the named executive 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63" w:lineRule="exact"/>
        <w:rPr>
          <w:rFonts w:ascii="Arial" w:cs="Arial" w:eastAsia="Arial" w:hAnsi="Arial"/>
          <w:sz w:val="17"/>
          <w:szCs w:val="17"/>
          <w:color w:val="auto"/>
        </w:rPr>
      </w:pPr>
    </w:p>
    <w:p>
      <w:pPr>
        <w:ind w:left="1700" w:right="140" w:hanging="211"/>
        <w:spacing w:after="0" w:line="297" w:lineRule="auto"/>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paid in cash. </w:t>
      </w:r>
      <w:r>
        <w:rPr>
          <w:rFonts w:ascii="Arial" w:cs="Arial" w:eastAsia="Arial" w:hAnsi="Arial"/>
          <w:sz w:val="16"/>
          <w:szCs w:val="16"/>
          <w:color w:val="auto"/>
        </w:rPr>
        <w:t>As a private company whose equity securities were not publicly traded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this offering, we believed that the 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64"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motivation and retention, as evidenced by the limited turnover in our executive officer ranks over the past several years.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31"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i w:val="1"/>
          <w:iCs w:val="1"/>
          <w:color w:val="auto"/>
        </w:rPr>
        <w:t xml:space="preserve">Elements of In-Service Compensation. </w:t>
      </w:r>
      <w:r>
        <w:rPr>
          <w:rFonts w:ascii="Arial" w:cs="Arial" w:eastAsia="Arial" w:hAnsi="Arial"/>
          <w:sz w:val="17"/>
          <w:szCs w:val="17"/>
          <w:color w:val="auto"/>
        </w:rPr>
        <w:t>For our 2007 fiscal year, our executive compensation mix included base salary, discretionary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cash bonuses, and other benefits generally available to all employees. Perquisites were not a significant component of executive compensation. We generally determine the nature and amount of each element of compensation as follows:</w:t>
      </w:r>
    </w:p>
    <w:p>
      <w:pPr>
        <w:spacing w:after="0" w:line="71" w:lineRule="exact"/>
        <w:rPr>
          <w:sz w:val="20"/>
          <w:szCs w:val="20"/>
          <w:color w:val="auto"/>
        </w:rPr>
      </w:pPr>
    </w:p>
    <w:p>
      <w:pPr>
        <w:ind w:left="1700" w:right="40" w:hanging="211"/>
        <w:spacing w:after="0" w:line="264" w:lineRule="auto"/>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or may not be reflected in an employment agreement. The amount of base salary agreed upon, which is not at risk, reflects our views as to the individual executive’s</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past experience, future potential, knowledge, scope of anticipated responsibilities, skills, expertise, and potential to add</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value through performance, as well as competitive industry salary practices. Although minimum base salaries for Brent</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Richardson, John Crowley, and Chris Richardson are set by their respective employment agreements, as described below,</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we review executive salaries annually and may adjust them based on an evaluation of the company’s performance for the</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year and the performance of the functional area(s) under an executive’s scope of responsibility. For example, base salaries</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for each of Brent Richardson, John Crowley, and Chris Richardson were increased from $250,000 in fiscal 2006 to</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$292,019 in fiscal 2007 as a result of the growth in our net revenue and Adjusted EBITDA for 2006, which was driven, in</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part, by the leadership and execution of our strategy by these named executive officers. We also consider qualitative</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criteria, such as education and experience requirements, complexity, and scope or impact of the position compared to other</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executive positions internally.</w:t>
      </w:r>
    </w:p>
    <w:p>
      <w:pPr>
        <w:spacing w:after="0" w:line="116" w:lineRule="exact"/>
        <w:rPr>
          <w:sz w:val="20"/>
          <w:szCs w:val="20"/>
          <w:color w:val="auto"/>
        </w:rPr>
      </w:pPr>
    </w:p>
    <w:p>
      <w:pPr>
        <w:ind w:left="1700" w:right="60" w:hanging="211"/>
        <w:spacing w:after="0" w:line="312" w:lineRule="auto"/>
        <w:tabs>
          <w:tab w:leader="none" w:pos="17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Bonuses. </w:t>
      </w:r>
      <w:r>
        <w:rPr>
          <w:rFonts w:ascii="Arial" w:cs="Arial" w:eastAsia="Arial" w:hAnsi="Arial"/>
          <w:sz w:val="16"/>
          <w:szCs w:val="16"/>
          <w:color w:val="auto"/>
        </w:rPr>
        <w:t>We provide cash bonuses, which are at-risk, to recognize and reward our named executive officers with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above base salary based on our success in a given year. In the past, we have awarded bonuses on a discretionary basis, and we have not implemented or followed a formal bonus plan tied to specific financial and non-financial objectives.</w:t>
      </w:r>
    </w:p>
    <w:p>
      <w:pPr>
        <w:spacing w:after="0" w:line="38" w:lineRule="exact"/>
        <w:rPr>
          <w:rFonts w:ascii="Arial" w:cs="Arial" w:eastAsia="Arial" w:hAnsi="Arial"/>
          <w:sz w:val="16"/>
          <w:szCs w:val="16"/>
          <w:color w:val="auto"/>
        </w:rPr>
      </w:pPr>
    </w:p>
    <w:p>
      <w:pPr>
        <w:ind w:left="1700" w:right="60" w:hanging="211"/>
        <w:spacing w:after="0" w:line="312" w:lineRule="auto"/>
        <w:tabs>
          <w:tab w:leader="none" w:pos="17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We seek to compensate our named executive officers at levels that eliminate the need for perquisites and</w:t>
      </w:r>
      <w:r>
        <w:rPr>
          <w:rFonts w:ascii="Arial" w:cs="Arial" w:eastAsia="Arial" w:hAnsi="Arial"/>
          <w:sz w:val="16"/>
          <w:szCs w:val="16"/>
          <w:i w:val="1"/>
          <w:iCs w:val="1"/>
          <w:color w:val="auto"/>
        </w:rPr>
        <w:t xml:space="preserve"> </w:t>
      </w:r>
      <w:r>
        <w:rPr>
          <w:rFonts w:ascii="Arial" w:cs="Arial" w:eastAsia="Arial" w:hAnsi="Arial"/>
          <w:sz w:val="16"/>
          <w:szCs w:val="16"/>
          <w:color w:val="auto"/>
        </w:rPr>
        <w:t>enable each individual officer to provide for his or her own needs. Accordingly, in 2007, the only perquisite we provided to any of our named executive officers was allowing Brent Richardson to utilize a car leased by Grand Canyon University.</w:t>
      </w:r>
    </w:p>
    <w:p>
      <w:pPr>
        <w:spacing w:after="0" w:line="38" w:lineRule="exact"/>
        <w:rPr>
          <w:rFonts w:ascii="Arial" w:cs="Arial" w:eastAsia="Arial" w:hAnsi="Arial"/>
          <w:sz w:val="16"/>
          <w:szCs w:val="16"/>
          <w:color w:val="auto"/>
        </w:rPr>
      </w:pPr>
    </w:p>
    <w:p>
      <w:pPr>
        <w:ind w:left="1700" w:hanging="211"/>
        <w:spacing w:after="0" w:line="273" w:lineRule="auto"/>
        <w:tabs>
          <w:tab w:leader="none" w:pos="17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key executives for the purpose of meeting current and future health and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needs for the executives and their families. 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8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Elements of Post-Termination Compensation and Benefits. </w:t>
      </w:r>
      <w:r>
        <w:rPr>
          <w:rFonts w:ascii="Arial" w:cs="Arial" w:eastAsia="Arial" w:hAnsi="Arial"/>
          <w:sz w:val="18"/>
          <w:szCs w:val="18"/>
          <w:color w:val="auto"/>
        </w:rPr>
        <w:t>We are a party to written agreements that provide certain of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with post-termination salary and 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2007 consisted of the following:</w:t>
      </w:r>
    </w:p>
    <w:p>
      <w:pPr>
        <w:spacing w:after="0" w:line="99" w:lineRule="exact"/>
        <w:rPr>
          <w:sz w:val="20"/>
          <w:szCs w:val="20"/>
          <w:color w:val="auto"/>
        </w:rPr>
      </w:pPr>
    </w:p>
    <w:p>
      <w:pPr>
        <w:ind w:left="1700" w:right="20" w:hanging="211"/>
        <w:spacing w:after="0" w:line="255"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of Brent Richardson, John Crowley, and Chris Richardson had a written employment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which he would receive continuing salary 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 12 months if we seek to extend their post-termination non-compete and related covenants.</w:t>
      </w:r>
    </w:p>
    <w:p>
      <w:pPr>
        <w:spacing w:after="0" w:line="94" w:lineRule="exact"/>
        <w:rPr>
          <w:rFonts w:ascii="Arial" w:cs="Arial" w:eastAsia="Arial" w:hAnsi="Arial"/>
          <w:sz w:val="18"/>
          <w:szCs w:val="18"/>
          <w:color w:val="auto"/>
        </w:rPr>
      </w:pPr>
    </w:p>
    <w:p>
      <w:pPr>
        <w:ind w:left="1700" w:right="80" w:hanging="211"/>
        <w:spacing w:after="0" w:line="277"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Under their agreements, Brent Richardson, John Crowley, and Chris Richardson would also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 of benefits during the applicable salary continuation period.</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31"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In the past, we have reviewed overall company and individual performance in connection with our review of named executive officer compensation.</w:t>
      </w:r>
    </w:p>
    <w:p>
      <w:pPr>
        <w:spacing w:after="0" w:line="76" w:lineRule="exact"/>
        <w:rPr>
          <w:sz w:val="20"/>
          <w:szCs w:val="20"/>
          <w:color w:val="auto"/>
        </w:rPr>
      </w:pPr>
    </w:p>
    <w:p>
      <w:pPr>
        <w:ind w:left="700" w:right="320" w:firstLine="397"/>
        <w:spacing w:after="0" w:line="288" w:lineRule="auto"/>
        <w:rPr>
          <w:sz w:val="20"/>
          <w:szCs w:val="20"/>
          <w:color w:val="auto"/>
        </w:rPr>
      </w:pPr>
      <w:r>
        <w:rPr>
          <w:rFonts w:ascii="Arial" w:cs="Arial" w:eastAsia="Arial" w:hAnsi="Arial"/>
          <w:sz w:val="16"/>
          <w:szCs w:val="16"/>
          <w:i w:val="1"/>
          <w:iCs w:val="1"/>
          <w:color w:val="auto"/>
        </w:rPr>
        <w:t xml:space="preserve">Company performance. </w:t>
      </w:r>
      <w:r>
        <w:rPr>
          <w:rFonts w:ascii="Arial" w:cs="Arial" w:eastAsia="Arial" w:hAnsi="Arial"/>
          <w:sz w:val="16"/>
          <w:szCs w:val="16"/>
          <w:color w:val="auto"/>
        </w:rPr>
        <w:t>In reviewing our performance, we focus principally on the achievement of net revenue and Adjusted</w:t>
      </w:r>
      <w:r>
        <w:rPr>
          <w:rFonts w:ascii="Arial" w:cs="Arial" w:eastAsia="Arial" w:hAnsi="Arial"/>
          <w:sz w:val="16"/>
          <w:szCs w:val="16"/>
          <w:i w:val="1"/>
          <w:iCs w:val="1"/>
          <w:color w:val="auto"/>
        </w:rPr>
        <w:t xml:space="preserve"> </w:t>
      </w:r>
      <w:r>
        <w:rPr>
          <w:rFonts w:ascii="Arial" w:cs="Arial" w:eastAsia="Arial" w:hAnsi="Arial"/>
          <w:sz w:val="16"/>
          <w:szCs w:val="16"/>
          <w:color w:val="auto"/>
        </w:rPr>
        <w:t>EBITDA levels, and on maintaining regulatory compliance. We presently define Adjusted EBITDA as net income (loss) plus interest expense net of interest income, plus income tax expense (benefit), and plus depreciation and amortization (EBITDA), as adjusted for</w:t>
      </w:r>
    </w:p>
    <w:p>
      <w:pPr>
        <w:ind w:left="700" w:hanging="7"/>
        <w:spacing w:after="0" w:line="268" w:lineRule="auto"/>
        <w:tabs>
          <w:tab w:leader="none" w:pos="9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90"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i w:val="1"/>
          <w:iCs w:val="1"/>
          <w:color w:val="auto"/>
        </w:rPr>
        <w:t xml:space="preserve">Individual performance. </w:t>
      </w:r>
      <w:r>
        <w:rPr>
          <w:rFonts w:ascii="Arial" w:cs="Arial" w:eastAsia="Arial" w:hAnsi="Arial"/>
          <w:sz w:val="16"/>
          <w:szCs w:val="16"/>
          <w:color w:val="auto"/>
        </w:rPr>
        <w:t>In reviewing individual performance, we also look at an executive’s achievement of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that, with respect to a given named executive officer, may include achieving objectives related to some or all of the following:</w:t>
      </w:r>
    </w:p>
    <w:p>
      <w:pPr>
        <w:spacing w:after="0" w:line="29" w:lineRule="exact"/>
        <w:rPr>
          <w:sz w:val="20"/>
          <w:szCs w:val="20"/>
          <w:color w:val="auto"/>
        </w:rPr>
      </w:pPr>
    </w:p>
    <w:p>
      <w:pPr>
        <w:ind w:left="1700" w:hanging="211"/>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enrollment growth;</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program development and expansion;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Conclusion</w:t>
      </w:r>
    </w:p>
    <w:p>
      <w:pPr>
        <w:spacing w:after="0" w:line="131"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2007 were reasonable and appropriate and in our best interests.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Actions Taken in Current Fiscal Year</w:t>
      </w:r>
    </w:p>
    <w:p>
      <w:pPr>
        <w:spacing w:after="0" w:line="131"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i w:val="1"/>
          <w:iCs w:val="1"/>
          <w:color w:val="auto"/>
        </w:rPr>
        <w:t xml:space="preserve">Equity Plans. </w:t>
      </w:r>
      <w:r>
        <w:rPr>
          <w:rFonts w:ascii="Arial" w:cs="Arial" w:eastAsia="Arial" w:hAnsi="Arial"/>
          <w:sz w:val="16"/>
          <w:szCs w:val="16"/>
          <w:color w:val="auto"/>
        </w:rPr>
        <w:t>As discussed above, we have historically relied upon base salaries and cash bonuses to attract, motivate and retain</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We have adopted a 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 Incentive Plan became effective on September 27, 2008 following approval by our stockholders on such date, and the ESPP, which was also approved by our stockholders on September 27, 2008, will be effective upon consummation of this offering.</w:t>
      </w:r>
    </w:p>
    <w:p>
      <w:pPr>
        <w:spacing w:after="0" w:line="72"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i w:val="1"/>
          <w:iCs w:val="1"/>
          <w:color w:val="auto"/>
        </w:rPr>
        <w:t xml:space="preserve">Incentive Plan. </w:t>
      </w:r>
      <w:r>
        <w:rPr>
          <w:rFonts w:ascii="Arial" w:cs="Arial" w:eastAsia="Arial" w:hAnsi="Arial"/>
          <w:sz w:val="17"/>
          <w:szCs w:val="17"/>
          <w:color w:val="auto"/>
        </w:rPr>
        <w:t>We have authorized and reserved a total of 4,199,937 shares of our common stock for issuance under the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This reserve automatically increases on a 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312" w:lineRule="auto"/>
        <w:rPr>
          <w:sz w:val="20"/>
          <w:szCs w:val="20"/>
          <w:color w:val="auto"/>
        </w:rPr>
      </w:pPr>
      <w:r>
        <w:rPr>
          <w:rFonts w:ascii="Arial" w:cs="Arial" w:eastAsia="Arial" w:hAnsi="Arial"/>
          <w:sz w:val="16"/>
          <w:szCs w:val="16"/>
          <w:color w:val="auto"/>
        </w:rPr>
        <w:t>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52"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77"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60"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72"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In conjunction with adoption of the Incentive Plan, our board of directors has approved a comprehensive policy relating to the granting of stock options and other equity-based awards. Under this policy:</w:t>
      </w:r>
    </w:p>
    <w:p>
      <w:pPr>
        <w:spacing w:after="0" w:line="76" w:lineRule="exact"/>
        <w:rPr>
          <w:sz w:val="20"/>
          <w:szCs w:val="20"/>
          <w:color w:val="auto"/>
        </w:rPr>
      </w:pPr>
    </w:p>
    <w:p>
      <w:pPr>
        <w:ind w:left="1700" w:right="380" w:hanging="211"/>
        <w:spacing w:after="0" w:line="27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stock-based grants will be approved at formal meetings (including telephonic) of the compensation committee;</w:t>
      </w:r>
    </w:p>
    <w:p>
      <w:pPr>
        <w:spacing w:after="0" w:line="128" w:lineRule="exact"/>
        <w:rPr>
          <w:rFonts w:ascii="Arial" w:cs="Arial" w:eastAsia="Arial" w:hAnsi="Arial"/>
          <w:sz w:val="17"/>
          <w:szCs w:val="17"/>
          <w:color w:val="auto"/>
        </w:rPr>
      </w:pPr>
    </w:p>
    <w:p>
      <w:pPr>
        <w:ind w:left="1700" w:hanging="211"/>
        <w:spacing w:after="0" w:line="264"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73" w:lineRule="exact"/>
        <w:rPr>
          <w:rFonts w:ascii="Arial" w:cs="Arial" w:eastAsia="Arial" w:hAnsi="Arial"/>
          <w:sz w:val="18"/>
          <w:szCs w:val="18"/>
          <w:color w:val="auto"/>
        </w:rPr>
      </w:pPr>
    </w:p>
    <w:p>
      <w:pPr>
        <w:ind w:left="1700" w:right="80" w:hanging="211"/>
        <w:spacing w:after="0" w:line="279" w:lineRule="auto"/>
        <w:tabs>
          <w:tab w:leader="none" w:pos="1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63" w:lineRule="exact"/>
        <w:rPr>
          <w:rFonts w:ascii="Arial" w:cs="Arial" w:eastAsia="Arial" w:hAnsi="Arial"/>
          <w:sz w:val="17"/>
          <w:szCs w:val="17"/>
          <w:color w:val="auto"/>
        </w:rPr>
      </w:pPr>
    </w:p>
    <w:p>
      <w:pPr>
        <w:ind w:left="1700" w:right="740" w:hanging="211"/>
        <w:spacing w:after="0" w:line="27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annual grant to executive officers and directors, if any, will occur at the same time as the annual grant to other employees;</w:t>
      </w:r>
    </w:p>
    <w:p>
      <w:pPr>
        <w:spacing w:after="0" w:line="62" w:lineRule="exact"/>
        <w:rPr>
          <w:rFonts w:ascii="Arial" w:cs="Arial" w:eastAsia="Arial" w:hAnsi="Arial"/>
          <w:sz w:val="18"/>
          <w:szCs w:val="18"/>
          <w:color w:val="auto"/>
        </w:rPr>
      </w:pPr>
    </w:p>
    <w:p>
      <w:pPr>
        <w:ind w:left="1700" w:right="280" w:hanging="211"/>
        <w:spacing w:after="0" w:line="342" w:lineRule="auto"/>
        <w:tabs>
          <w:tab w:leader="none" w:pos="1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5" w:lineRule="exact"/>
        <w:rPr>
          <w:rFonts w:ascii="Arial" w:cs="Arial" w:eastAsia="Arial" w:hAnsi="Arial"/>
          <w:sz w:val="16"/>
          <w:szCs w:val="16"/>
          <w:color w:val="auto"/>
        </w:rPr>
      </w:pPr>
    </w:p>
    <w:p>
      <w:pPr>
        <w:ind w:left="1700" w:right="400" w:hanging="211"/>
        <w:spacing w:after="0" w:line="27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140" w:firstLine="393"/>
        <w:spacing w:after="0" w:line="308" w:lineRule="auto"/>
        <w:rPr>
          <w:sz w:val="20"/>
          <w:szCs w:val="20"/>
          <w:color w:val="auto"/>
        </w:rPr>
      </w:pPr>
      <w:r>
        <w:rPr>
          <w:rFonts w:ascii="Arial" w:cs="Arial" w:eastAsia="Arial" w:hAnsi="Arial"/>
          <w:sz w:val="17"/>
          <w:szCs w:val="17"/>
          <w:color w:val="auto"/>
        </w:rPr>
        <w:t>In connection with the initial public offering, we plan to issue 733,990 fully vested and 2,595,983 unvested stock options with an exercise price equal to the initial public offering price to employees and a director under this Incentive Plan.</w:t>
      </w:r>
    </w:p>
    <w:p>
      <w:pPr>
        <w:spacing w:after="0" w:line="52"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i w:val="1"/>
          <w:iCs w:val="1"/>
          <w:color w:val="auto"/>
        </w:rPr>
        <w:t xml:space="preserve">ESPP. </w:t>
      </w:r>
      <w:r>
        <w:rPr>
          <w:rFonts w:ascii="Arial" w:cs="Arial" w:eastAsia="Arial" w:hAnsi="Arial"/>
          <w:sz w:val="16"/>
          <w:szCs w:val="16"/>
          <w:color w:val="auto"/>
        </w:rPr>
        <w:t>We have authorized and reserved a total of 1,049,984 shares of our common stock for sale under the ESPP.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ESPP provides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(b) 1,049,984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73" w:lineRule="exact"/>
        <w:rPr>
          <w:sz w:val="20"/>
          <w:szCs w:val="20"/>
          <w:color w:val="auto"/>
        </w:rPr>
      </w:pPr>
    </w:p>
    <w:p>
      <w:pPr>
        <w:ind w:left="700" w:right="200" w:firstLine="397"/>
        <w:spacing w:after="0" w:line="288" w:lineRule="auto"/>
        <w:rPr>
          <w:sz w:val="20"/>
          <w:szCs w:val="20"/>
          <w:color w:val="auto"/>
        </w:rPr>
      </w:pPr>
      <w:r>
        <w:rPr>
          <w:rFonts w:ascii="Arial" w:cs="Arial" w:eastAsia="Arial" w:hAnsi="Arial"/>
          <w:sz w:val="16"/>
          <w:szCs w:val="16"/>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w:t>
      </w:r>
    </w:p>
    <w:p>
      <w:pPr>
        <w:jc w:val="both"/>
        <w:ind w:left="700" w:right="220" w:hanging="7"/>
        <w:spacing w:after="0" w:line="255" w:lineRule="auto"/>
        <w:tabs>
          <w:tab w:leader="none" w:pos="9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9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ESPP will be implemented through a series of sequential offering periods, generally three months in duration beginning on the first trading days of February, May, August, and November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92"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8"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maximum number of shares a participant may purchase in any three-month offering period will be the lesser of (a) that number of shares determined by multiplying (i) 100 shares by (ii) the number of months (rounded to the nearest whole month) in the offering period and rounding to the nearest whole share, or (b) that number of whole shares determined by dividing (i) the product of $1,979.17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8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92"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i w:val="1"/>
          <w:iCs w:val="1"/>
          <w:color w:val="auto"/>
        </w:rPr>
        <w:t xml:space="preserve">Executive Employment Agreements. </w:t>
      </w:r>
      <w:r>
        <w:rPr>
          <w:rFonts w:ascii="Arial" w:cs="Arial" w:eastAsia="Arial" w:hAnsi="Arial"/>
          <w:sz w:val="18"/>
          <w:szCs w:val="18"/>
          <w:color w:val="auto"/>
        </w:rPr>
        <w:t>Effective July 1, 2008, we entered into employment agreements with Brian E. Mueller, Daniel</w:t>
      </w:r>
      <w:r>
        <w:rPr>
          <w:rFonts w:ascii="Arial" w:cs="Arial" w:eastAsia="Arial" w:hAnsi="Arial"/>
          <w:sz w:val="18"/>
          <w:szCs w:val="18"/>
          <w:i w:val="1"/>
          <w:iCs w:val="1"/>
          <w:color w:val="auto"/>
        </w:rPr>
        <w:t xml:space="preserve"> </w:t>
      </w:r>
      <w:r>
        <w:rPr>
          <w:rFonts w:ascii="Arial" w:cs="Arial" w:eastAsia="Arial" w:hAnsi="Arial"/>
          <w:sz w:val="18"/>
          <w:szCs w:val="18"/>
          <w:color w:val="auto"/>
        </w:rPr>
        <w:t>E. Bachus, and W. Stan Meyer that govern the terms of their service as our</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Chief Executive Officer, Chief Financial Officer, and Executive Vice President, respectively. Effective September 10, 2008, we entered into new employment agreements with each of Brent D. Richardson and Chris C. Richardson.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94"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agreements with each of Brent Richardson and Chris Richardson provide for a base salary of $297,500, subject to annual review by the Compensation Committee, and entitle each to receive performance bonuses as determined by the board based upon Grand Canyon University’s achievement of performance, budgetary, and other objectives, as set in advance by the board. The agreements do not set a target performance bonus amount and, as discussed elsewhere in this prospectus, although Brent Richardson and Chris Richardson are eligible to participate in the Incentive Plan, we do not anticipate granting any material awards under the Incentive Plan to them and their agreements do not provide for any such awards.</w:t>
      </w:r>
    </w:p>
    <w:p>
      <w:pPr>
        <w:spacing w:after="0" w:line="84"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color w:val="auto"/>
        </w:rPr>
        <w:t>The agreement with Mr. Mueller provides for a base salary of $500,000 per year, subject to annual review by the Compensation Committee,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upon effectiveness of this offering, Mr. Mueller is also entitled to receive (i) a grant of an option to purchase 1,093,288 shares of our common stock, which will vest ratably, on an annual basis, over a five-year period, and</w:t>
      </w:r>
    </w:p>
    <w:p>
      <w:pPr>
        <w:spacing w:after="0" w:line="2" w:lineRule="exact"/>
        <w:rPr>
          <w:sz w:val="20"/>
          <w:szCs w:val="20"/>
          <w:color w:val="auto"/>
        </w:rPr>
      </w:pPr>
    </w:p>
    <w:p>
      <w:pPr>
        <w:ind w:left="700" w:right="680" w:hanging="7"/>
        <w:spacing w:after="0" w:line="261" w:lineRule="auto"/>
        <w:tabs>
          <w:tab w:leader="none" w:pos="9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grant of 109,329 shares of our common stock which shares shall be fully vested on the grant date. The shares subject to the foregoing grants will have a grant or exercise price equal to the initial public offering price.</w:t>
      </w:r>
    </w:p>
    <w:p>
      <w:pPr>
        <w:spacing w:after="0" w:line="89"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agreement with Mr. Bachus provides for a base salary of $275,000 per year, subject to annual review by the Compensation Committee,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upon effectiveness of this offering, Mr. Bachus is also entitled to receive a grant of an option to purchase 393,584 shares of our common stock, which will vest ratably, on an annual basis, over a five-year period and will have an exercise price equal to the initial public offering price.</w:t>
      </w:r>
    </w:p>
    <w:p>
      <w:pPr>
        <w:spacing w:after="0" w:line="84"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agreement with Mr. Meyer provides for a base salary of $300,000 per year, subject to annual review by the Compensation Committee,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upon effectiveness of this offering, Mr. Meyer is also entitled to receive a grant of an option to purchase 437,315 shares of our common stock, which will vest ratably, on an annual basis, over a five-year period and will have an exercise price equal to the initial public offering price.</w:t>
      </w:r>
    </w:p>
    <w:p>
      <w:pPr>
        <w:spacing w:after="0" w:line="84"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6" w:lineRule="exact"/>
        <w:rPr>
          <w:sz w:val="20"/>
          <w:szCs w:val="20"/>
          <w:color w:val="auto"/>
        </w:rPr>
      </w:pPr>
    </w:p>
    <w:p>
      <w:pPr>
        <w:ind w:left="700" w:right="280" w:firstLine="397"/>
        <w:spacing w:after="0" w:line="291" w:lineRule="auto"/>
        <w:rPr>
          <w:sz w:val="20"/>
          <w:szCs w:val="20"/>
          <w:color w:val="auto"/>
        </w:rPr>
      </w:pPr>
      <w:r>
        <w:rPr>
          <w:rFonts w:ascii="Arial" w:cs="Arial" w:eastAsia="Arial" w:hAnsi="Arial"/>
          <w:sz w:val="16"/>
          <w:szCs w:val="16"/>
          <w:color w:val="auto"/>
        </w:rPr>
        <w:t>The agreements prohibit the executives from engaging in any work that creates an actual conflict of interest with us, and include customary non-competition and non-solicitation covenants that prohibit the executives, during their employment with us and for</w:t>
      </w:r>
    </w:p>
    <w:p>
      <w:pPr>
        <w:ind w:left="700" w:right="60"/>
        <w:spacing w:after="0" w:line="252" w:lineRule="auto"/>
        <w:rPr>
          <w:sz w:val="20"/>
          <w:szCs w:val="20"/>
          <w:color w:val="auto"/>
        </w:rPr>
      </w:pPr>
      <w:r>
        <w:rPr>
          <w:rFonts w:ascii="Arial" w:cs="Arial" w:eastAsia="Arial" w:hAnsi="Arial"/>
          <w:sz w:val="18"/>
          <w:szCs w:val="18"/>
          <w:color w:val="auto"/>
        </w:rPr>
        <w:t>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w:t>
      </w:r>
    </w:p>
    <w:p>
      <w:pPr>
        <w:spacing w:after="0" w:line="3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9" w:lineRule="auto"/>
        <w:rPr>
          <w:sz w:val="20"/>
          <w:szCs w:val="20"/>
          <w:color w:val="auto"/>
        </w:rPr>
      </w:pPr>
      <w:r>
        <w:rPr>
          <w:rFonts w:ascii="Arial" w:cs="Arial" w:eastAsia="Arial" w:hAnsi="Arial"/>
          <w:sz w:val="17"/>
          <w:szCs w:val="17"/>
          <w:color w:val="auto"/>
        </w:rPr>
        <w:t>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77"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 12 months of COBRA premiums, and partial acceleration of the vesting of their stock options to the next vesting date. If, within the 12 months after a change in control (as defined in the agreement), the executives are terminated other than for cause or they resign for good reason, they shall be entitled to the same severance package as described above for similar separation reasons, plus the full vesting of all stock options held by the executives.</w:t>
      </w:r>
    </w:p>
    <w:p>
      <w:pPr>
        <w:spacing w:after="0" w:line="72"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i w:val="1"/>
          <w:iCs w:val="1"/>
          <w:color w:val="auto"/>
        </w:rPr>
        <w:t xml:space="preserve">Named Executive Officer Salary Adjustments. </w:t>
      </w:r>
      <w:r>
        <w:rPr>
          <w:rFonts w:ascii="Arial" w:cs="Arial" w:eastAsia="Arial" w:hAnsi="Arial"/>
          <w:sz w:val="18"/>
          <w:szCs w:val="18"/>
          <w:color w:val="auto"/>
        </w:rPr>
        <w:t>Effective January 1, 2008, the base salary of each of Brent Richardson, John</w:t>
      </w:r>
      <w:r>
        <w:rPr>
          <w:rFonts w:ascii="Arial" w:cs="Arial" w:eastAsia="Arial" w:hAnsi="Arial"/>
          <w:sz w:val="18"/>
          <w:szCs w:val="18"/>
          <w:i w:val="1"/>
          <w:iCs w:val="1"/>
          <w:color w:val="auto"/>
        </w:rPr>
        <w:t xml:space="preserve"> </w:t>
      </w:r>
      <w:r>
        <w:rPr>
          <w:rFonts w:ascii="Arial" w:cs="Arial" w:eastAsia="Arial" w:hAnsi="Arial"/>
          <w:sz w:val="18"/>
          <w:szCs w:val="18"/>
          <w:color w:val="auto"/>
        </w:rPr>
        <w:t>Crowley, and Chris Richardson was increased by $5,000 per year to $297,500.</w:t>
      </w:r>
    </w:p>
    <w:p>
      <w:pPr>
        <w:spacing w:after="0" w:line="76"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Other than as described above, there have been no other material changes to items of compensation applicable to our named executive officers or directors for fiscal 2008.</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The following table sets forth the total compensation earned for services rendered during fiscal year 2007 by our named executive officers.</w:t>
      </w:r>
    </w:p>
    <w:p>
      <w:pPr>
        <w:spacing w:after="0" w:line="12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2007 SUMMARY COMPENSATION TABLE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Bonus</w:t>
            </w:r>
            <w:r>
              <w:rPr>
                <w:rFonts w:ascii="Arial" w:cs="Arial" w:eastAsia="Arial" w:hAnsi="Arial"/>
                <w:sz w:val="12"/>
                <w:szCs w:val="12"/>
                <w:b w:val="1"/>
                <w:bCs w:val="1"/>
                <w:color w:val="auto"/>
                <w:w w:val="89"/>
              </w:rPr>
              <w:t>(2)</w:t>
            </w:r>
          </w:p>
        </w:tc>
        <w:tc>
          <w:tcPr>
            <w:tcW w:w="156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15,312</w:t>
            </w:r>
            <w:r>
              <w:rPr>
                <w:rFonts w:ascii="Arial" w:cs="Arial" w:eastAsia="Arial" w:hAnsi="Arial"/>
                <w:sz w:val="24"/>
                <w:szCs w:val="24"/>
                <w:color w:val="auto"/>
                <w:vertAlign w:val="subscript"/>
              </w:rPr>
              <w:t>(3)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John E. Crowley</w:t>
            </w:r>
          </w:p>
        </w:tc>
        <w:tc>
          <w:tcPr>
            <w:tcW w:w="6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84"/>
              </w:rPr>
              <w:t>2007</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292,019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7"/>
              </w:rPr>
              <w:t>14,000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306,019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General Counsel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Timothy R. Fischer</w:t>
            </w:r>
            <w:r>
              <w:rPr>
                <w:rFonts w:ascii="Arial" w:cs="Arial" w:eastAsia="Arial" w:hAnsi="Arial"/>
                <w:sz w:val="15"/>
                <w:szCs w:val="15"/>
                <w:color w:val="auto"/>
              </w:rPr>
              <w:t>(4)</w:t>
            </w:r>
          </w:p>
        </w:tc>
        <w:tc>
          <w:tcPr>
            <w:tcW w:w="6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84"/>
              </w:rPr>
              <w:t>2007</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194,500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7"/>
              </w:rPr>
              <w:t>25,000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219,500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Administrative Officer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Lacrosse</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Information Officer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-1508760</wp:posOffset>
            </wp:positionV>
            <wp:extent cx="260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440" w:hanging="301"/>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Brent Richardson, John Crowley, and Chris Richardson, represents the minimum base salary payable under their respective employment agreements of $250,000, as adjusted for fiscal year 2007 by the board of directors.</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cash bonuses awarded to the recipients by the board of directors on a discretionary basis.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value of lease payments made by Grand Canyon University on a vehicle utilized by Mr. Richardson.</w:t>
      </w:r>
    </w:p>
    <w:p>
      <w:pPr>
        <w:spacing w:after="0" w:line="63" w:lineRule="exact"/>
        <w:rPr>
          <w:rFonts w:ascii="Arial" w:cs="Arial" w:eastAsia="Arial" w:hAnsi="Arial"/>
          <w:sz w:val="18"/>
          <w:szCs w:val="18"/>
          <w:color w:val="auto"/>
        </w:rPr>
      </w:pPr>
    </w:p>
    <w:p>
      <w:pPr>
        <w:ind w:left="1000" w:right="280" w:hanging="301"/>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Fischer was appointed our Chief Administrative Officer effective July 1, 2008. During 2007, he served as our Chief Financial Officer.</w:t>
      </w:r>
    </w:p>
    <w:p>
      <w:pPr>
        <w:spacing w:after="0" w:line="3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We were a party to employment agreements with Brent D. Richardson, John E. Crowley, and Christopher C. Richardson relating to 2007 compensation. In 2008, we entered into employment agreements with Brian E. Mueller, Daniel E. Bachus, and W. Stan Meyer and new employment agreements with Brent D. Richardson and Chris C. Richardson.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new agreements with Brent and Chris Richardson and the agreements with Messrs. Mueller, Bachus, and Meyer.</w:t>
      </w:r>
    </w:p>
    <w:p>
      <w:pPr>
        <w:spacing w:after="0" w:line="70"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i w:val="1"/>
          <w:iCs w:val="1"/>
          <w:color w:val="auto"/>
        </w:rPr>
        <w:t xml:space="preserve">Agreement with Brent D. Richardson. </w:t>
      </w:r>
      <w:r>
        <w:rPr>
          <w:rFonts w:ascii="Arial" w:cs="Arial" w:eastAsia="Arial" w:hAnsi="Arial"/>
          <w:sz w:val="16"/>
          <w:szCs w:val="16"/>
          <w:color w:val="auto"/>
        </w:rPr>
        <w:t>Effective August 24, 2005, we and Brent Richardson entered into an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remains in effect until 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9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i w:val="1"/>
          <w:iCs w:val="1"/>
          <w:color w:val="auto"/>
        </w:rPr>
        <w:t xml:space="preserve">Agreement with John E. Crowley. </w:t>
      </w:r>
      <w:r>
        <w:rPr>
          <w:rFonts w:ascii="Arial" w:cs="Arial" w:eastAsia="Arial" w:hAnsi="Arial"/>
          <w:sz w:val="18"/>
          <w:szCs w:val="18"/>
          <w:color w:val="auto"/>
        </w:rPr>
        <w:t>Effective August 24, 2005, we and John Crowley entered into an employment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remains in effect until Mr. Crowley’s 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100"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i w:val="1"/>
          <w:iCs w:val="1"/>
          <w:color w:val="auto"/>
        </w:rPr>
        <w:t xml:space="preserve">Agreement with Christopher C. Richardson. </w:t>
      </w:r>
      <w:r>
        <w:rPr>
          <w:rFonts w:ascii="Arial" w:cs="Arial" w:eastAsia="Arial" w:hAnsi="Arial"/>
          <w:sz w:val="18"/>
          <w:szCs w:val="18"/>
          <w:color w:val="auto"/>
        </w:rPr>
        <w:t>Effective August 24, 2005, we and Chris Richardson entered into an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agreement with Chris Richardson contains substantially the same terms as the agreement with John Crowley. The agreement also provides for certain benefits upon separation as further described in the “Severance and Change of Control Payments” section below.</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20" w:firstLine="397"/>
        <w:spacing w:after="0" w:line="272" w:lineRule="auto"/>
        <w:rPr>
          <w:sz w:val="20"/>
          <w:szCs w:val="20"/>
          <w:color w:val="auto"/>
        </w:rPr>
      </w:pPr>
      <w:r>
        <w:rPr>
          <w:rFonts w:ascii="Arial" w:cs="Arial" w:eastAsia="Arial" w:hAnsi="Arial"/>
          <w:sz w:val="17"/>
          <w:szCs w:val="17"/>
          <w:i w:val="1"/>
          <w:iCs w:val="1"/>
          <w:color w:val="auto"/>
        </w:rPr>
        <w:t xml:space="preserve">Severance and Change of Control Payments. </w:t>
      </w:r>
      <w:r>
        <w:rPr>
          <w:rFonts w:ascii="Arial" w:cs="Arial" w:eastAsia="Arial" w:hAnsi="Arial"/>
          <w:sz w:val="17"/>
          <w:szCs w:val="17"/>
          <w:color w:val="auto"/>
        </w:rPr>
        <w:t>The employment agreements with Brent Richardson, John Crowley, and Chris</w:t>
      </w:r>
      <w:r>
        <w:rPr>
          <w:rFonts w:ascii="Arial" w:cs="Arial" w:eastAsia="Arial" w:hAnsi="Arial"/>
          <w:sz w:val="17"/>
          <w:szCs w:val="17"/>
          <w:i w:val="1"/>
          <w:iCs w:val="1"/>
          <w:color w:val="auto"/>
        </w:rPr>
        <w:t xml:space="preserve"> </w:t>
      </w:r>
      <w:r>
        <w:rPr>
          <w:rFonts w:ascii="Arial" w:cs="Arial" w:eastAsia="Arial" w:hAnsi="Arial"/>
          <w:sz w:val="17"/>
          <w:szCs w:val="17"/>
          <w:color w:val="auto"/>
        </w:rPr>
        <w:t>Richardson entitle them to certain severance payments 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1060"/>
          </w:cols>
          <w:pgMar w:left="240" w:top="419" w:right="599" w:bottom="1440" w:gutter="0" w:footer="0" w:header="0"/>
        </w:sectPr>
      </w:pP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Named Executive</w:t>
            </w: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120" w:type="dxa"/>
            <w:vAlign w:val="bottom"/>
          </w:tcPr>
          <w:p>
            <w:pPr>
              <w:spacing w:after="0"/>
              <w:rPr>
                <w:sz w:val="14"/>
                <w:szCs w:val="14"/>
                <w:color w:val="auto"/>
              </w:rPr>
            </w:pP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Triggering Event</w:t>
            </w:r>
            <w:r>
              <w:rPr>
                <w:rFonts w:ascii="Arial" w:cs="Arial" w:eastAsia="Arial" w:hAnsi="Arial"/>
                <w:sz w:val="12"/>
                <w:szCs w:val="12"/>
                <w:b w:val="1"/>
                <w:bCs w:val="1"/>
                <w:color w:val="auto"/>
              </w:rPr>
              <w:t>(1)(2)</w:t>
            </w:r>
          </w:p>
        </w:tc>
      </w:tr>
      <w:tr>
        <w:trPr>
          <w:trHeight w:val="177"/>
        </w:trPr>
        <w:tc>
          <w:tcPr>
            <w:tcW w:w="2380" w:type="dxa"/>
            <w:vAlign w:val="bottom"/>
          </w:tcPr>
          <w:p>
            <w:pPr>
              <w:spacing w:after="0"/>
              <w:rPr>
                <w:sz w:val="20"/>
                <w:szCs w:val="20"/>
                <w:color w:val="auto"/>
              </w:rPr>
            </w:pPr>
            <w:r>
              <w:rPr>
                <w:rFonts w:ascii="Arial" w:cs="Arial" w:eastAsia="Arial" w:hAnsi="Arial"/>
                <w:sz w:val="14"/>
                <w:szCs w:val="14"/>
                <w:color w:val="auto"/>
              </w:rPr>
              <w:t>Brent Richardson</w:t>
            </w: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Separation by Mr. Richardson</w:t>
            </w:r>
          </w:p>
        </w:tc>
      </w:tr>
      <w:tr>
        <w:trPr>
          <w:trHeight w:val="149"/>
        </w:trPr>
        <w:tc>
          <w:tcPr>
            <w:tcW w:w="2380" w:type="dxa"/>
            <w:vAlign w:val="bottom"/>
          </w:tcPr>
          <w:p>
            <w:pPr>
              <w:spacing w:after="0"/>
              <w:rPr>
                <w:sz w:val="12"/>
                <w:szCs w:val="12"/>
                <w:color w:val="auto"/>
              </w:rPr>
            </w:pPr>
          </w:p>
        </w:tc>
        <w:tc>
          <w:tcPr>
            <w:tcW w:w="2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 “Good Reason” or</w:t>
            </w:r>
          </w:p>
        </w:tc>
      </w:tr>
      <w:tr>
        <w:trPr>
          <w:trHeight w:val="149"/>
        </w:trPr>
        <w:tc>
          <w:tcPr>
            <w:tcW w:w="2380" w:type="dxa"/>
            <w:vAlign w:val="bottom"/>
          </w:tcPr>
          <w:p>
            <w:pPr>
              <w:spacing w:after="0"/>
              <w:rPr>
                <w:sz w:val="12"/>
                <w:szCs w:val="12"/>
                <w:color w:val="auto"/>
              </w:rPr>
            </w:pPr>
          </w:p>
        </w:tc>
        <w:tc>
          <w:tcPr>
            <w:tcW w:w="2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termination by us without</w:t>
            </w:r>
          </w:p>
        </w:tc>
      </w:tr>
      <w:tr>
        <w:trPr>
          <w:trHeight w:val="182"/>
        </w:trPr>
        <w:tc>
          <w:tcPr>
            <w:tcW w:w="2380" w:type="dxa"/>
            <w:vAlign w:val="bottom"/>
          </w:tcPr>
          <w:p>
            <w:pPr>
              <w:spacing w:after="0"/>
              <w:rPr>
                <w:sz w:val="15"/>
                <w:szCs w:val="15"/>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“Cause”</w:t>
            </w: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2007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Continued payment of base salary and provision of benefits for 12 months following separation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Material Conditions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Potential Value</w:t>
            </w:r>
            <w:r>
              <w:rPr>
                <w:rFonts w:ascii="Arial" w:cs="Arial" w:eastAsia="Arial" w:hAnsi="Arial"/>
                <w:sz w:val="12"/>
                <w:szCs w:val="12"/>
                <w:b w:val="1"/>
                <w:bCs w:val="1"/>
                <w:color w:val="auto"/>
              </w:rPr>
              <w:t>(3)</w:t>
            </w:r>
          </w:p>
        </w:tc>
      </w:tr>
      <w:tr>
        <w:trPr>
          <w:trHeight w:val="177"/>
        </w:trPr>
        <w:tc>
          <w:tcPr>
            <w:tcW w:w="1880" w:type="dxa"/>
            <w:vAlign w:val="bottom"/>
          </w:tcPr>
          <w:p>
            <w:pPr>
              <w:spacing w:after="0"/>
              <w:rPr>
                <w:sz w:val="20"/>
                <w:szCs w:val="20"/>
                <w:color w:val="auto"/>
              </w:rPr>
            </w:pPr>
            <w:r>
              <w:rPr>
                <w:rFonts w:ascii="Arial" w:cs="Arial" w:eastAsia="Arial" w:hAnsi="Arial"/>
                <w:sz w:val="14"/>
                <w:szCs w:val="14"/>
                <w:color w:val="auto"/>
              </w:rPr>
              <w:t>Mr. Richardson must abide by</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68"/>
              <w:spacing w:after="0"/>
              <w:rPr>
                <w:sz w:val="20"/>
                <w:szCs w:val="20"/>
                <w:color w:val="auto"/>
              </w:rPr>
            </w:pPr>
            <w:r>
              <w:rPr>
                <w:rFonts w:ascii="Arial" w:cs="Arial" w:eastAsia="Arial" w:hAnsi="Arial"/>
                <w:sz w:val="14"/>
                <w:szCs w:val="14"/>
                <w:color w:val="auto"/>
              </w:rPr>
              <w:t>300,373</w:t>
            </w: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the confidentiality, non-</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competition, non-solicitation</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and non-disparagement</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6"/>
              </w:rPr>
              <w:t>covenants discussed above for</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2"/>
        </w:trPr>
        <w:tc>
          <w:tcPr>
            <w:tcW w:w="1880" w:type="dxa"/>
            <w:vAlign w:val="bottom"/>
          </w:tcPr>
          <w:p>
            <w:pPr>
              <w:spacing w:after="0"/>
              <w:rPr>
                <w:sz w:val="20"/>
                <w:szCs w:val="20"/>
                <w:color w:val="auto"/>
              </w:rPr>
            </w:pPr>
            <w:r>
              <w:rPr>
                <w:rFonts w:ascii="Arial" w:cs="Arial" w:eastAsia="Arial" w:hAnsi="Arial"/>
                <w:sz w:val="14"/>
                <w:szCs w:val="14"/>
                <w:color w:val="auto"/>
              </w:rPr>
              <w:t>24 months</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-617855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3">
            <w:col w:w="5080" w:space="200"/>
            <w:col w:w="1820" w:space="280"/>
            <w:col w:w="3680"/>
          </w:cols>
          <w:pgMar w:left="240" w:top="419" w:right="599" w:bottom="1440" w:gutter="0" w:footer="0" w:header="0"/>
          <w:type w:val="continuous"/>
        </w:sectPr>
      </w:pPr>
    </w:p>
    <w:p>
      <w:pPr>
        <w:ind w:left="3200"/>
        <w:spacing w:after="0"/>
        <w:rPr>
          <w:sz w:val="20"/>
          <w:szCs w:val="20"/>
          <w:color w:val="auto"/>
        </w:rPr>
      </w:pPr>
      <w:r>
        <w:rPr>
          <w:rFonts w:ascii="Arial" w:cs="Arial" w:eastAsia="Arial" w:hAnsi="Arial"/>
          <w:sz w:val="13"/>
          <w:szCs w:val="13"/>
          <w:color w:val="auto"/>
        </w:rPr>
        <w:t>Termination by us for “Cause,”</w:t>
      </w:r>
    </w:p>
    <w:p>
      <w:pPr>
        <w:ind w:left="3200"/>
        <w:spacing w:after="0" w:line="237" w:lineRule="auto"/>
        <w:rPr>
          <w:sz w:val="20"/>
          <w:szCs w:val="20"/>
          <w:color w:val="auto"/>
        </w:rPr>
      </w:pPr>
      <w:r>
        <w:rPr>
          <w:rFonts w:ascii="Arial" w:cs="Arial" w:eastAsia="Arial" w:hAnsi="Arial"/>
          <w:sz w:val="14"/>
          <w:szCs w:val="14"/>
          <w:color w:val="auto"/>
        </w:rPr>
        <w:t>death or disability of Mr.</w:t>
      </w:r>
    </w:p>
    <w:p>
      <w:pPr>
        <w:ind w:left="3200"/>
        <w:spacing w:after="0"/>
        <w:rPr>
          <w:sz w:val="20"/>
          <w:szCs w:val="20"/>
          <w:color w:val="auto"/>
        </w:rPr>
      </w:pPr>
      <w:r>
        <w:rPr>
          <w:rFonts w:ascii="Arial" w:cs="Arial" w:eastAsia="Arial" w:hAnsi="Arial"/>
          <w:sz w:val="13"/>
          <w:szCs w:val="13"/>
          <w:color w:val="auto"/>
        </w:rPr>
        <w:t>Richardson, separation by Mr.</w:t>
      </w:r>
    </w:p>
    <w:p>
      <w:pPr>
        <w:ind w:left="3200"/>
        <w:spacing w:after="0" w:line="221" w:lineRule="auto"/>
        <w:rPr>
          <w:sz w:val="20"/>
          <w:szCs w:val="20"/>
          <w:color w:val="auto"/>
        </w:rPr>
      </w:pPr>
      <w:r>
        <w:rPr>
          <w:rFonts w:ascii="Arial" w:cs="Arial" w:eastAsia="Arial" w:hAnsi="Arial"/>
          <w:sz w:val="14"/>
          <w:szCs w:val="14"/>
          <w:color w:val="auto"/>
        </w:rPr>
        <w:t>Richardson without “Good</w:t>
      </w:r>
    </w:p>
    <w:p>
      <w:pPr>
        <w:ind w:left="3200"/>
        <w:spacing w:after="0" w:line="221" w:lineRule="auto"/>
        <w:rPr>
          <w:sz w:val="20"/>
          <w:szCs w:val="20"/>
          <w:color w:val="auto"/>
        </w:rPr>
      </w:pPr>
      <w:r>
        <w:rPr>
          <w:rFonts w:ascii="Arial" w:cs="Arial" w:eastAsia="Arial" w:hAnsi="Arial"/>
          <w:sz w:val="14"/>
          <w:szCs w:val="14"/>
          <w:color w:val="auto"/>
        </w:rPr>
        <w:t>Reason,” or sale of Grand</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Canyon University</w:t>
      </w:r>
    </w:p>
    <w:p>
      <w:pPr>
        <w:spacing w:after="0" w:line="20" w:lineRule="exact"/>
        <w:rPr>
          <w:sz w:val="20"/>
          <w:szCs w:val="20"/>
          <w:color w:val="auto"/>
        </w:rPr>
      </w:pPr>
      <w:r>
        <w:rPr>
          <w:sz w:val="20"/>
          <w:szCs w:val="20"/>
          <w:color w:val="auto"/>
        </w:rPr>
        <w:br w:type="column"/>
      </w:r>
    </w:p>
    <w:p>
      <w:pPr>
        <w:spacing w:after="0"/>
        <w:tabs>
          <w:tab w:leader="none" w:pos="2080" w:val="left"/>
          <w:tab w:leader="none" w:pos="4900" w:val="left"/>
        </w:tabs>
        <w:rPr>
          <w:sz w:val="20"/>
          <w:szCs w:val="20"/>
          <w:color w:val="auto"/>
        </w:rPr>
      </w:pPr>
      <w:r>
        <w:rPr>
          <w:rFonts w:ascii="Arial" w:cs="Arial" w:eastAsia="Arial" w:hAnsi="Arial"/>
          <w:sz w:val="14"/>
          <w:szCs w:val="14"/>
          <w:color w:val="auto"/>
        </w:rPr>
        <w:t>No severance payments, but Mr.</w:t>
      </w:r>
      <w:r>
        <w:rPr>
          <w:sz w:val="20"/>
          <w:szCs w:val="20"/>
          <w:color w:val="auto"/>
        </w:rPr>
        <w:tab/>
      </w:r>
      <w:r>
        <w:rPr>
          <w:rFonts w:ascii="Arial" w:cs="Arial" w:eastAsia="Arial" w:hAnsi="Arial"/>
          <w:sz w:val="14"/>
          <w:szCs w:val="14"/>
          <w:color w:val="auto"/>
        </w:rPr>
        <w:t>See above</w:t>
      </w:r>
      <w:r>
        <w:rPr>
          <w:sz w:val="20"/>
          <w:szCs w:val="20"/>
          <w:color w:val="auto"/>
        </w:rPr>
        <w:tab/>
      </w:r>
      <w:r>
        <w:rPr>
          <w:rFonts w:ascii="Arial" w:cs="Arial" w:eastAsia="Arial" w:hAnsi="Arial"/>
          <w:sz w:val="12"/>
          <w:szCs w:val="12"/>
          <w:color w:val="auto"/>
        </w:rPr>
        <w:t>8,354</w:t>
      </w:r>
    </w:p>
    <w:p>
      <w:pPr>
        <w:spacing w:after="0" w:line="221" w:lineRule="auto"/>
        <w:rPr>
          <w:sz w:val="20"/>
          <w:szCs w:val="20"/>
          <w:color w:val="auto"/>
        </w:rPr>
      </w:pPr>
      <w:r>
        <w:rPr>
          <w:rFonts w:ascii="Arial" w:cs="Arial" w:eastAsia="Arial" w:hAnsi="Arial"/>
          <w:sz w:val="14"/>
          <w:szCs w:val="14"/>
          <w:color w:val="auto"/>
        </w:rPr>
        <w:t>Richardson will receive benefits</w:t>
      </w:r>
    </w:p>
    <w:p>
      <w:pPr>
        <w:spacing w:after="0" w:line="221" w:lineRule="auto"/>
        <w:rPr>
          <w:sz w:val="20"/>
          <w:szCs w:val="20"/>
          <w:color w:val="auto"/>
        </w:rPr>
      </w:pPr>
      <w:r>
        <w:rPr>
          <w:rFonts w:ascii="Arial" w:cs="Arial" w:eastAsia="Arial" w:hAnsi="Arial"/>
          <w:sz w:val="14"/>
          <w:szCs w:val="14"/>
          <w:color w:val="auto"/>
        </w:rPr>
        <w:t>as determined in accordance</w:t>
      </w:r>
    </w:p>
    <w:p>
      <w:pPr>
        <w:spacing w:after="0" w:line="222" w:lineRule="auto"/>
        <w:rPr>
          <w:sz w:val="20"/>
          <w:szCs w:val="20"/>
          <w:color w:val="auto"/>
        </w:rPr>
      </w:pPr>
      <w:r>
        <w:rPr>
          <w:rFonts w:ascii="Arial" w:cs="Arial" w:eastAsia="Arial" w:hAnsi="Arial"/>
          <w:sz w:val="14"/>
          <w:szCs w:val="14"/>
          <w:color w:val="auto"/>
        </w:rPr>
        <w:t>with the plans or programs</w:t>
      </w:r>
    </w:p>
    <w:p>
      <w:pPr>
        <w:spacing w:after="0"/>
        <w:rPr>
          <w:sz w:val="20"/>
          <w:szCs w:val="20"/>
          <w:color w:val="auto"/>
        </w:rPr>
      </w:pPr>
      <w:r>
        <w:rPr>
          <w:rFonts w:ascii="Arial" w:cs="Arial" w:eastAsia="Arial" w:hAnsi="Arial"/>
          <w:sz w:val="14"/>
          <w:szCs w:val="14"/>
          <w:color w:val="auto"/>
        </w:rPr>
        <w:t>providing for such benefits</w:t>
      </w:r>
    </w:p>
    <w:p>
      <w:pPr>
        <w:spacing w:after="0" w:line="327" w:lineRule="exact"/>
        <w:rPr>
          <w:sz w:val="20"/>
          <w:szCs w:val="20"/>
          <w:color w:val="auto"/>
        </w:rPr>
      </w:pPr>
    </w:p>
    <w:p>
      <w:pPr>
        <w:sectPr>
          <w:pgSz w:w="11900" w:h="16838" w:orient="portrait"/>
          <w:cols w:equalWidth="0" w:num="2">
            <w:col w:w="5000" w:space="280"/>
            <w:col w:w="5780"/>
          </w:cols>
          <w:pgMar w:left="240" w:top="419" w:right="599" w:bottom="1440" w:gutter="0" w:footer="0" w:header="0"/>
          <w:type w:val="continuous"/>
        </w:sectPr>
      </w:pPr>
    </w:p>
    <w:p>
      <w:pPr>
        <w:spacing w:after="0" w:line="12" w:lineRule="exact"/>
        <w:rPr>
          <w:sz w:val="20"/>
          <w:szCs w:val="20"/>
          <w:color w:val="auto"/>
        </w:rPr>
      </w:pPr>
    </w:p>
    <w:p>
      <w:pPr>
        <w:ind w:left="700"/>
        <w:spacing w:after="0"/>
        <w:tabs>
          <w:tab w:leader="none" w:pos="3180" w:val="left"/>
        </w:tabs>
        <w:rPr>
          <w:sz w:val="20"/>
          <w:szCs w:val="20"/>
          <w:color w:val="auto"/>
        </w:rPr>
      </w:pPr>
      <w:r>
        <w:rPr>
          <w:rFonts w:ascii="Arial" w:cs="Arial" w:eastAsia="Arial" w:hAnsi="Arial"/>
          <w:sz w:val="14"/>
          <w:szCs w:val="14"/>
          <w:color w:val="auto"/>
        </w:rPr>
        <w:t>John Crowley</w:t>
      </w:r>
      <w:r>
        <w:rPr>
          <w:sz w:val="20"/>
          <w:szCs w:val="20"/>
          <w:color w:val="auto"/>
        </w:rPr>
        <w:tab/>
      </w:r>
      <w:r>
        <w:rPr>
          <w:rFonts w:ascii="Arial" w:cs="Arial" w:eastAsia="Arial" w:hAnsi="Arial"/>
          <w:sz w:val="13"/>
          <w:szCs w:val="13"/>
          <w:color w:val="auto"/>
        </w:rPr>
        <w:t>Separation by Mr. Crowley for</w:t>
      </w:r>
    </w:p>
    <w:p>
      <w:pPr>
        <w:ind w:left="3200"/>
        <w:spacing w:after="0"/>
        <w:rPr>
          <w:sz w:val="20"/>
          <w:szCs w:val="20"/>
          <w:color w:val="auto"/>
        </w:rPr>
      </w:pPr>
      <w:r>
        <w:rPr>
          <w:rFonts w:ascii="Arial" w:cs="Arial" w:eastAsia="Arial" w:hAnsi="Arial"/>
          <w:sz w:val="13"/>
          <w:szCs w:val="13"/>
          <w:color w:val="auto"/>
        </w:rPr>
        <w:t>“Good Reason” or termination</w:t>
      </w:r>
    </w:p>
    <w:p>
      <w:pPr>
        <w:ind w:left="3200"/>
        <w:spacing w:after="0"/>
        <w:rPr>
          <w:sz w:val="20"/>
          <w:szCs w:val="20"/>
          <w:color w:val="auto"/>
        </w:rPr>
      </w:pPr>
      <w:r>
        <w:rPr>
          <w:rFonts w:ascii="Arial" w:cs="Arial" w:eastAsia="Arial" w:hAnsi="Arial"/>
          <w:sz w:val="14"/>
          <w:szCs w:val="14"/>
          <w:color w:val="auto"/>
        </w:rPr>
        <w:t>by us without “Cause”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Termination by us for “Cause,”</w:t>
      </w:r>
    </w:p>
    <w:p>
      <w:pPr>
        <w:ind w:left="3200"/>
        <w:spacing w:after="0" w:line="237" w:lineRule="auto"/>
        <w:rPr>
          <w:sz w:val="20"/>
          <w:szCs w:val="20"/>
          <w:color w:val="auto"/>
        </w:rPr>
      </w:pPr>
      <w:r>
        <w:rPr>
          <w:rFonts w:ascii="Arial" w:cs="Arial" w:eastAsia="Arial" w:hAnsi="Arial"/>
          <w:sz w:val="14"/>
          <w:szCs w:val="14"/>
          <w:color w:val="auto"/>
        </w:rPr>
        <w:t>death or disability of Mr.</w:t>
      </w:r>
    </w:p>
    <w:p>
      <w:pPr>
        <w:ind w:left="3200"/>
        <w:spacing w:after="0" w:line="222" w:lineRule="auto"/>
        <w:rPr>
          <w:sz w:val="20"/>
          <w:szCs w:val="20"/>
          <w:color w:val="auto"/>
        </w:rPr>
      </w:pPr>
      <w:r>
        <w:rPr>
          <w:rFonts w:ascii="Arial" w:cs="Arial" w:eastAsia="Arial" w:hAnsi="Arial"/>
          <w:sz w:val="14"/>
          <w:szCs w:val="14"/>
          <w:color w:val="auto"/>
        </w:rPr>
        <w:t>Crowley, separation by Mr.</w:t>
      </w:r>
    </w:p>
    <w:p>
      <w:pPr>
        <w:ind w:left="3200"/>
        <w:spacing w:after="0" w:line="221" w:lineRule="auto"/>
        <w:rPr>
          <w:sz w:val="20"/>
          <w:szCs w:val="20"/>
          <w:color w:val="auto"/>
        </w:rPr>
      </w:pPr>
      <w:r>
        <w:rPr>
          <w:rFonts w:ascii="Arial" w:cs="Arial" w:eastAsia="Arial" w:hAnsi="Arial"/>
          <w:sz w:val="14"/>
          <w:szCs w:val="14"/>
          <w:color w:val="auto"/>
        </w:rPr>
        <w:t>Crowley without “Good</w:t>
      </w:r>
    </w:p>
    <w:p>
      <w:pPr>
        <w:ind w:left="3200"/>
        <w:spacing w:after="0" w:line="222" w:lineRule="auto"/>
        <w:rPr>
          <w:sz w:val="20"/>
          <w:szCs w:val="20"/>
          <w:color w:val="auto"/>
        </w:rPr>
      </w:pPr>
      <w:r>
        <w:rPr>
          <w:rFonts w:ascii="Arial" w:cs="Arial" w:eastAsia="Arial" w:hAnsi="Arial"/>
          <w:sz w:val="14"/>
          <w:szCs w:val="14"/>
          <w:color w:val="auto"/>
        </w:rPr>
        <w:t>Reason,” or sale of Grand</w:t>
      </w:r>
    </w:p>
    <w:p>
      <w:pPr>
        <w:ind w:left="3200"/>
        <w:spacing w:after="0"/>
        <w:rPr>
          <w:sz w:val="20"/>
          <w:szCs w:val="20"/>
          <w:color w:val="auto"/>
        </w:rPr>
      </w:pPr>
      <w:r>
        <w:rPr>
          <w:rFonts w:ascii="Arial" w:cs="Arial" w:eastAsia="Arial" w:hAnsi="Arial"/>
          <w:sz w:val="14"/>
          <w:szCs w:val="14"/>
          <w:color w:val="auto"/>
        </w:rPr>
        <w:t>Canyon University</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3"/>
          <w:szCs w:val="13"/>
          <w:color w:val="auto"/>
        </w:rPr>
        <w:t>Continued payment of base salary and provision of benefits for six months following separation, with the option by us to extend such payments (and related benefits) for up to</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12 months following separation</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No severance payments, but Mr. Crowley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color w:val="auto"/>
              </w:rPr>
              <w:t>Mr. Crowley must abide by the</w:t>
            </w:r>
          </w:p>
        </w:tc>
        <w:tc>
          <w:tcPr>
            <w:tcW w:w="880" w:type="dxa"/>
            <w:vAlign w:val="bottom"/>
          </w:tcPr>
          <w:p>
            <w:pPr>
              <w:jc w:val="right"/>
              <w:spacing w:after="0"/>
              <w:rPr>
                <w:sz w:val="20"/>
                <w:szCs w:val="20"/>
                <w:color w:val="auto"/>
              </w:rPr>
            </w:pPr>
            <w:r>
              <w:rPr>
                <w:rFonts w:ascii="Arial" w:cs="Arial" w:eastAsia="Arial" w:hAnsi="Arial"/>
                <w:sz w:val="14"/>
                <w:szCs w:val="14"/>
                <w:color w:val="auto"/>
              </w:rPr>
              <w:t>295,004</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confidentiality, non-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competition, non-solicitation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and non-disparagement</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covenants discussed above for</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12 months (subject to extension</w:t>
            </w:r>
          </w:p>
        </w:tc>
        <w:tc>
          <w:tcPr>
            <w:tcW w:w="880" w:type="dxa"/>
            <w:vAlign w:val="bottom"/>
          </w:tcPr>
          <w:p>
            <w:pPr>
              <w:spacing w:after="0"/>
              <w:rPr>
                <w:sz w:val="12"/>
                <w:szCs w:val="12"/>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to 24 months)</w:t>
            </w:r>
          </w:p>
        </w:tc>
        <w:tc>
          <w:tcPr>
            <w:tcW w:w="880" w:type="dxa"/>
            <w:vAlign w:val="bottom"/>
          </w:tcPr>
          <w:p>
            <w:pPr>
              <w:spacing w:after="0"/>
              <w:rPr>
                <w:sz w:val="15"/>
                <w:szCs w:val="15"/>
                <w:color w:val="auto"/>
              </w:rPr>
            </w:pPr>
          </w:p>
        </w:tc>
      </w:tr>
      <w:tr>
        <w:trPr>
          <w:trHeight w:val="365"/>
        </w:trPr>
        <w:tc>
          <w:tcPr>
            <w:tcW w:w="2260" w:type="dxa"/>
            <w:vAlign w:val="bottom"/>
          </w:tcPr>
          <w:p>
            <w:pPr>
              <w:spacing w:after="0"/>
              <w:rPr>
                <w:sz w:val="20"/>
                <w:szCs w:val="20"/>
                <w:color w:val="auto"/>
              </w:rPr>
            </w:pPr>
            <w:r>
              <w:rPr>
                <w:rFonts w:ascii="Arial" w:cs="Arial" w:eastAsia="Arial" w:hAnsi="Arial"/>
                <w:sz w:val="14"/>
                <w:szCs w:val="14"/>
                <w:color w:val="auto"/>
              </w:rPr>
              <w:t>See above</w:t>
            </w:r>
          </w:p>
        </w:tc>
        <w:tc>
          <w:tcPr>
            <w:tcW w:w="880" w:type="dxa"/>
            <w:vAlign w:val="bottom"/>
          </w:tcPr>
          <w:p>
            <w:pPr>
              <w:jc w:val="right"/>
              <w:spacing w:after="0"/>
              <w:rPr>
                <w:sz w:val="20"/>
                <w:szCs w:val="20"/>
                <w:color w:val="auto"/>
              </w:rPr>
            </w:pPr>
            <w:r>
              <w:rPr>
                <w:rFonts w:ascii="Arial" w:cs="Arial" w:eastAsia="Arial" w:hAnsi="Arial"/>
                <w:sz w:val="14"/>
                <w:szCs w:val="14"/>
                <w:color w:val="auto"/>
              </w:rPr>
              <w:t>2,985</w:t>
            </w:r>
          </w:p>
        </w:tc>
      </w:tr>
    </w:tbl>
    <w:p>
      <w:pPr>
        <w:spacing w:after="0" w:line="912" w:lineRule="exact"/>
        <w:rPr>
          <w:sz w:val="20"/>
          <w:szCs w:val="20"/>
          <w:color w:val="auto"/>
        </w:rPr>
      </w:pPr>
    </w:p>
    <w:p>
      <w:pPr>
        <w:sectPr>
          <w:pgSz w:w="11900" w:h="16838" w:orient="portrait"/>
          <w:cols w:equalWidth="0" w:num="3">
            <w:col w:w="5000" w:space="280"/>
            <w:col w:w="1880" w:space="220"/>
            <w:col w:w="3680"/>
          </w:cols>
          <w:pgMar w:left="240" w:top="419" w:right="599" w:bottom="1440" w:gutter="0" w:footer="0" w:header="0"/>
          <w:type w:val="continuous"/>
        </w:sectPr>
      </w:pPr>
    </w:p>
    <w:p>
      <w:pPr>
        <w:spacing w:after="0" w:line="12" w:lineRule="exact"/>
        <w:rPr>
          <w:sz w:val="20"/>
          <w:szCs w:val="20"/>
          <w:color w:val="auto"/>
        </w:rPr>
      </w:pPr>
    </w:p>
    <w:p>
      <w:pPr>
        <w:ind w:left="700"/>
        <w:spacing w:after="0"/>
        <w:tabs>
          <w:tab w:leader="none" w:pos="3180" w:val="left"/>
        </w:tabs>
        <w:rPr>
          <w:sz w:val="20"/>
          <w:szCs w:val="20"/>
          <w:color w:val="auto"/>
        </w:rPr>
      </w:pPr>
      <w:r>
        <w:rPr>
          <w:rFonts w:ascii="Arial" w:cs="Arial" w:eastAsia="Arial" w:hAnsi="Arial"/>
          <w:sz w:val="14"/>
          <w:szCs w:val="14"/>
          <w:color w:val="auto"/>
        </w:rPr>
        <w:t>Chris Richardson</w:t>
      </w:r>
      <w:r>
        <w:rPr>
          <w:sz w:val="20"/>
          <w:szCs w:val="20"/>
          <w:color w:val="auto"/>
        </w:rPr>
        <w:tab/>
      </w:r>
      <w:r>
        <w:rPr>
          <w:rFonts w:ascii="Arial" w:cs="Arial" w:eastAsia="Arial" w:hAnsi="Arial"/>
          <w:sz w:val="13"/>
          <w:szCs w:val="13"/>
          <w:color w:val="auto"/>
        </w:rPr>
        <w:t>Separation by Mr. Richardson</w:t>
      </w:r>
    </w:p>
    <w:p>
      <w:pPr>
        <w:ind w:left="3200"/>
        <w:spacing w:after="0" w:line="221" w:lineRule="auto"/>
        <w:rPr>
          <w:sz w:val="20"/>
          <w:szCs w:val="20"/>
          <w:color w:val="auto"/>
        </w:rPr>
      </w:pPr>
      <w:r>
        <w:rPr>
          <w:rFonts w:ascii="Arial" w:cs="Arial" w:eastAsia="Arial" w:hAnsi="Arial"/>
          <w:sz w:val="14"/>
          <w:szCs w:val="14"/>
          <w:color w:val="auto"/>
        </w:rPr>
        <w:t>for “Good Reason” or</w:t>
      </w:r>
    </w:p>
    <w:p>
      <w:pPr>
        <w:ind w:left="3200"/>
        <w:spacing w:after="0" w:line="221" w:lineRule="auto"/>
        <w:rPr>
          <w:sz w:val="20"/>
          <w:szCs w:val="20"/>
          <w:color w:val="auto"/>
        </w:rPr>
      </w:pPr>
      <w:r>
        <w:rPr>
          <w:rFonts w:ascii="Arial" w:cs="Arial" w:eastAsia="Arial" w:hAnsi="Arial"/>
          <w:sz w:val="14"/>
          <w:szCs w:val="14"/>
          <w:color w:val="auto"/>
        </w:rPr>
        <w:t>termination by us without</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“Cause”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Termination by us for “Cause,”</w:t>
      </w:r>
    </w:p>
    <w:p>
      <w:pPr>
        <w:ind w:left="3200"/>
        <w:spacing w:after="0" w:line="237" w:lineRule="auto"/>
        <w:rPr>
          <w:sz w:val="20"/>
          <w:szCs w:val="20"/>
          <w:color w:val="auto"/>
        </w:rPr>
      </w:pPr>
      <w:r>
        <w:rPr>
          <w:rFonts w:ascii="Arial" w:cs="Arial" w:eastAsia="Arial" w:hAnsi="Arial"/>
          <w:sz w:val="14"/>
          <w:szCs w:val="14"/>
          <w:color w:val="auto"/>
        </w:rPr>
        <w:t>death or disability of Mr.</w:t>
      </w:r>
    </w:p>
    <w:p>
      <w:pPr>
        <w:ind w:left="3200"/>
        <w:spacing w:after="0"/>
        <w:rPr>
          <w:sz w:val="20"/>
          <w:szCs w:val="20"/>
          <w:color w:val="auto"/>
        </w:rPr>
      </w:pPr>
      <w:r>
        <w:rPr>
          <w:rFonts w:ascii="Arial" w:cs="Arial" w:eastAsia="Arial" w:hAnsi="Arial"/>
          <w:sz w:val="13"/>
          <w:szCs w:val="13"/>
          <w:color w:val="auto"/>
        </w:rPr>
        <w:t>Richardson, separation by Mr.</w:t>
      </w:r>
    </w:p>
    <w:p>
      <w:pPr>
        <w:ind w:left="3200"/>
        <w:spacing w:after="0" w:line="221" w:lineRule="auto"/>
        <w:rPr>
          <w:sz w:val="20"/>
          <w:szCs w:val="20"/>
          <w:color w:val="auto"/>
        </w:rPr>
      </w:pPr>
      <w:r>
        <w:rPr>
          <w:rFonts w:ascii="Arial" w:cs="Arial" w:eastAsia="Arial" w:hAnsi="Arial"/>
          <w:sz w:val="14"/>
          <w:szCs w:val="14"/>
          <w:color w:val="auto"/>
        </w:rPr>
        <w:t>Richardson without “Good</w:t>
      </w:r>
    </w:p>
    <w:p>
      <w:pPr>
        <w:ind w:left="3200"/>
        <w:spacing w:after="0" w:line="221" w:lineRule="auto"/>
        <w:rPr>
          <w:sz w:val="20"/>
          <w:szCs w:val="20"/>
          <w:color w:val="auto"/>
        </w:rPr>
      </w:pPr>
      <w:r>
        <w:rPr>
          <w:rFonts w:ascii="Arial" w:cs="Arial" w:eastAsia="Arial" w:hAnsi="Arial"/>
          <w:sz w:val="14"/>
          <w:szCs w:val="14"/>
          <w:color w:val="auto"/>
        </w:rPr>
        <w:t>Reason,” or sale of Grand</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Canyon University</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3"/>
          <w:szCs w:val="13"/>
          <w:color w:val="auto"/>
        </w:rPr>
        <w:t>Continued payment of base salary and provision of benefits for six months following separation, with the option by us to extend such payments (and related benefits) for up to</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12 months following separation</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2"/>
          <w:szCs w:val="12"/>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color w:val="auto"/>
              </w:rPr>
              <w:t>Mr. Richardson must abide by</w:t>
            </w:r>
          </w:p>
        </w:tc>
        <w:tc>
          <w:tcPr>
            <w:tcW w:w="880" w:type="dxa"/>
            <w:vAlign w:val="bottom"/>
          </w:tcPr>
          <w:p>
            <w:pPr>
              <w:jc w:val="right"/>
              <w:spacing w:after="0"/>
              <w:rPr>
                <w:sz w:val="20"/>
                <w:szCs w:val="20"/>
                <w:color w:val="auto"/>
              </w:rPr>
            </w:pPr>
            <w:r>
              <w:rPr>
                <w:rFonts w:ascii="Arial" w:cs="Arial" w:eastAsia="Arial" w:hAnsi="Arial"/>
                <w:sz w:val="14"/>
                <w:szCs w:val="14"/>
                <w:color w:val="auto"/>
              </w:rPr>
              <w:t>300,373</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the confidentiality, non-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competition, non-solicitation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and non-disparagement</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covenants discussed above for</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12 months (subject to extension</w:t>
            </w:r>
          </w:p>
        </w:tc>
        <w:tc>
          <w:tcPr>
            <w:tcW w:w="880" w:type="dxa"/>
            <w:vAlign w:val="bottom"/>
          </w:tcPr>
          <w:p>
            <w:pPr>
              <w:spacing w:after="0"/>
              <w:rPr>
                <w:sz w:val="12"/>
                <w:szCs w:val="12"/>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to 24 months)</w:t>
            </w:r>
          </w:p>
        </w:tc>
        <w:tc>
          <w:tcPr>
            <w:tcW w:w="880" w:type="dxa"/>
            <w:vAlign w:val="bottom"/>
          </w:tcPr>
          <w:p>
            <w:pPr>
              <w:spacing w:after="0"/>
              <w:rPr>
                <w:sz w:val="15"/>
                <w:szCs w:val="15"/>
                <w:color w:val="auto"/>
              </w:rPr>
            </w:pPr>
          </w:p>
        </w:tc>
      </w:tr>
      <w:tr>
        <w:trPr>
          <w:trHeight w:val="365"/>
        </w:trPr>
        <w:tc>
          <w:tcPr>
            <w:tcW w:w="2260" w:type="dxa"/>
            <w:vAlign w:val="bottom"/>
          </w:tcPr>
          <w:p>
            <w:pPr>
              <w:spacing w:after="0"/>
              <w:rPr>
                <w:sz w:val="20"/>
                <w:szCs w:val="20"/>
                <w:color w:val="auto"/>
              </w:rPr>
            </w:pPr>
            <w:r>
              <w:rPr>
                <w:rFonts w:ascii="Arial" w:cs="Arial" w:eastAsia="Arial" w:hAnsi="Arial"/>
                <w:sz w:val="14"/>
                <w:szCs w:val="14"/>
                <w:color w:val="auto"/>
              </w:rPr>
              <w:t>See above</w:t>
            </w:r>
          </w:p>
        </w:tc>
        <w:tc>
          <w:tcPr>
            <w:tcW w:w="880" w:type="dxa"/>
            <w:vAlign w:val="bottom"/>
          </w:tcPr>
          <w:p>
            <w:pPr>
              <w:jc w:val="right"/>
              <w:spacing w:after="0"/>
              <w:rPr>
                <w:sz w:val="20"/>
                <w:szCs w:val="20"/>
                <w:color w:val="auto"/>
              </w:rPr>
            </w:pPr>
            <w:r>
              <w:rPr>
                <w:rFonts w:ascii="Arial" w:cs="Arial" w:eastAsia="Arial" w:hAnsi="Arial"/>
                <w:sz w:val="14"/>
                <w:szCs w:val="14"/>
                <w:color w:val="auto"/>
              </w:rPr>
              <w:t>8,354</w:t>
            </w:r>
          </w:p>
        </w:tc>
      </w:tr>
    </w:tbl>
    <w:p>
      <w:pPr>
        <w:spacing w:after="0" w:line="933" w:lineRule="exact"/>
        <w:rPr>
          <w:sz w:val="20"/>
          <w:szCs w:val="20"/>
          <w:color w:val="auto"/>
        </w:rPr>
      </w:pPr>
    </w:p>
    <w:p>
      <w:pPr>
        <w:sectPr>
          <w:pgSz w:w="11900" w:h="16838" w:orient="portrait"/>
          <w:cols w:equalWidth="0" w:num="3">
            <w:col w:w="5000" w:space="280"/>
            <w:col w:w="1880" w:space="220"/>
            <w:col w:w="3680"/>
          </w:cols>
          <w:pgMar w:left="240" w:top="419" w:right="599" w:bottom="1440" w:gutter="0" w:footer="0" w:header="0"/>
          <w:type w:val="continuous"/>
        </w:sectPr>
      </w:pP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right="100" w:hanging="301"/>
        <w:spacing w:after="0" w:line="25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spacing w:after="0" w:line="26" w:lineRule="exact"/>
        <w:rPr>
          <w:rFonts w:ascii="Arial" w:cs="Arial" w:eastAsia="Arial" w:hAnsi="Arial"/>
          <w:sz w:val="18"/>
          <w:szCs w:val="18"/>
          <w:color w:val="auto"/>
        </w:rPr>
      </w:pPr>
    </w:p>
    <w:p>
      <w:pPr>
        <w:ind w:left="1000" w:right="40" w:hanging="301"/>
        <w:spacing w:after="0" w:line="255"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 (c) the executive’s engaging in conduct that constitutes cause for separation under applicable law, and (d) the executive’s breaching the confidentiality, non-competition, non-solicitation, and non-disparagement covenants applicable to him.</w:t>
      </w:r>
    </w:p>
    <w:p>
      <w:pPr>
        <w:spacing w:after="0" w:line="27" w:lineRule="exact"/>
        <w:rPr>
          <w:rFonts w:ascii="Arial" w:cs="Arial" w:eastAsia="Arial" w:hAnsi="Arial"/>
          <w:sz w:val="18"/>
          <w:szCs w:val="18"/>
          <w:color w:val="auto"/>
        </w:rPr>
      </w:pPr>
    </w:p>
    <w:p>
      <w:pPr>
        <w:ind w:left="1000" w:right="100" w:hanging="301"/>
        <w:spacing w:after="0" w:line="259"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Beginning upon the completion of this offering, we intend to pay our non-employee directors an annual cash retainer of $30,000 for their board service and a per meeting fee of $2,000 for each meeting of the board attended. We also intend to pay the members of our audit, compensation, and nominating and corporate governance committees an additional annual cash retainer of $5,000, with the chair of the audit committee receiving an additional annual cash retainer of $5,000, and the chairs of the other committees each receiving an additional annual cash retainer of $2,500. In addition, non-employee directors will be eligible to receive awards under our Incentive Plan valued at $35,000 per year. We will reimburse all directors for reasonable expenses incurred to attend our board and board committee meetings.</w:t>
      </w:r>
    </w:p>
    <w:p>
      <w:pPr>
        <w:spacing w:after="0" w:line="95"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color w:val="auto"/>
        </w:rPr>
        <w:t>Effective upon completion of this offering, we anticipate that we will appoint David J. Johnson, one of our director-nominees, as our lead independent director. For such services, Mr. Johnson would receive (i) immediately upon effectiveness of this offering, a grant of an option to purchase 145,772 shares of our common stock, which will vest ratably, on an annual basis, over a three-year period and will have an exercise price equal to the initial public offering price, and (ii) in addition to the other items of compensation specified herein, an annual retainer of $33,333, payable in quarterly installments.</w:t>
      </w:r>
    </w:p>
    <w:p>
      <w:pPr>
        <w:spacing w:after="0" w:line="3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We have adopted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Stockholders Agreement</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Investor Rights Agreement</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Agreement</w:t>
      </w:r>
    </w:p>
    <w:p>
      <w:pPr>
        <w:spacing w:after="0" w:line="135"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44.5% of our outstanding shares of capital stock. See “Beneficial Ownership of Common Stock.”</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Endeavour Professional Services Agreement</w:t>
      </w:r>
    </w:p>
    <w:p>
      <w:pPr>
        <w:spacing w:after="0" w:line="135"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w:t>
      </w:r>
    </w:p>
    <w:p>
      <w:pPr>
        <w:spacing w:after="0" w:line="7"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5% of Endeavour Capital IV, LLC’s consolidated gross revenues for each such year. The professional services agreement will terminate by its terms upon the closing of this offering.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Transactions</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29"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i w:val="1"/>
          <w:iCs w:val="1"/>
          <w:color w:val="auto"/>
        </w:rPr>
        <w:t xml:space="preserve">Series A Convertible Preferred Stock Issuance. </w:t>
      </w:r>
      <w:r>
        <w:rPr>
          <w:rFonts w:ascii="Arial" w:cs="Arial" w:eastAsia="Arial" w:hAnsi="Arial"/>
          <w:sz w:val="16"/>
          <w:szCs w:val="16"/>
          <w:color w:val="auto"/>
        </w:rPr>
        <w:t>On March 31, 2005, we sold $14.0 million aggregate principal amount of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Endeavour Entities. On August 24, 2005, we 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 Mr. Chad N. Heath, two of our directors, are managing directors.</w:t>
      </w:r>
    </w:p>
    <w:p>
      <w:pPr>
        <w:spacing w:after="0" w:line="5" w:lineRule="exact"/>
        <w:rPr>
          <w:sz w:val="20"/>
          <w:szCs w:val="20"/>
          <w:color w:val="auto"/>
        </w:rPr>
      </w:pPr>
    </w:p>
    <w:p>
      <w:pPr>
        <w:ind w:left="700"/>
        <w:spacing w:after="0" w:line="261" w:lineRule="auto"/>
        <w:rPr>
          <w:sz w:val="20"/>
          <w:szCs w:val="20"/>
          <w:color w:val="auto"/>
        </w:rPr>
      </w:pPr>
      <w:r>
        <w:rPr>
          <w:rFonts w:ascii="Arial" w:cs="Arial" w:eastAsia="Arial" w:hAnsi="Arial"/>
          <w:sz w:val="18"/>
          <w:szCs w:val="18"/>
          <w:color w:val="auto"/>
        </w:rPr>
        <w:t>Mr. Charles M. Preston III, one of our former directors, is an affiliate of 220 Management, LLC, which is the general partner of 220 GCU GP, L.P., the general partner of 220 GCU, L.P.</w:t>
      </w:r>
    </w:p>
    <w:p>
      <w:pPr>
        <w:spacing w:after="0" w:line="8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Series B Convertible Preferred Stock Issuance. </w:t>
      </w:r>
      <w:r>
        <w:rPr>
          <w:rFonts w:ascii="Arial" w:cs="Arial" w:eastAsia="Arial" w:hAnsi="Arial"/>
          <w:sz w:val="18"/>
          <w:szCs w:val="18"/>
          <w:color w:val="auto"/>
        </w:rPr>
        <w:t>On December 31, 2005, we issued 2,163 shares of our newly designated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95" w:lineRule="exact"/>
        <w:rPr>
          <w:sz w:val="20"/>
          <w:szCs w:val="20"/>
          <w:color w:val="auto"/>
        </w:rPr>
      </w:pPr>
    </w:p>
    <w:p>
      <w:pPr>
        <w:jc w:val="both"/>
        <w:ind w:left="700" w:right="460" w:firstLine="397"/>
        <w:spacing w:after="0" w:line="288" w:lineRule="auto"/>
        <w:rPr>
          <w:sz w:val="20"/>
          <w:szCs w:val="20"/>
          <w:color w:val="auto"/>
        </w:rPr>
      </w:pPr>
      <w:r>
        <w:rPr>
          <w:rFonts w:ascii="Arial" w:cs="Arial" w:eastAsia="Arial" w:hAnsi="Arial"/>
          <w:sz w:val="16"/>
          <w:szCs w:val="16"/>
          <w:i w:val="1"/>
          <w:iCs w:val="1"/>
          <w:color w:val="auto"/>
        </w:rPr>
        <w:t xml:space="preserve">Series C Preferred Stock Issuance. </w:t>
      </w:r>
      <w:r>
        <w:rPr>
          <w:rFonts w:ascii="Arial" w:cs="Arial" w:eastAsia="Arial" w:hAnsi="Arial"/>
          <w:sz w:val="16"/>
          <w:szCs w:val="16"/>
          <w:color w:val="auto"/>
        </w:rPr>
        <w:t>On December 18, 2007 and January 11, 2008, we sold an aggregate of 3,829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newly designated Series C preferred stock at a purchase price of $3,500.00 per share, or approximately $13.4 million in total gross proceeds, of which 1,675 shares were sold to the Endeavour Entities, 834 shares were sold to Rich Crow Enterprises, LLC, and</w:t>
      </w:r>
    </w:p>
    <w:p>
      <w:pPr>
        <w:ind w:left="700" w:right="160"/>
        <w:spacing w:after="0" w:line="290" w:lineRule="auto"/>
        <w:rPr>
          <w:sz w:val="20"/>
          <w:szCs w:val="20"/>
          <w:color w:val="auto"/>
        </w:rPr>
      </w:pPr>
      <w:r>
        <w:rPr>
          <w:rFonts w:ascii="Arial" w:cs="Arial" w:eastAsia="Arial" w:hAnsi="Arial"/>
          <w:sz w:val="17"/>
          <w:szCs w:val="17"/>
          <w:color w:val="auto"/>
        </w:rPr>
        <w:t>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3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Special Distribution</w:t>
      </w:r>
    </w:p>
    <w:p>
      <w:pPr>
        <w:spacing w:after="0" w:line="81" w:lineRule="exact"/>
        <w:rPr>
          <w:sz w:val="20"/>
          <w:szCs w:val="20"/>
          <w:color w:val="auto"/>
        </w:rPr>
      </w:pPr>
    </w:p>
    <w:p>
      <w:pPr>
        <w:ind w:left="700" w:right="880" w:firstLine="397"/>
        <w:spacing w:after="0" w:line="291" w:lineRule="auto"/>
        <w:rPr>
          <w:sz w:val="20"/>
          <w:szCs w:val="20"/>
          <w:color w:val="auto"/>
        </w:rPr>
      </w:pPr>
      <w:r>
        <w:rPr>
          <w:rFonts w:ascii="Arial" w:cs="Arial" w:eastAsia="Arial" w:hAnsi="Arial"/>
          <w:sz w:val="16"/>
          <w:szCs w:val="16"/>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November 18,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At the initial public offering price of $12.00 per share, the amount of the special distribution will be $94.5 million, or $2.84 per common share on an as-if converted basis (exclusive of any amounts that may be received from the underwriters’ exercise of the over-allotment option).</w:t>
      </w:r>
    </w:p>
    <w:p>
      <w:pPr>
        <w:spacing w:after="0" w:line="19" w:lineRule="exact"/>
        <w:rPr>
          <w:sz w:val="20"/>
          <w:szCs w:val="20"/>
          <w:color w:val="auto"/>
        </w:rPr>
      </w:pPr>
    </w:p>
    <w:p>
      <w:pPr>
        <w:ind w:left="700" w:right="840" w:firstLine="397"/>
        <w:spacing w:after="0" w:line="259" w:lineRule="auto"/>
        <w:rPr>
          <w:sz w:val="20"/>
          <w:szCs w:val="20"/>
          <w:color w:val="auto"/>
        </w:rPr>
      </w:pPr>
      <w:r>
        <w:rPr>
          <w:rFonts w:ascii="Arial" w:cs="Arial" w:eastAsia="Arial" w:hAnsi="Arial"/>
          <w:sz w:val="18"/>
          <w:szCs w:val="18"/>
          <w:color w:val="auto"/>
        </w:rPr>
        <w:t>Of the estimated aggregate amount of the special distribution, $50.2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to Which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of Beneficial Owner</w:t>
            </w:r>
          </w:p>
        </w:tc>
        <w:tc>
          <w:tcPr>
            <w:tcW w:w="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Special Distribution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Special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Relates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Distribution</w:t>
            </w:r>
            <w:r>
              <w:rPr>
                <w:rFonts w:ascii="Arial" w:cs="Arial" w:eastAsia="Arial" w:hAnsi="Arial"/>
                <w:sz w:val="12"/>
                <w:szCs w:val="12"/>
                <w:b w:val="1"/>
                <w:bCs w:val="1"/>
                <w:color w:val="auto"/>
                <w:w w:val="94"/>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7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Endeavour Capital Fund IV, L.P. and affiliates</w:t>
            </w:r>
            <w:r>
              <w:rPr>
                <w:rFonts w:ascii="Arial" w:cs="Arial" w:eastAsia="Arial" w:hAnsi="Arial"/>
                <w:sz w:val="15"/>
                <w:szCs w:val="15"/>
                <w:color w:val="auto"/>
              </w:rPr>
              <w:t>(3)</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220 GCU, L.P. and affiliates</w:t>
            </w:r>
            <w:r>
              <w:rPr>
                <w:rFonts w:ascii="Arial" w:cs="Arial" w:eastAsia="Arial" w:hAnsi="Arial"/>
                <w:sz w:val="15"/>
                <w:szCs w:val="15"/>
                <w:color w:val="auto"/>
              </w:rPr>
              <w:t>(4)</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Staci L. Buse</w:t>
            </w:r>
            <w:r>
              <w:rPr>
                <w:rFonts w:ascii="Arial" w:cs="Arial" w:eastAsia="Arial" w:hAnsi="Arial"/>
                <w:sz w:val="15"/>
                <w:szCs w:val="15"/>
                <w:color w:val="auto"/>
              </w:rPr>
              <w:t>(5)</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Significant Ventures, LLC</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(3)</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(3)</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0" w:type="dxa"/>
            <w:vAlign w:val="bottom"/>
            <w:gridSpan w:val="2"/>
          </w:tcPr>
          <w:p>
            <w:pPr>
              <w:jc w:val="right"/>
              <w:ind w:right="1394"/>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-4495165</wp:posOffset>
            </wp:positionV>
            <wp:extent cx="260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to Which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Special Distribution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Relates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Distribution</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(5)</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John E. Crowley</w:t>
            </w:r>
            <w:r>
              <w:rPr>
                <w:rFonts w:ascii="Arial" w:cs="Arial" w:eastAsia="Arial" w:hAnsi="Arial"/>
                <w:sz w:val="15"/>
                <w:szCs w:val="15"/>
                <w:color w:val="auto"/>
              </w:rPr>
              <w:t>(6)</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Christopher C. Richardson</w:t>
            </w:r>
            <w:r>
              <w:rPr>
                <w:rFonts w:ascii="Arial" w:cs="Arial" w:eastAsia="Arial" w:hAnsi="Arial"/>
                <w:sz w:val="15"/>
                <w:szCs w:val="15"/>
                <w:color w:val="auto"/>
              </w:rPr>
              <w:t>(5)</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All directors and executive officers as a group</w:t>
            </w:r>
          </w:p>
        </w:tc>
        <w:tc>
          <w:tcPr>
            <w:tcW w:w="16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26,898</w:t>
            </w:r>
          </w:p>
        </w:tc>
        <w:tc>
          <w:tcPr>
            <w:tcW w:w="3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-2118360</wp:posOffset>
            </wp:positionV>
            <wp:extent cx="260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100" w:hanging="301"/>
        <w:spacing w:after="0" w:line="259"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4" w:lineRule="exact"/>
        <w:rPr>
          <w:rFonts w:ascii="Arial" w:cs="Arial" w:eastAsia="Arial" w:hAnsi="Arial"/>
          <w:sz w:val="18"/>
          <w:szCs w:val="18"/>
          <w:color w:val="auto"/>
        </w:rPr>
      </w:pPr>
    </w:p>
    <w:p>
      <w:pPr>
        <w:ind w:left="1000" w:right="140" w:hanging="301"/>
        <w:spacing w:after="0" w:line="259"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special distribution is being paid in respect of our common stock, Series A convertible preferred stock, and Series C preferred stock, in each case on an as-converted basis. Upon the closing of this offering, the outstanding shares of the Series A convertible preferred stock will convert into 10,870,178 shares of common stock and the outstanding shares of the Series C preferred stock will convert into 2,233,333 shares of common stock.</w:t>
      </w:r>
    </w:p>
    <w:p>
      <w:pPr>
        <w:spacing w:after="0" w:line="24" w:lineRule="exact"/>
        <w:rPr>
          <w:rFonts w:ascii="Arial" w:cs="Arial" w:eastAsia="Arial" w:hAnsi="Arial"/>
          <w:sz w:val="18"/>
          <w:szCs w:val="18"/>
          <w:color w:val="auto"/>
        </w:rPr>
      </w:pPr>
    </w:p>
    <w:p>
      <w:pPr>
        <w:ind w:left="1000" w:right="200" w:hanging="301"/>
        <w:spacing w:after="0" w:line="264"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9" w:lineRule="exact"/>
        <w:rPr>
          <w:rFonts w:ascii="Arial" w:cs="Arial" w:eastAsia="Arial" w:hAnsi="Arial"/>
          <w:sz w:val="18"/>
          <w:szCs w:val="18"/>
          <w:color w:val="auto"/>
        </w:rPr>
      </w:pPr>
    </w:p>
    <w:p>
      <w:pPr>
        <w:ind w:left="1000" w:hanging="301"/>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held of record by 220 GCU, L.P., 220 Education, L.P., 220-SigEd, L.P., and SV One, L.P.</w:t>
      </w:r>
    </w:p>
    <w:p>
      <w:pPr>
        <w:spacing w:after="0" w:line="63" w:lineRule="exact"/>
        <w:rPr>
          <w:rFonts w:ascii="Arial" w:cs="Arial" w:eastAsia="Arial" w:hAnsi="Arial"/>
          <w:sz w:val="18"/>
          <w:szCs w:val="18"/>
          <w:color w:val="auto"/>
        </w:rPr>
      </w:pPr>
    </w:p>
    <w:p>
      <w:pPr>
        <w:ind w:left="1000" w:right="180" w:hanging="301"/>
        <w:spacing w:after="0" w:line="264"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9" w:lineRule="exact"/>
        <w:rPr>
          <w:rFonts w:ascii="Arial" w:cs="Arial" w:eastAsia="Arial" w:hAnsi="Arial"/>
          <w:sz w:val="18"/>
          <w:szCs w:val="18"/>
          <w:color w:val="auto"/>
        </w:rPr>
      </w:pPr>
    </w:p>
    <w:p>
      <w:pPr>
        <w:ind w:left="1000" w:right="60" w:hanging="301"/>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of which John Crowley is a member, which are attributable to, and beneficially owned by, John Crowley.</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additional information regarding share ownership, see “Beneficial Ownership of Common Stock.”</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Arrangement with Mind Streams</w:t>
      </w:r>
    </w:p>
    <w:p>
      <w:pPr>
        <w:spacing w:after="0" w:line="135"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We are a party to an agreement with Mind Streams, LLC, which is owned and operated, in part, by Gail Richardson, father to Brent Richardson, our Executive Chairman, and Chris Richardson, our General Counsel and a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We previously were a party to an agreement with 21st Century Learning, which was owned by Gail Richardson, Brent Richardson, and Chris Richardson, providing for a similar revenue sharing arrangement. This agreement was terminated in 2005</w:t>
      </w:r>
    </w:p>
    <w:p>
      <w:pPr>
        <w:spacing w:after="0" w:line="13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when we entered into the agreement with Mind Streams. For the years ended December 31, 2005, 2006 and 2007, and for the nine months ended September 30, 2008, we expensed $2.8 million, $3.7 million, $4.3 million, and $4.3 million, respectively, to these parties pursuant to this arrangement for students enrolled and expenses reimbursed.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Arrowhead Management</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Center for Educational Excellence</w:t>
      </w:r>
    </w:p>
    <w:p>
      <w:pPr>
        <w:spacing w:after="0" w:line="135"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nine months ended September 30, 2008, we paid approximately $0.6 million and $0, respectively, of expenses incurred by The Center for Educational Excellence, LLC, of which $0.3 million and $0, respectively, were reimbursed to us.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Arrangement with Vergo Marketing</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Youth in Motion Consulting Arrangement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Youth in Motion, Inc. is owned by John Crowley, our Chief Operating Officer. For the years ended December 31, 2005, 2006, and</w:t>
      </w:r>
    </w:p>
    <w:p>
      <w:pPr>
        <w:spacing w:after="0" w:line="46" w:lineRule="exact"/>
        <w:rPr>
          <w:sz w:val="20"/>
          <w:szCs w:val="20"/>
          <w:color w:val="auto"/>
        </w:rPr>
      </w:pPr>
    </w:p>
    <w:p>
      <w:pPr>
        <w:ind w:left="700" w:right="860"/>
        <w:spacing w:after="0" w:line="261" w:lineRule="auto"/>
        <w:rPr>
          <w:sz w:val="20"/>
          <w:szCs w:val="20"/>
          <w:color w:val="auto"/>
        </w:rPr>
      </w:pPr>
      <w:r>
        <w:rPr>
          <w:rFonts w:ascii="Arial" w:cs="Arial" w:eastAsia="Arial" w:hAnsi="Arial"/>
          <w:sz w:val="18"/>
          <w:szCs w:val="18"/>
          <w:color w:val="auto"/>
        </w:rPr>
        <w:t>2007 and the nine months ended September 30, 2008, we paid to Youth in Motion, Inc. $0.2 million, $0.1 million, $0, and $0, respectively, for consulting services rendered.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Ventures Consulting Agreement</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nine months ended September 30, 2008, we paid $0.1 million, $0.4 million, $0, and $0, respectively, to Significant Ventures for services rendered and expenses reimbursed pursuant to this arrangement.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220 Consulting Agreement</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nine months ended September 30, 2008, we paid $0.3 million, $0.3 million, $0, and $0, respectively, to 220 Partners, LLC for services rendered and expenses reimbursed pursuant to this arrangement.</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September 30, 2008, and as adjusted to reflect the sale of common stock being offered in this offering, for:</w:t>
      </w:r>
    </w:p>
    <w:p>
      <w:pPr>
        <w:spacing w:after="0" w:line="76" w:lineRule="exact"/>
        <w:rPr>
          <w:sz w:val="20"/>
          <w:szCs w:val="20"/>
          <w:color w:val="auto"/>
        </w:rPr>
      </w:pPr>
    </w:p>
    <w:p>
      <w:pPr>
        <w:ind w:left="1700" w:hanging="211"/>
        <w:spacing w:after="0"/>
        <w:tabs>
          <w:tab w:leader="none" w:pos="1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person, or group of affiliated persons, known to us to own beneficially 5% or more of our outstanding common stock;</w:t>
      </w:r>
    </w:p>
    <w:p>
      <w:pPr>
        <w:spacing w:after="0" w:line="140" w:lineRule="exact"/>
        <w:rPr>
          <w:rFonts w:ascii="Arial" w:cs="Arial" w:eastAsia="Arial" w:hAnsi="Arial"/>
          <w:sz w:val="16"/>
          <w:szCs w:val="16"/>
          <w:color w:val="auto"/>
        </w:rPr>
      </w:pPr>
    </w:p>
    <w:p>
      <w:pPr>
        <w:ind w:left="1700" w:hanging="211"/>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 director-nominees;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executive officers;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31" w:lineRule="exact"/>
        <w:rPr>
          <w:sz w:val="20"/>
          <w:szCs w:val="20"/>
          <w:color w:val="auto"/>
        </w:rPr>
      </w:pPr>
    </w:p>
    <w:p>
      <w:pPr>
        <w:jc w:val="both"/>
        <w:ind w:left="700" w:right="240" w:firstLine="397"/>
        <w:spacing w:after="0" w:line="288"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w:t>
      </w:r>
    </w:p>
    <w:p>
      <w:pPr>
        <w:ind w:left="700" w:right="40"/>
        <w:spacing w:after="0" w:line="292" w:lineRule="auto"/>
        <w:rPr>
          <w:sz w:val="20"/>
          <w:szCs w:val="20"/>
          <w:color w:val="auto"/>
        </w:rPr>
      </w:pPr>
      <w:r>
        <w:rPr>
          <w:rFonts w:ascii="Arial" w:cs="Arial" w:eastAsia="Arial" w:hAnsi="Arial"/>
          <w:sz w:val="16"/>
          <w:szCs w:val="16"/>
          <w:color w:val="auto"/>
        </w:rPr>
        <w:t>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calculations of beneficial ownership in this table are based on 19,218,650 shares of common stock outstanding at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30, 2008, and giving effect to:</w:t>
      </w:r>
    </w:p>
    <w:p>
      <w:pPr>
        <w:spacing w:after="0" w:line="116" w:lineRule="exact"/>
        <w:rPr>
          <w:sz w:val="20"/>
          <w:szCs w:val="20"/>
          <w:color w:val="auto"/>
        </w:rPr>
      </w:pPr>
    </w:p>
    <w:p>
      <w:pPr>
        <w:ind w:left="1700" w:right="220" w:hanging="211"/>
        <w:spacing w:after="0" w:line="277" w:lineRule="auto"/>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of our outstanding shares of our Series A convertible preferred stock into 10,870,178 shares of common stock upon the closing of the offering;</w:t>
      </w:r>
    </w:p>
    <w:p>
      <w:pPr>
        <w:spacing w:after="0" w:line="62" w:lineRule="exact"/>
        <w:rPr>
          <w:rFonts w:ascii="Arial" w:cs="Arial" w:eastAsia="Arial" w:hAnsi="Arial"/>
          <w:sz w:val="18"/>
          <w:szCs w:val="18"/>
          <w:color w:val="auto"/>
        </w:rPr>
      </w:pPr>
    </w:p>
    <w:p>
      <w:pPr>
        <w:ind w:left="1700" w:right="60" w:hanging="211"/>
        <w:spacing w:after="0" w:line="277" w:lineRule="auto"/>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of our outstanding shares of our Series C preferred stock into 2,233,333 shares of common stock upon the closing of the offering;</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issuance of 10,500,000 shares of common stock in the offering;</w:t>
      </w:r>
    </w:p>
    <w:p>
      <w:pPr>
        <w:spacing w:after="0" w:line="117" w:lineRule="exact"/>
        <w:rPr>
          <w:rFonts w:ascii="Arial" w:cs="Arial" w:eastAsia="Arial" w:hAnsi="Arial"/>
          <w:sz w:val="18"/>
          <w:szCs w:val="18"/>
          <w:color w:val="auto"/>
        </w:rPr>
      </w:pPr>
    </w:p>
    <w:p>
      <w:pPr>
        <w:ind w:left="1700" w:right="200" w:hanging="211"/>
        <w:spacing w:after="0" w:line="264" w:lineRule="auto"/>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grant of 109,329 shares of fully vested restricted stock to Brian E. Mueller, and fully vested options to purchase 29,463 shares of our common stock to each of Timothy N. Fischer, Michael S. Lacrosse, and Kathy Player, immediately following the effectiveness of the offering; and</w:t>
      </w:r>
    </w:p>
    <w:p>
      <w:pPr>
        <w:spacing w:after="0" w:line="73" w:lineRule="exact"/>
        <w:rPr>
          <w:rFonts w:ascii="Arial" w:cs="Arial" w:eastAsia="Arial" w:hAnsi="Arial"/>
          <w:sz w:val="18"/>
          <w:szCs w:val="18"/>
          <w:color w:val="auto"/>
        </w:rPr>
      </w:pPr>
    </w:p>
    <w:p>
      <w:pPr>
        <w:ind w:left="1700" w:right="200" w:hanging="211"/>
        <w:spacing w:after="0" w:line="264" w:lineRule="auto"/>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grant to Brent and Chris Richardson of the right to vote an additional 12,509,035 shares of our common stock as a result of the voting agreement that will be effective upon the closing of this offering, as described in the notes below the table.</w:t>
      </w:r>
    </w:p>
    <w:p>
      <w:pPr>
        <w:spacing w:after="0" w:line="200" w:lineRule="exact"/>
        <w:rPr>
          <w:sz w:val="20"/>
          <w:szCs w:val="20"/>
          <w:color w:val="auto"/>
        </w:rPr>
      </w:pPr>
    </w:p>
    <w:p>
      <w:pPr>
        <w:spacing w:after="0" w:line="29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Beneficially</w:t>
            </w: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Owned Prior to the</w:t>
            </w:r>
          </w:p>
        </w:tc>
        <w:tc>
          <w:tcPr>
            <w:tcW w:w="18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10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5"/>
              </w:rPr>
              <w:t>Offering</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Over-Allotment</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2"/>
                <w:szCs w:val="12"/>
                <w:color w:val="auto"/>
              </w:rPr>
            </w:pPr>
          </w:p>
        </w:tc>
        <w:tc>
          <w:tcPr>
            <w:tcW w:w="10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Principal Stockholders:</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Endeavour Capital Fund IV, L.P. and affiliates</w:t>
            </w:r>
            <w:r>
              <w:rPr>
                <w:rFonts w:ascii="Arial" w:cs="Arial" w:eastAsia="Arial" w:hAnsi="Arial"/>
                <w:sz w:val="12"/>
                <w:szCs w:val="12"/>
                <w:color w:val="auto"/>
              </w:rPr>
              <w:t>(3)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10,012,137</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10,012,137</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10,012,137</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220 GCU, L.P. and affiliates</w:t>
            </w:r>
            <w:r>
              <w:rPr>
                <w:rFonts w:ascii="Arial" w:cs="Arial" w:eastAsia="Arial" w:hAnsi="Arial"/>
                <w:sz w:val="12"/>
                <w:szCs w:val="12"/>
                <w:color w:val="auto"/>
              </w:rPr>
              <w:t>(4)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7,136,677</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7,136,677</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7,136,677</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Staci L. Buse</w:t>
            </w:r>
            <w:r>
              <w:rPr>
                <w:rFonts w:ascii="Arial" w:cs="Arial" w:eastAsia="Arial" w:hAnsi="Arial"/>
                <w:sz w:val="12"/>
                <w:szCs w:val="12"/>
                <w:color w:val="auto"/>
              </w:rPr>
              <w:t>(5)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3,503,172</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3,503,172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3,503,172</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Significant Ventures, LLC</w:t>
            </w:r>
            <w:r>
              <w:rPr>
                <w:rFonts w:ascii="Arial" w:cs="Arial" w:eastAsia="Arial" w:hAnsi="Arial"/>
                <w:sz w:val="12"/>
                <w:szCs w:val="12"/>
                <w:color w:val="auto"/>
              </w:rPr>
              <w:t>(6)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2,971,144</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2,971,144</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2,971,144</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 and Executive Officers:</w:t>
            </w: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Brent D. Richardson</w:t>
            </w:r>
            <w:r>
              <w:rPr>
                <w:rFonts w:ascii="Arial" w:cs="Arial" w:eastAsia="Arial" w:hAnsi="Arial"/>
                <w:sz w:val="12"/>
                <w:szCs w:val="12"/>
                <w:color w:val="auto"/>
              </w:rPr>
              <w:t>(7)(10)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3,503,172</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19,516,243</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19,516,243</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E. Mueller</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109,329</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109,329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John E. Crowley</w:t>
            </w:r>
            <w:r>
              <w:rPr>
                <w:rFonts w:ascii="Arial" w:cs="Arial" w:eastAsia="Arial" w:hAnsi="Arial"/>
                <w:sz w:val="12"/>
                <w:szCs w:val="12"/>
                <w:color w:val="auto"/>
              </w:rPr>
              <w:t>(8)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401,899</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401,899</w:t>
            </w: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401,899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C. Richardson</w:t>
            </w:r>
            <w:r>
              <w:rPr>
                <w:rFonts w:ascii="Arial" w:cs="Arial" w:eastAsia="Arial" w:hAnsi="Arial"/>
                <w:sz w:val="12"/>
                <w:szCs w:val="12"/>
                <w:color w:val="auto"/>
              </w:rPr>
              <w:t>(9)(10)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3,504,036</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19,516,243</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19,516,243</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Daniel E. Bachus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 Stan Meyer</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Timothy N. Fischer</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29,463</w:t>
            </w: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29,463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S. Lacrosse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29,463</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Kathy Player</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29,463</w:t>
            </w: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29,463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Chad N. Heath</w:t>
            </w:r>
            <w:r>
              <w:rPr>
                <w:rFonts w:ascii="Arial" w:cs="Arial" w:eastAsia="Arial" w:hAnsi="Arial"/>
                <w:sz w:val="12"/>
                <w:szCs w:val="12"/>
                <w:color w:val="auto"/>
              </w:rPr>
              <w:t>(11)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10,012,137</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10,012,137</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10,012,137</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D. Mark Dorman</w:t>
            </w:r>
            <w:r>
              <w:rPr>
                <w:rFonts w:ascii="Arial" w:cs="Arial" w:eastAsia="Arial" w:hAnsi="Arial"/>
                <w:sz w:val="12"/>
                <w:szCs w:val="12"/>
                <w:color w:val="auto"/>
              </w:rPr>
              <w:t>(11)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10,012,137</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10,012,137</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10,012,137</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J. Johnson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Jack A. Henry</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7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All directors, director-nominees, and executive officers as a group</w:t>
            </w: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(12 persons)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17,421,244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29,726,098</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29,726,098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Represents beneficial ownership of less than 1%</w:t>
      </w:r>
    </w:p>
    <w:p>
      <w:pPr>
        <w:spacing w:after="0" w:line="63" w:lineRule="exact"/>
        <w:rPr>
          <w:sz w:val="20"/>
          <w:szCs w:val="20"/>
          <w:color w:val="auto"/>
        </w:rPr>
      </w:pPr>
    </w:p>
    <w:p>
      <w:pPr>
        <w:ind w:left="1000" w:right="100" w:hanging="301"/>
        <w:spacing w:after="0" w:line="295"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3" w:lineRule="exact"/>
        <w:rPr>
          <w:rFonts w:ascii="Arial" w:cs="Arial" w:eastAsia="Arial" w:hAnsi="Arial"/>
          <w:sz w:val="16"/>
          <w:szCs w:val="16"/>
          <w:color w:val="auto"/>
        </w:rPr>
      </w:pPr>
    </w:p>
    <w:p>
      <w:pPr>
        <w:ind w:left="1000" w:hanging="301"/>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presented assume that the over-allotment option is exercised in full.</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76" w:lineRule="exact"/>
        <w:rPr>
          <w:rFonts w:ascii="Arial" w:cs="Arial" w:eastAsia="Arial" w:hAnsi="Arial"/>
          <w:sz w:val="18"/>
          <w:szCs w:val="18"/>
          <w:color w:val="auto"/>
        </w:rPr>
      </w:pPr>
    </w:p>
    <w:p>
      <w:pPr>
        <w:jc w:val="both"/>
        <w:ind w:left="1900" w:right="240" w:hanging="208"/>
        <w:spacing w:after="0" w:line="264" w:lineRule="auto"/>
        <w:tabs>
          <w:tab w:leader="none" w:pos="1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7,692,938 shares of common stock issuable upon the conversion of shares of Series A convertible preferred stock and approximately 831,886 shares of common stock issuable upon the conversion of shares of Series C preferred stock, in each case held of record by Endeavour Capital Fund IV, L.P.;</w:t>
      </w:r>
    </w:p>
    <w:p>
      <w:pPr>
        <w:spacing w:after="0" w:line="19" w:lineRule="exact"/>
        <w:rPr>
          <w:rFonts w:ascii="Arial" w:cs="Arial" w:eastAsia="Arial" w:hAnsi="Arial"/>
          <w:sz w:val="18"/>
          <w:szCs w:val="18"/>
          <w:color w:val="auto"/>
        </w:rPr>
      </w:pPr>
    </w:p>
    <w:p>
      <w:pPr>
        <w:ind w:left="1900" w:right="340" w:hanging="208"/>
        <w:spacing w:after="0" w:line="286" w:lineRule="auto"/>
        <w:tabs>
          <w:tab w:leader="none" w:pos="19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471,108 shares of common stock issuable upon the conversion of shares of Series A convertible preferred stock and approximately 51,007 shares of common stock issuable upon the conversion of shares of Series C preferred stock, in each case held of record by Endeavour Associates Fund IV, L.P.; and</w:t>
      </w:r>
    </w:p>
    <w:p>
      <w:pPr>
        <w:spacing w:after="0" w:line="3" w:lineRule="exact"/>
        <w:rPr>
          <w:rFonts w:ascii="Arial" w:cs="Arial" w:eastAsia="Arial" w:hAnsi="Arial"/>
          <w:sz w:val="17"/>
          <w:szCs w:val="17"/>
          <w:color w:val="auto"/>
        </w:rPr>
      </w:pPr>
    </w:p>
    <w:p>
      <w:pPr>
        <w:ind w:left="1900" w:right="340" w:hanging="208"/>
        <w:spacing w:after="0" w:line="286" w:lineRule="auto"/>
        <w:tabs>
          <w:tab w:leader="none" w:pos="19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871,002 shares of common stock issuable upon the conversion of shares of Series A convertible preferred stock and approximately 94,197 shares of common stock issuable upon the conversion of shares of Series C preferred stock, in each case held of record by Endeavour Capital Parallel Fund IV, L.P.</w:t>
      </w:r>
    </w:p>
    <w:p>
      <w:pPr>
        <w:spacing w:after="0" w:line="17" w:lineRule="exact"/>
        <w:rPr>
          <w:sz w:val="20"/>
          <w:szCs w:val="20"/>
          <w:color w:val="auto"/>
        </w:rPr>
      </w:pPr>
    </w:p>
    <w:p>
      <w:pPr>
        <w:ind w:left="1600" w:right="100"/>
        <w:spacing w:after="0" w:line="257" w:lineRule="auto"/>
        <w:rPr>
          <w:sz w:val="20"/>
          <w:szCs w:val="20"/>
          <w:color w:val="auto"/>
        </w:rPr>
      </w:pPr>
      <w:r>
        <w:rPr>
          <w:rFonts w:ascii="Arial" w:cs="Arial" w:eastAsia="Arial" w:hAnsi="Arial"/>
          <w:sz w:val="18"/>
          <w:szCs w:val="18"/>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1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hanging="301"/>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76" w:lineRule="exact"/>
        <w:rPr>
          <w:rFonts w:ascii="Arial" w:cs="Arial" w:eastAsia="Arial" w:hAnsi="Arial"/>
          <w:sz w:val="18"/>
          <w:szCs w:val="18"/>
          <w:color w:val="auto"/>
        </w:rPr>
      </w:pPr>
    </w:p>
    <w:p>
      <w:pPr>
        <w:jc w:val="both"/>
        <w:ind w:left="1900" w:right="220" w:hanging="208"/>
        <w:spacing w:after="0" w:line="264"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1,835,130 shares of common stock issuable upon the conversion of shares of Series A convertible preferred stock and approximately 198,456 shares of common stock issuable upon the conversion of shares of Series C preferred stock, in each case held of record by 220 GCU, L.P.;</w:t>
      </w:r>
    </w:p>
    <w:p>
      <w:pPr>
        <w:spacing w:after="0" w:line="19" w:lineRule="exact"/>
        <w:rPr>
          <w:rFonts w:ascii="Arial" w:cs="Arial" w:eastAsia="Arial" w:hAnsi="Arial"/>
          <w:sz w:val="18"/>
          <w:szCs w:val="18"/>
          <w:color w:val="auto"/>
        </w:rPr>
      </w:pPr>
    </w:p>
    <w:p>
      <w:pPr>
        <w:ind w:left="1900" w:right="160" w:hanging="208"/>
        <w:spacing w:after="0" w:line="277"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1,297,172 shares of common stock and approximately 94,570 shares of common stock issuable upon the conversion of shares of Series C preferred stock, in each case held of record by 220 Education, L.P.;</w:t>
      </w:r>
    </w:p>
    <w:p>
      <w:pPr>
        <w:spacing w:after="0" w:line="8" w:lineRule="exact"/>
        <w:rPr>
          <w:rFonts w:ascii="Arial" w:cs="Arial" w:eastAsia="Arial" w:hAnsi="Arial"/>
          <w:sz w:val="18"/>
          <w:szCs w:val="18"/>
          <w:color w:val="auto"/>
        </w:rPr>
      </w:pPr>
    </w:p>
    <w:p>
      <w:pPr>
        <w:ind w:left="1900" w:right="160" w:hanging="208"/>
        <w:spacing w:after="0" w:line="277"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1,037,752 shares of common stock and approximately 75,658 shares of common stock issuable upon the conversion of shares of Series C preferred stock, in each case held of record by 220-SigEd, L.P.; and</w:t>
      </w:r>
    </w:p>
    <w:p>
      <w:pPr>
        <w:spacing w:after="0" w:line="8" w:lineRule="exact"/>
        <w:rPr>
          <w:rFonts w:ascii="Arial" w:cs="Arial" w:eastAsia="Arial" w:hAnsi="Arial"/>
          <w:sz w:val="18"/>
          <w:szCs w:val="18"/>
          <w:color w:val="auto"/>
        </w:rPr>
      </w:pPr>
    </w:p>
    <w:p>
      <w:pPr>
        <w:ind w:left="1900" w:right="60" w:hanging="208"/>
        <w:spacing w:after="0" w:line="277"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2,421,404 shares of common stock and approximately 198,456 shares of common stock issuable upon the conversion of shares of Series C preferred stock, in each case held of record by SV One, L.P.</w:t>
      </w:r>
    </w:p>
    <w:p>
      <w:pPr>
        <w:spacing w:after="0" w:line="22" w:lineRule="exact"/>
        <w:rPr>
          <w:sz w:val="20"/>
          <w:szCs w:val="20"/>
          <w:color w:val="auto"/>
        </w:rPr>
      </w:pPr>
    </w:p>
    <w:p>
      <w:pPr>
        <w:ind w:left="1600"/>
        <w:spacing w:after="0" w:line="288" w:lineRule="auto"/>
        <w:rPr>
          <w:sz w:val="20"/>
          <w:szCs w:val="20"/>
          <w:color w:val="auto"/>
        </w:rPr>
      </w:pPr>
      <w:r>
        <w:rPr>
          <w:rFonts w:ascii="Arial" w:cs="Arial" w:eastAsia="Arial" w:hAnsi="Arial"/>
          <w:sz w:val="16"/>
          <w:szCs w:val="16"/>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 stock. Each of Messrs. Brent Richardson and Chris Richardson disclaim beneficial ownership of such shares, except to the extent of such voting interest.</w:t>
      </w:r>
    </w:p>
    <w:p>
      <w:pPr>
        <w:spacing w:after="0" w:line="21" w:lineRule="exact"/>
        <w:rPr>
          <w:sz w:val="20"/>
          <w:szCs w:val="20"/>
          <w:color w:val="auto"/>
        </w:rPr>
      </w:pPr>
    </w:p>
    <w:p>
      <w:pPr>
        <w:ind w:left="1000" w:hanging="301"/>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Consists of 3,347,452 shares of common stock held of record by Rich Crow Enterprises, LLC and Masters Online, LLC and</w:t>
      </w:r>
    </w:p>
    <w:p>
      <w:pPr>
        <w:spacing w:after="0" w:line="34" w:lineRule="exact"/>
        <w:rPr>
          <w:rFonts w:ascii="Arial" w:cs="Arial" w:eastAsia="Arial" w:hAnsi="Arial"/>
          <w:sz w:val="17"/>
          <w:szCs w:val="17"/>
          <w:color w:val="auto"/>
        </w:rPr>
      </w:pPr>
    </w:p>
    <w:p>
      <w:pPr>
        <w:ind w:left="1000" w:right="80"/>
        <w:spacing w:after="0" w:line="292" w:lineRule="auto"/>
        <w:rPr>
          <w:rFonts w:ascii="Arial" w:cs="Arial" w:eastAsia="Arial" w:hAnsi="Arial"/>
          <w:sz w:val="17"/>
          <w:szCs w:val="17"/>
          <w:color w:val="auto"/>
        </w:rPr>
      </w:pPr>
      <w:r>
        <w:rPr>
          <w:rFonts w:ascii="Arial" w:cs="Arial" w:eastAsia="Arial" w:hAnsi="Arial"/>
          <w:sz w:val="16"/>
          <w:szCs w:val="16"/>
          <w:color w:val="auto"/>
        </w:rPr>
        <w:t>155,719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ind w:left="1000" w:right="100" w:hanging="301"/>
        <w:spacing w:after="0" w:line="255"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2,767,321 shares of common stock and approximately 203,823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27" w:lineRule="exact"/>
        <w:rPr>
          <w:rFonts w:ascii="Arial" w:cs="Arial" w:eastAsia="Arial" w:hAnsi="Arial"/>
          <w:sz w:val="18"/>
          <w:szCs w:val="18"/>
          <w:color w:val="auto"/>
        </w:rPr>
      </w:pPr>
    </w:p>
    <w:p>
      <w:pPr>
        <w:ind w:left="1000" w:right="60" w:hanging="301"/>
        <w:spacing w:after="0" w:line="288"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Prior to this offering, the total for Brent D. Richardson consists of 3,347,452 shares of common stock held of record by Rich Crow Enterprises, LLC and Masters Online, LLC and 155,719 shares of common stock issuable upon the conversion of Series C preferred stock held of record by Rich Crow Enterprises, LLC, in each case which are attributable to, and beneficially owned by,</w:t>
      </w:r>
    </w:p>
    <w:p>
      <w:pPr>
        <w:ind w:left="1000"/>
        <w:spacing w:after="0"/>
        <w:rPr>
          <w:rFonts w:ascii="Arial" w:cs="Arial" w:eastAsia="Arial" w:hAnsi="Arial"/>
          <w:sz w:val="16"/>
          <w:szCs w:val="16"/>
          <w:color w:val="auto"/>
        </w:rPr>
      </w:pPr>
      <w:r>
        <w:rPr>
          <w:rFonts w:ascii="Arial" w:cs="Arial" w:eastAsia="Arial" w:hAnsi="Arial"/>
          <w:sz w:val="18"/>
          <w:szCs w:val="18"/>
          <w:color w:val="auto"/>
        </w:rPr>
        <w:t>Mr. Richardson.</w:t>
      </w:r>
    </w:p>
    <w:p>
      <w:pPr>
        <w:spacing w:after="0" w:line="48" w:lineRule="exact"/>
        <w:rPr>
          <w:rFonts w:ascii="Arial" w:cs="Arial" w:eastAsia="Arial" w:hAnsi="Arial"/>
          <w:sz w:val="16"/>
          <w:szCs w:val="16"/>
          <w:color w:val="auto"/>
        </w:rPr>
      </w:pPr>
    </w:p>
    <w:p>
      <w:pPr>
        <w:ind w:left="1000" w:right="60" w:hanging="301"/>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382,435 shares of common stock and approximately 19,465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60"/>
        <w:spacing w:after="0" w:line="298" w:lineRule="auto"/>
        <w:rPr>
          <w:sz w:val="20"/>
          <w:szCs w:val="20"/>
          <w:color w:val="auto"/>
        </w:rPr>
      </w:pPr>
      <w:r>
        <w:rPr>
          <w:rFonts w:ascii="Arial" w:cs="Arial" w:eastAsia="Arial" w:hAnsi="Arial"/>
          <w:sz w:val="17"/>
          <w:szCs w:val="17"/>
          <w:color w:val="auto"/>
        </w:rPr>
        <w:t>and Chris Richardson have voting power over the shares beneficially owned by Mr. Crowley. Each of Messrs. Brent Richardson and Chris Richardson disclaim beneficial ownership of such shares, except to the extent of such voting interest.</w:t>
      </w:r>
    </w:p>
    <w:p>
      <w:pPr>
        <w:spacing w:after="0" w:line="1" w:lineRule="exact"/>
        <w:rPr>
          <w:sz w:val="20"/>
          <w:szCs w:val="20"/>
          <w:color w:val="auto"/>
        </w:rPr>
      </w:pPr>
    </w:p>
    <w:p>
      <w:pPr>
        <w:ind w:left="1000" w:right="180" w:hanging="301"/>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to this offering, the total for Christopher C. Richardson consists of 3,348,317 shares of common stock held of record by Rich Crow Enterprises, LLC and Masters Online, LLC and 155,719 shares of common stock issuable upon conversion of Series C preferred stock held of record by Rich Crow Enterprises, LLC, in each case which are attributable to, and beneficially owned by, Mr. Richardson.</w:t>
      </w:r>
    </w:p>
    <w:p>
      <w:pPr>
        <w:spacing w:after="0" w:line="38" w:lineRule="exact"/>
        <w:rPr>
          <w:rFonts w:ascii="Arial" w:cs="Arial" w:eastAsia="Arial" w:hAnsi="Arial"/>
          <w:sz w:val="18"/>
          <w:szCs w:val="18"/>
          <w:color w:val="auto"/>
        </w:rPr>
      </w:pPr>
    </w:p>
    <w:p>
      <w:pPr>
        <w:ind w:left="1100" w:hanging="397"/>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Following this offering, the total for Brent D. Richardson and Christopher C. Richardson consists of:</w:t>
      </w:r>
    </w:p>
    <w:p>
      <w:pPr>
        <w:spacing w:after="0" w:line="76" w:lineRule="exact"/>
        <w:rPr>
          <w:rFonts w:ascii="Arial" w:cs="Arial" w:eastAsia="Arial" w:hAnsi="Arial"/>
          <w:sz w:val="18"/>
          <w:szCs w:val="18"/>
          <w:color w:val="auto"/>
        </w:rPr>
      </w:pPr>
    </w:p>
    <w:p>
      <w:pPr>
        <w:ind w:left="1900" w:hanging="208"/>
        <w:spacing w:after="0"/>
        <w:tabs>
          <w:tab w:leader="none" w:pos="1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3,347,452 shares of common stock held of record by Rich Crow Enterprises, LLC and Masters Online, LLC and</w:t>
      </w:r>
    </w:p>
    <w:p>
      <w:pPr>
        <w:spacing w:after="0" w:line="34" w:lineRule="exact"/>
        <w:rPr>
          <w:rFonts w:ascii="Arial" w:cs="Arial" w:eastAsia="Arial" w:hAnsi="Arial"/>
          <w:sz w:val="17"/>
          <w:szCs w:val="17"/>
          <w:color w:val="auto"/>
        </w:rPr>
      </w:pPr>
    </w:p>
    <w:p>
      <w:pPr>
        <w:ind w:left="1900" w:right="100"/>
        <w:spacing w:after="0" w:line="307" w:lineRule="auto"/>
        <w:rPr>
          <w:rFonts w:ascii="Arial" w:cs="Arial" w:eastAsia="Arial" w:hAnsi="Arial"/>
          <w:sz w:val="17"/>
          <w:szCs w:val="17"/>
          <w:color w:val="auto"/>
        </w:rPr>
      </w:pPr>
      <w:r>
        <w:rPr>
          <w:rFonts w:ascii="Arial" w:cs="Arial" w:eastAsia="Arial" w:hAnsi="Arial"/>
          <w:sz w:val="16"/>
          <w:szCs w:val="16"/>
          <w:color w:val="auto"/>
        </w:rPr>
        <w:t>155,719 shares of common stock issuable upon the conversion of Series C preferred stock held of record by Rich Crow Enterprises, LLC, in each case which are attributable to, and beneficially owned by, Mr. Brent D. Richardson.</w:t>
      </w:r>
    </w:p>
    <w:p>
      <w:pPr>
        <w:spacing w:after="0" w:line="1" w:lineRule="exact"/>
        <w:rPr>
          <w:rFonts w:ascii="Arial" w:cs="Arial" w:eastAsia="Arial" w:hAnsi="Arial"/>
          <w:sz w:val="17"/>
          <w:szCs w:val="17"/>
          <w:color w:val="auto"/>
        </w:rPr>
      </w:pPr>
    </w:p>
    <w:p>
      <w:pPr>
        <w:ind w:left="1900" w:hanging="208"/>
        <w:spacing w:after="0"/>
        <w:tabs>
          <w:tab w:leader="none" w:pos="1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3,348,317 shares of common stock held of record by Rich Crow Enterprises, LLC and Masters Online, LLC and</w:t>
      </w:r>
    </w:p>
    <w:p>
      <w:pPr>
        <w:spacing w:after="0" w:line="34" w:lineRule="exact"/>
        <w:rPr>
          <w:rFonts w:ascii="Arial" w:cs="Arial" w:eastAsia="Arial" w:hAnsi="Arial"/>
          <w:sz w:val="17"/>
          <w:szCs w:val="17"/>
          <w:color w:val="auto"/>
        </w:rPr>
      </w:pPr>
    </w:p>
    <w:p>
      <w:pPr>
        <w:jc w:val="both"/>
        <w:ind w:left="1900" w:right="340"/>
        <w:spacing w:after="0" w:line="307" w:lineRule="auto"/>
        <w:rPr>
          <w:rFonts w:ascii="Arial" w:cs="Arial" w:eastAsia="Arial" w:hAnsi="Arial"/>
          <w:sz w:val="17"/>
          <w:szCs w:val="17"/>
          <w:color w:val="auto"/>
        </w:rPr>
      </w:pPr>
      <w:r>
        <w:rPr>
          <w:rFonts w:ascii="Arial" w:cs="Arial" w:eastAsia="Arial" w:hAnsi="Arial"/>
          <w:sz w:val="16"/>
          <w:szCs w:val="16"/>
          <w:color w:val="auto"/>
        </w:rPr>
        <w:t>155,719 shares of common stock issuable upon conversion of Series C preferred stock held of record by Rich Crow Enterprises, LLC, in each case which are attributable to, and beneficially owned by, Mr. Christopher C. Richardson.</w:t>
      </w:r>
    </w:p>
    <w:p>
      <w:pPr>
        <w:spacing w:after="0" w:line="1" w:lineRule="exact"/>
        <w:rPr>
          <w:rFonts w:ascii="Arial" w:cs="Arial" w:eastAsia="Arial" w:hAnsi="Arial"/>
          <w:sz w:val="17"/>
          <w:szCs w:val="17"/>
          <w:color w:val="auto"/>
        </w:rPr>
      </w:pPr>
    </w:p>
    <w:p>
      <w:pPr>
        <w:ind w:left="1900" w:hanging="208"/>
        <w:spacing w:after="0"/>
        <w:tabs>
          <w:tab w:leader="none" w:pos="1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3,347,452 shares of common stock held of record by Rich Crow Enterprises, LLC and Masters Online, LLC and</w:t>
      </w:r>
    </w:p>
    <w:p>
      <w:pPr>
        <w:spacing w:after="0" w:line="34" w:lineRule="exact"/>
        <w:rPr>
          <w:rFonts w:ascii="Arial" w:cs="Arial" w:eastAsia="Arial" w:hAnsi="Arial"/>
          <w:sz w:val="17"/>
          <w:szCs w:val="17"/>
          <w:color w:val="auto"/>
        </w:rPr>
      </w:pPr>
    </w:p>
    <w:p>
      <w:pPr>
        <w:ind w:left="1900" w:right="100"/>
        <w:spacing w:after="0" w:line="255" w:lineRule="auto"/>
        <w:rPr>
          <w:rFonts w:ascii="Arial" w:cs="Arial" w:eastAsia="Arial" w:hAnsi="Arial"/>
          <w:sz w:val="17"/>
          <w:szCs w:val="17"/>
          <w:color w:val="auto"/>
        </w:rPr>
      </w:pPr>
      <w:r>
        <w:rPr>
          <w:rFonts w:ascii="Arial" w:cs="Arial" w:eastAsia="Arial" w:hAnsi="Arial"/>
          <w:sz w:val="18"/>
          <w:szCs w:val="18"/>
          <w:color w:val="auto"/>
        </w:rPr>
        <w:t>155,719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28" w:lineRule="exact"/>
        <w:rPr>
          <w:rFonts w:ascii="Arial" w:cs="Arial" w:eastAsia="Arial" w:hAnsi="Arial"/>
          <w:sz w:val="17"/>
          <w:szCs w:val="17"/>
          <w:color w:val="auto"/>
        </w:rPr>
      </w:pPr>
    </w:p>
    <w:p>
      <w:pPr>
        <w:ind w:left="1900" w:right="80" w:hanging="208"/>
        <w:spacing w:after="0" w:line="264"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382,435 shares of common stock held of record by Rich Crow Enterprises, LLC and approximately 19,465 shares of common stock issuable upon the conversion of Series C preferred stock held of record by Rich Crow Enterprises, LLC, in each case which are attributable to, and beneficially owned by, Mr. John Crowley.</w:t>
      </w:r>
    </w:p>
    <w:p>
      <w:pPr>
        <w:spacing w:after="0" w:line="19" w:lineRule="exact"/>
        <w:rPr>
          <w:rFonts w:ascii="Arial" w:cs="Arial" w:eastAsia="Arial" w:hAnsi="Arial"/>
          <w:sz w:val="18"/>
          <w:szCs w:val="18"/>
          <w:color w:val="auto"/>
        </w:rPr>
      </w:pPr>
    </w:p>
    <w:p>
      <w:pPr>
        <w:ind w:left="1900" w:hanging="208"/>
        <w:spacing w:after="0"/>
        <w:tabs>
          <w:tab w:leader="none" w:pos="1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shares held by the 220 Entities and the shares held by Significant Ventures, as described in Notes (4) and (6) above.</w:t>
      </w:r>
    </w:p>
    <w:p>
      <w:pPr>
        <w:spacing w:after="0" w:line="86" w:lineRule="exact"/>
        <w:rPr>
          <w:rFonts w:ascii="Arial" w:cs="Arial" w:eastAsia="Arial" w:hAnsi="Arial"/>
          <w:sz w:val="16"/>
          <w:szCs w:val="16"/>
          <w:color w:val="auto"/>
        </w:rPr>
      </w:pPr>
    </w:p>
    <w:p>
      <w:pPr>
        <w:ind w:left="1900" w:hanging="208"/>
        <w:spacing w:after="0" w:line="277"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310,694 shares of common stock and 20,580 shares of common stock issuable upon the conversion of Series C preferred stock held of record by other stockholders.</w:t>
      </w:r>
    </w:p>
    <w:p>
      <w:pPr>
        <w:spacing w:after="0" w:line="22" w:lineRule="exact"/>
        <w:rPr>
          <w:sz w:val="20"/>
          <w:szCs w:val="20"/>
          <w:color w:val="auto"/>
        </w:rPr>
      </w:pPr>
    </w:p>
    <w:p>
      <w:pPr>
        <w:ind w:left="1600" w:right="80"/>
        <w:spacing w:after="0" w:line="257" w:lineRule="auto"/>
        <w:rPr>
          <w:sz w:val="20"/>
          <w:szCs w:val="20"/>
          <w:color w:val="auto"/>
        </w:rPr>
      </w:pPr>
      <w:r>
        <w:rPr>
          <w:rFonts w:ascii="Arial" w:cs="Arial" w:eastAsia="Arial" w:hAnsi="Arial"/>
          <w:sz w:val="18"/>
          <w:szCs w:val="18"/>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40" w:lineRule="exact"/>
        <w:rPr>
          <w:sz w:val="20"/>
          <w:szCs w:val="20"/>
          <w:color w:val="auto"/>
        </w:rPr>
      </w:pPr>
    </w:p>
    <w:p>
      <w:pPr>
        <w:ind w:left="1100" w:hanging="390"/>
        <w:spacing w:after="0" w:line="276"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Consists of 9,035,048 shares of common stock issuable upon conversion of Series A convertible preferred stock and 977,089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following description of our capital stock summarizes provisions of our certificate of incorporation and bylaws as they will be in effect upon completion of the offering. As of the date of this prospectus, our authorized capital stock consists of 100,000,000 shares of common stock, $0.01 par value per share, and 15,800 shares of preferred stock, $0.01 par value per share, of which 9,700 are designated as Series A convertible preferred stock, 2,200 are designated as Series B preferred stock (which are no longer outstanding) and 3,900 are designated as Series C preferred stock. Immediately after completion of this offering, after giving effect to the conversion of our outstanding Series A convertible preferred stock and Series C preferred stock into common stock and the effectiveness of our amended and restated certificate of incorporation, our authorized capital stock will consist of 100,000,000 shares of common stock, $0.01 par value per share, and 10,000,000 shares of undesignated preferred stock, $0.01 par value per share.</w:t>
      </w:r>
    </w:p>
    <w:p>
      <w:pPr>
        <w:spacing w:after="0" w:line="7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As of September 30, 2008, there were 33,231,509 shares of our common stock outstanding and held of record by fifteen stockholders, reflecting the exercise in November 2008 of a warrant to purchase 909,348 shares of our common stock and assuming the conversion of all outstanding shares of Series A preferred stock into 10,870,178 shares of common stock, and the conversion of all outstanding shares of Series C preferred stock into 2,233,333 shares of common stock.</w:t>
      </w:r>
    </w:p>
    <w:p>
      <w:pPr>
        <w:spacing w:after="0" w:line="77"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common stock are entitled to one vote per share on any matter to be voted upon by stockholders.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92"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the prior rights of holders of preferred stock, for as long as such stock is outstanding,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entitled to receive ratably any 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60"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Upon a liquidation or dissolution of our company, whether voluntary or involuntary, creditors and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preferred stock with preferential liquidation rights will be paid before any distribution to holders of our common stock. After such distribution, holders of common stock are entitled to receive a pro rata distribution per share of any excess amount.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Undesignated Preferred Stock</w:t>
      </w:r>
    </w:p>
    <w:p>
      <w:pPr>
        <w:spacing w:after="0" w:line="135"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Warrants</w:t>
      </w:r>
    </w:p>
    <w:p>
      <w:pPr>
        <w:spacing w:after="0" w:line="135"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As of September 30, 2008, we had outstanding a warrant to purchase an aggregate of 909,348 shares of our common stock at an exercise price of approximately $0.58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prior to its expiration in 2024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for a period equal to the earlier of three years from such issuance or the expiration of the warrant, in each case for</w:t>
      </w:r>
    </w:p>
    <w:p>
      <w:pPr>
        <w:spacing w:after="0" w:line="3" w:lineRule="exact"/>
        <w:rPr>
          <w:sz w:val="20"/>
          <w:szCs w:val="20"/>
          <w:color w:val="auto"/>
        </w:rPr>
      </w:pPr>
    </w:p>
    <w:p>
      <w:pPr>
        <w:jc w:val="both"/>
        <w:ind w:left="700" w:right="360"/>
        <w:spacing w:after="0" w:line="255" w:lineRule="auto"/>
        <w:rPr>
          <w:sz w:val="20"/>
          <w:szCs w:val="20"/>
          <w:color w:val="auto"/>
        </w:rPr>
      </w:pPr>
      <w:r>
        <w:rPr>
          <w:rFonts w:ascii="Arial" w:cs="Arial" w:eastAsia="Arial" w:hAnsi="Arial"/>
          <w:sz w:val="18"/>
          <w:szCs w:val="18"/>
          <w:color w:val="auto"/>
        </w:rPr>
        <w:t>$16.0 million, was transferred to a holding company owned by our original investors and then assigned back to us. This warrant was exercised in November 2008 and, following this offering, we will retain such repurchase rights with respect to the 909,348 shares of common stock issued upon exercise.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of Delaware Law and our Charter and Bylaws with Anti-Takeover Implications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Charter and Bylaw Provisions</w:t>
      </w:r>
    </w:p>
    <w:p>
      <w:pPr>
        <w:spacing w:after="0" w:line="131"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7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Our bylaws will provide that directors may be removed only for cause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 majority of the voting 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94"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charter will provide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3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Meetings of Stockholders. </w:t>
      </w:r>
      <w:r>
        <w:rPr>
          <w:rFonts w:ascii="Arial" w:cs="Arial" w:eastAsia="Arial" w:hAnsi="Arial"/>
          <w:sz w:val="18"/>
          <w:szCs w:val="18"/>
          <w:color w:val="auto"/>
        </w:rPr>
        <w:t>Our bylaws will provide that only a majority of the members of our board of directors then in office may</w:t>
      </w:r>
      <w:r>
        <w:rPr>
          <w:rFonts w:ascii="Arial" w:cs="Arial" w:eastAsia="Arial" w:hAnsi="Arial"/>
          <w:sz w:val="18"/>
          <w:szCs w:val="18"/>
          <w:i w:val="1"/>
          <w:iCs w:val="1"/>
          <w:color w:val="auto"/>
        </w:rPr>
        <w:t xml:space="preserve"> </w:t>
      </w:r>
      <w:r>
        <w:rPr>
          <w:rFonts w:ascii="Arial" w:cs="Arial" w:eastAsia="Arial" w:hAnsi="Arial"/>
          <w:sz w:val="18"/>
          <w:szCs w:val="18"/>
          <w:color w:val="auto"/>
        </w:rPr>
        <w:t>call special meetings of stockholders and only 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92"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will establish advance notice procedures with regard to stockholder proposals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earlier than the close of business on the 120th day, nor later than the close of business on the 90th day, prior to the first anniversary date of the annual meeting for the preceding year. The notice must contain certain information specified in the bylaws.</w:t>
      </w:r>
    </w:p>
    <w:p>
      <w:pPr>
        <w:spacing w:after="0" w:line="70"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6"/>
          <w:szCs w:val="16"/>
          <w:i w:val="1"/>
          <w:iCs w:val="1"/>
          <w:color w:val="auto"/>
        </w:rPr>
        <w:t xml:space="preserve">Amendment to Bylaws and Charter. </w:t>
      </w:r>
      <w:r>
        <w:rPr>
          <w:rFonts w:ascii="Arial" w:cs="Arial" w:eastAsia="Arial" w:hAnsi="Arial"/>
          <w:sz w:val="16"/>
          <w:szCs w:val="16"/>
          <w:color w:val="auto"/>
        </w:rPr>
        <w:t>As required by the DGCL, any amendment of our charter must first be approved by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board of directors and, if required by law or 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percent of the voting power of all of the shares of capital stock issued and outstanding and entitled to vote generally in any election of directors, voting together as a single class.</w:t>
      </w:r>
    </w:p>
    <w:p>
      <w:pPr>
        <w:spacing w:after="0" w:line="86"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charter will provide for 10,000,000 authorized shares of preferred stock. The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203 of the Delaware General Corporate Law</w:t>
      </w:r>
    </w:p>
    <w:p>
      <w:pPr>
        <w:spacing w:after="0" w:line="135"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combination between a corporation and an interested stockholder is prohibited unless it satisfies one of the following conditions:</w:t>
      </w:r>
    </w:p>
    <w:p>
      <w:pPr>
        <w:spacing w:after="0" w:line="131" w:lineRule="exact"/>
        <w:rPr>
          <w:sz w:val="20"/>
          <w:szCs w:val="20"/>
          <w:color w:val="auto"/>
        </w:rPr>
      </w:pPr>
    </w:p>
    <w:p>
      <w:pPr>
        <w:ind w:left="1700" w:hanging="211"/>
        <w:spacing w:after="0" w:line="277" w:lineRule="auto"/>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700" w:right="60" w:hanging="211"/>
        <w:spacing w:after="0" w:line="259" w:lineRule="auto"/>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78" w:lineRule="exact"/>
        <w:rPr>
          <w:rFonts w:ascii="Arial" w:cs="Arial" w:eastAsia="Arial" w:hAnsi="Arial"/>
          <w:sz w:val="18"/>
          <w:szCs w:val="18"/>
          <w:color w:val="auto"/>
        </w:rPr>
      </w:pPr>
    </w:p>
    <w:p>
      <w:pPr>
        <w:ind w:left="1700" w:right="140" w:hanging="211"/>
        <w:spacing w:after="0" w:line="286" w:lineRule="auto"/>
        <w:tabs>
          <w:tab w:leader="none" w:pos="1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of Director Liability and Indemnification Directors, Officers and Employees</w:t>
      </w:r>
    </w:p>
    <w:p>
      <w:pPr>
        <w:spacing w:after="0" w:line="135"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As permitted by the DGCL, provisions in our charter and bylaws that will be in effect at the closing of this offering will limit or eliminate the personal liability of our directors. Consequently, directors will not be personally liable to us or our stockholders for monetary damages or breach of fiduciary duty as a director, except for liability for:</w:t>
      </w:r>
    </w:p>
    <w:p>
      <w:pPr>
        <w:spacing w:after="0" w:line="87" w:lineRule="exact"/>
        <w:rPr>
          <w:sz w:val="20"/>
          <w:szCs w:val="20"/>
          <w:color w:val="auto"/>
        </w:rPr>
      </w:pPr>
    </w:p>
    <w:p>
      <w:pPr>
        <w:ind w:left="1700" w:hanging="211"/>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repurchases, redemptions or other distributions; or</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31"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700" w:hanging="211"/>
        <w:spacing w:after="0" w:line="264" w:lineRule="auto"/>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73" w:lineRule="exact"/>
        <w:rPr>
          <w:rFonts w:ascii="Arial" w:cs="Arial" w:eastAsia="Arial" w:hAnsi="Arial"/>
          <w:sz w:val="18"/>
          <w:szCs w:val="18"/>
          <w:color w:val="auto"/>
        </w:rPr>
      </w:pPr>
    </w:p>
    <w:p>
      <w:pPr>
        <w:ind w:left="1700" w:right="40" w:hanging="211"/>
        <w:spacing w:after="0" w:line="277" w:lineRule="auto"/>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advance expenses, including attorneys’ fees, to our directors and, in the discretion of our board of directors, certain officers and employees, in connection with legal proceedings, subject to limited exceptions.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also intend to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University, we have been</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informed that in the opinion of the SEC such indemnification is against public policy as expressed in the Securities Act and is therefore unenforceable.</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84"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Nasdaq</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color w:val="auto"/>
        </w:rPr>
        <w:t>Before the date of this prospectus, there has been no public market for the common stock. We have received approval to have our common stock listed on the Nasdaq Global Market, subject to notice of issuance, under the symbol “LOPE.”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SHARES ELIGIBLE FOR FUTURE SALE</w:t>
      </w:r>
    </w:p>
    <w:p>
      <w:pPr>
        <w:spacing w:after="0" w:line="135"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Upon the closing of this offering, we will have outstanding an aggregate of 43,840,837 shares of common stock (inclusive of stock grants made in connection with the offering under the Incentive Plan). Of these shares, 10,500,000 shares of common stock to be sold in this offering, or 12,075,000 shares if the underwriters exercise their over-allotment option in 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 for the purchase of 3,329,973 shares of common stock.</w:t>
      </w:r>
    </w:p>
    <w:p>
      <w:pPr>
        <w:spacing w:after="0" w:line="84"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77" w:lineRule="exact"/>
        <w:rPr>
          <w:sz w:val="20"/>
          <w:szCs w:val="20"/>
          <w:color w:val="auto"/>
        </w:rPr>
      </w:pPr>
    </w:p>
    <w:p>
      <w:pPr>
        <w:jc w:val="both"/>
        <w:ind w:left="700" w:right="240" w:firstLine="397"/>
        <w:spacing w:after="0" w:line="342" w:lineRule="auto"/>
        <w:rPr>
          <w:sz w:val="20"/>
          <w:szCs w:val="20"/>
          <w:color w:val="auto"/>
        </w:rPr>
      </w:pPr>
      <w:r>
        <w:rPr>
          <w:rFonts w:ascii="Arial" w:cs="Arial" w:eastAsia="Arial" w:hAnsi="Arial"/>
          <w:sz w:val="16"/>
          <w:szCs w:val="16"/>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29" w:lineRule="exact"/>
        <w:rPr>
          <w:sz w:val="20"/>
          <w:szCs w:val="20"/>
          <w:color w:val="auto"/>
        </w:rPr>
      </w:pPr>
    </w:p>
    <w:p>
      <w:pPr>
        <w:ind w:left="1700" w:hanging="211"/>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shares will be available for sale on the date of this prospectus;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shares will be available for sale under Rule 144 or Rule 701 beginning 90 days after the date of this prospectus; and</w:t>
      </w:r>
    </w:p>
    <w:p>
      <w:pPr>
        <w:spacing w:after="0" w:line="140" w:lineRule="exact"/>
        <w:rPr>
          <w:rFonts w:ascii="Arial" w:cs="Arial" w:eastAsia="Arial" w:hAnsi="Arial"/>
          <w:sz w:val="16"/>
          <w:szCs w:val="16"/>
          <w:color w:val="auto"/>
        </w:rPr>
      </w:pPr>
    </w:p>
    <w:p>
      <w:pPr>
        <w:ind w:left="1700" w:right="240" w:hanging="211"/>
        <w:spacing w:after="0" w:line="264" w:lineRule="auto"/>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of our shares of common stock shares will be eligible for sale upon the expiration of the lock-up agreements, as more particularly and except as described below, beginning after expiration of the lock-up period pursuant to Rule 144 or Rule 701.</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144</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60" w:lineRule="exact"/>
        <w:rPr>
          <w:sz w:val="20"/>
          <w:szCs w:val="20"/>
          <w:color w:val="auto"/>
        </w:rPr>
      </w:pPr>
    </w:p>
    <w:p>
      <w:pPr>
        <w:ind w:left="1700" w:right="300" w:hanging="211"/>
        <w:spacing w:after="0" w:line="277"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 percent of the number of shares of common stock then outstanding, which will equal approximately 438,408 shares immediately after this offering; and</w:t>
      </w:r>
    </w:p>
    <w:p>
      <w:pPr>
        <w:spacing w:after="0" w:line="62" w:lineRule="exact"/>
        <w:rPr>
          <w:rFonts w:ascii="Arial" w:cs="Arial" w:eastAsia="Arial" w:hAnsi="Arial"/>
          <w:sz w:val="18"/>
          <w:szCs w:val="18"/>
          <w:color w:val="auto"/>
        </w:rPr>
      </w:pPr>
    </w:p>
    <w:p>
      <w:pPr>
        <w:ind w:left="1700" w:right="40" w:hanging="211"/>
        <w:spacing w:after="0" w:line="277"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 approximately 33,340,837 shares of our outstanding restricted securities will be eligible for sale under Rule 144.</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Statement on Form S-8</w:t>
      </w:r>
    </w:p>
    <w:p>
      <w:pPr>
        <w:spacing w:after="0" w:line="135"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We intend to file one or more registration statements on Form S-8 under the Securities Act covering up to 5,249,921 shares of common stock reserved for issuance under our Incentive Plan and our ESPP. These registration statements are expected to be filed soon after the date of this prospectus and will automatically become effective upon filing. Accordingly, shares registered under such registration statements will be available for sale in the open market, unless such shares are subject to vesting restrictions with us or are</w:t>
      </w: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otherwise subject to the lock-up agreements and manner of sale and notice requirements that apply to affiliates under Rule 144 described above.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For a description of the lock-up agreements with the underwriters that restrict sales of shares by us, or directors, executive officers, and stockholders, see the information under the heading “Underwriting.”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For a description of registration rights with respect to our common stock, see the information under the heading titled “Description of Capital Stock — Registration Rights.”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 NON-U.S. HOLDERS</w:t>
      </w:r>
    </w:p>
    <w:p>
      <w:pPr>
        <w:spacing w:after="0" w:line="11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87" w:lineRule="exact"/>
        <w:rPr>
          <w:sz w:val="20"/>
          <w:szCs w:val="20"/>
          <w:color w:val="auto"/>
        </w:rPr>
      </w:pPr>
    </w:p>
    <w:p>
      <w:pPr>
        <w:ind w:left="1700" w:right="320" w:hanging="211"/>
        <w:spacing w:after="0" w:line="277" w:lineRule="auto"/>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 including an alien individual who is a lawful permanent resident of the United States or meets the “substantial presence” test under section 7701(b)(3) of the Code;</w:t>
      </w:r>
    </w:p>
    <w:p>
      <w:pPr>
        <w:spacing w:after="0" w:line="62" w:lineRule="exact"/>
        <w:rPr>
          <w:rFonts w:ascii="Arial" w:cs="Arial" w:eastAsia="Arial" w:hAnsi="Arial"/>
          <w:sz w:val="18"/>
          <w:szCs w:val="18"/>
          <w:color w:val="auto"/>
        </w:rPr>
      </w:pPr>
    </w:p>
    <w:p>
      <w:pPr>
        <w:ind w:left="1700" w:hanging="211"/>
        <w:spacing w:after="0" w:line="277" w:lineRule="auto"/>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created or organized in the United States or under the laws of the United States, any state thereof, or the District of Columbia;</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700" w:right="20" w:hanging="211"/>
        <w:spacing w:after="0" w:line="342" w:lineRule="auto"/>
        <w:tabs>
          <w:tab w:leader="none" w:pos="1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29"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PROSPECTIVE INVESTORS ARE URGED TO CONSULT THEIR TAX ADVISORS REGARDING THE</w:t>
      </w:r>
    </w:p>
    <w:p>
      <w:pPr>
        <w:spacing w:after="0" w:line="27" w:lineRule="exact"/>
        <w:rPr>
          <w:sz w:val="20"/>
          <w:szCs w:val="20"/>
          <w:color w:val="auto"/>
        </w:rPr>
      </w:pPr>
    </w:p>
    <w:p>
      <w:pPr>
        <w:ind w:left="700" w:right="540"/>
        <w:spacing w:after="0" w:line="261" w:lineRule="auto"/>
        <w:rPr>
          <w:sz w:val="20"/>
          <w:szCs w:val="20"/>
          <w:color w:val="auto"/>
        </w:rPr>
      </w:pPr>
      <w:r>
        <w:rPr>
          <w:rFonts w:ascii="Arial" w:cs="Arial" w:eastAsia="Arial" w:hAnsi="Arial"/>
          <w:sz w:val="18"/>
          <w:szCs w:val="18"/>
          <w:b w:val="1"/>
          <w:bCs w:val="1"/>
          <w:color w:val="auto"/>
        </w:rPr>
        <w:t>U.S. FEDERAL, STATE, LOCAL, AND NON-U.S. INCOME AND OTHER TAX CONSIDERATIONS OF ACQUIRING, HOLDING, AND DISPOSING OF SHARES OF COMMON STOCK.</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0"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13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In general, a Non-U.S. Holder will not be subject to U.S. federal income tax on any gain realized upon the sale or other taxable disposition of the Non-U.S. Holder’s shares of common stock unless:</w:t>
      </w:r>
    </w:p>
    <w:p>
      <w:pPr>
        <w:spacing w:after="0" w:line="76" w:lineRule="exact"/>
        <w:rPr>
          <w:sz w:val="20"/>
          <w:szCs w:val="20"/>
          <w:color w:val="auto"/>
        </w:rPr>
      </w:pPr>
    </w:p>
    <w:p>
      <w:pPr>
        <w:ind w:left="1700" w:hanging="211"/>
        <w:spacing w:after="0"/>
        <w:tabs>
          <w:tab w:leader="none" w:pos="1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w:t>
      </w:r>
    </w:p>
    <w:p>
      <w:pPr>
        <w:spacing w:after="0" w:line="128" w:lineRule="exact"/>
        <w:rPr>
          <w:rFonts w:ascii="Arial" w:cs="Arial" w:eastAsia="Arial" w:hAnsi="Arial"/>
          <w:sz w:val="17"/>
          <w:szCs w:val="17"/>
          <w:color w:val="auto"/>
        </w:rPr>
      </w:pPr>
    </w:p>
    <w:p>
      <w:pPr>
        <w:ind w:left="1700" w:right="20" w:hanging="211"/>
        <w:spacing w:after="0" w:line="277"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Non-U.S. Holder is an individual who holds shares of common stock as capital assets and is present in the United States for 183 days or more in the taxable year of disposition and various other conditions are met; or</w:t>
      </w:r>
    </w:p>
    <w:p>
      <w:pPr>
        <w:spacing w:after="0" w:line="62" w:lineRule="exact"/>
        <w:rPr>
          <w:rFonts w:ascii="Arial" w:cs="Arial" w:eastAsia="Arial" w:hAnsi="Arial"/>
          <w:sz w:val="18"/>
          <w:szCs w:val="18"/>
          <w:color w:val="auto"/>
        </w:rPr>
      </w:pPr>
    </w:p>
    <w:p>
      <w:pPr>
        <w:ind w:left="1700" w:right="100" w:hanging="211"/>
        <w:spacing w:after="0" w:line="264"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87"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64"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35" w:lineRule="exact"/>
        <w:rPr>
          <w:sz w:val="20"/>
          <w:szCs w:val="20"/>
          <w:color w:val="auto"/>
        </w:rPr>
      </w:pPr>
    </w:p>
    <w:p>
      <w:pPr>
        <w:jc w:val="both"/>
        <w:ind w:left="700" w:right="60" w:firstLine="397"/>
        <w:spacing w:after="0" w:line="302" w:lineRule="auto"/>
        <w:rPr>
          <w:sz w:val="20"/>
          <w:szCs w:val="20"/>
          <w:color w:val="auto"/>
        </w:rPr>
      </w:pPr>
      <w:r>
        <w:rPr>
          <w:rFonts w:ascii="Arial" w:cs="Arial" w:eastAsia="Arial" w:hAnsi="Arial"/>
          <w:sz w:val="16"/>
          <w:szCs w:val="16"/>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60" w:lineRule="exact"/>
        <w:rPr>
          <w:sz w:val="20"/>
          <w:szCs w:val="20"/>
          <w:color w:val="auto"/>
        </w:rPr>
      </w:pPr>
    </w:p>
    <w:p>
      <w:pPr>
        <w:jc w:val="both"/>
        <w:ind w:left="700" w:right="80" w:firstLine="397"/>
        <w:spacing w:after="0" w:line="308" w:lineRule="auto"/>
        <w:rPr>
          <w:sz w:val="20"/>
          <w:szCs w:val="20"/>
          <w:color w:val="auto"/>
        </w:rPr>
      </w:pPr>
      <w:r>
        <w:rPr>
          <w:rFonts w:ascii="Arial" w:cs="Arial" w:eastAsia="Arial" w:hAnsi="Arial"/>
          <w:sz w:val="17"/>
          <w:szCs w:val="17"/>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2"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88" w:lineRule="auto"/>
        <w:rPr>
          <w:sz w:val="20"/>
          <w:szCs w:val="20"/>
          <w:color w:val="auto"/>
        </w:rPr>
      </w:pPr>
      <w:r>
        <w:rPr>
          <w:rFonts w:ascii="Arial" w:cs="Arial" w:eastAsia="Arial" w:hAnsi="Arial"/>
          <w:sz w:val="16"/>
          <w:szCs w:val="16"/>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w:t>
      </w:r>
    </w:p>
    <w:p>
      <w:pPr>
        <w:jc w:val="both"/>
        <w:ind w:left="700" w:right="160"/>
        <w:spacing w:after="0" w:line="277" w:lineRule="auto"/>
        <w:rPr>
          <w:sz w:val="20"/>
          <w:szCs w:val="20"/>
          <w:color w:val="auto"/>
        </w:rPr>
      </w:pPr>
      <w:r>
        <w:rPr>
          <w:rFonts w:ascii="Arial" w:cs="Arial" w:eastAsia="Arial" w:hAnsi="Arial"/>
          <w:sz w:val="17"/>
          <w:szCs w:val="17"/>
          <w:color w:val="auto"/>
        </w:rPr>
        <w:t>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9" w:lineRule="exact"/>
        <w:rPr>
          <w:sz w:val="20"/>
          <w:szCs w:val="20"/>
          <w:color w:val="auto"/>
        </w:rPr>
      </w:pPr>
    </w:p>
    <w:p>
      <w:pPr>
        <w:ind w:left="1700" w:hanging="211"/>
        <w:spacing w:after="0"/>
        <w:tabs>
          <w:tab w:leader="none" w:pos="1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broker has documentary evidence in its files that the holder is a Non-U.S. Holder and other conditions are met; or</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 otherwise establishes an exemption.</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Estate Tax</w:t>
      </w:r>
    </w:p>
    <w:p>
      <w:pPr>
        <w:spacing w:after="0" w:line="135"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Under the terms and subject to the conditions contained in an underwriting agreement dated November 19, 2008, we have agreed to sell to the underwriters named below, for whom Credit Suisse Securities (USA) LLC and Merrill Lynch, Pierce, Fenner &amp; Smith Incorporated are acting as the representatives, the following respective numbers of shares of common stock:</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4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Incorporated</w:t>
            </w:r>
          </w:p>
        </w:tc>
        <w:tc>
          <w:tcPr>
            <w:tcW w:w="1360" w:type="dxa"/>
            <w:vAlign w:val="bottom"/>
          </w:tcPr>
          <w:p>
            <w:pPr>
              <w:jc w:val="right"/>
              <w:spacing w:after="0"/>
              <w:rPr>
                <w:sz w:val="20"/>
                <w:szCs w:val="20"/>
                <w:color w:val="auto"/>
              </w:rPr>
            </w:pPr>
            <w:r>
              <w:rPr>
                <w:rFonts w:ascii="Arial" w:cs="Arial" w:eastAsia="Arial" w:hAnsi="Arial"/>
                <w:sz w:val="18"/>
                <w:szCs w:val="18"/>
                <w:color w:val="auto"/>
              </w:rPr>
              <w:t>3,638,250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1360" w:type="dxa"/>
            <w:vAlign w:val="bottom"/>
          </w:tcPr>
          <w:p>
            <w:pPr>
              <w:jc w:val="right"/>
              <w:spacing w:after="0"/>
              <w:rPr>
                <w:sz w:val="20"/>
                <w:szCs w:val="20"/>
                <w:color w:val="auto"/>
              </w:rPr>
            </w:pPr>
            <w:r>
              <w:rPr>
                <w:rFonts w:ascii="Arial" w:cs="Arial" w:eastAsia="Arial" w:hAnsi="Arial"/>
                <w:sz w:val="18"/>
                <w:szCs w:val="18"/>
                <w:color w:val="auto"/>
              </w:rPr>
              <w:t>1,039,500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Barrington Research Associates, Inc.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92"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We have granted to the underwriters a 30-day option to purchase on a pro rata basis up to 1,575,000 additional shares from us at the initial public offering price less the underwriting discounts and commissions. The option may be exercised only to cover any over-allotments of common stock.</w:t>
      </w:r>
    </w:p>
    <w:p>
      <w:pPr>
        <w:spacing w:after="0" w:line="87"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and to selling group members at that price less a selling concession of $0.504 per share. After the initial public offering, the representative may change the public offering price and concession.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Per Share</w:t>
            </w: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tcBorders>
              <w:bottom w:val="single" w:sz="8" w:color="auto"/>
            </w:tcBorders>
          </w:tcPr>
          <w:p>
            <w:pPr>
              <w:spacing w:after="0"/>
              <w:rPr>
                <w:sz w:val="14"/>
                <w:szCs w:val="14"/>
                <w:color w:val="auto"/>
              </w:rPr>
            </w:pPr>
          </w:p>
        </w:tc>
      </w:tr>
      <w:tr>
        <w:trPr>
          <w:trHeight w:val="119"/>
        </w:trPr>
        <w:tc>
          <w:tcPr>
            <w:tcW w:w="4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Without</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258"/>
              <w:spacing w:after="0" w:line="119" w:lineRule="exact"/>
              <w:rPr>
                <w:sz w:val="20"/>
                <w:szCs w:val="20"/>
                <w:color w:val="auto"/>
              </w:rPr>
            </w:pPr>
            <w:r>
              <w:rPr>
                <w:rFonts w:ascii="Arial" w:cs="Arial" w:eastAsia="Arial" w:hAnsi="Arial"/>
                <w:sz w:val="13"/>
                <w:szCs w:val="13"/>
                <w:b w:val="1"/>
                <w:bCs w:val="1"/>
                <w:color w:val="auto"/>
              </w:rPr>
              <w:t>With</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Without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258"/>
              <w:spacing w:after="0" w:line="119" w:lineRule="exact"/>
              <w:rPr>
                <w:sz w:val="20"/>
                <w:szCs w:val="20"/>
                <w:color w:val="auto"/>
              </w:rPr>
            </w:pPr>
            <w:r>
              <w:rPr>
                <w:rFonts w:ascii="Arial" w:cs="Arial" w:eastAsia="Arial" w:hAnsi="Arial"/>
                <w:sz w:val="13"/>
                <w:szCs w:val="13"/>
                <w:b w:val="1"/>
                <w:bCs w:val="1"/>
                <w:color w:val="auto"/>
              </w:rPr>
              <w:t>With</w:t>
            </w:r>
          </w:p>
        </w:tc>
      </w:tr>
      <w:tr>
        <w:trPr>
          <w:trHeight w:val="171"/>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Over-allotment</w:t>
            </w:r>
          </w:p>
        </w:tc>
        <w:tc>
          <w:tcPr>
            <w:tcW w:w="40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Over-allotment</w:t>
            </w:r>
          </w:p>
        </w:tc>
        <w:tc>
          <w:tcPr>
            <w:tcW w:w="38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Over-allotment</w:t>
            </w:r>
          </w:p>
        </w:tc>
        <w:tc>
          <w:tcPr>
            <w:tcW w:w="38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Over-allotment</w:t>
            </w:r>
          </w:p>
        </w:tc>
      </w:tr>
      <w:tr>
        <w:trPr>
          <w:trHeight w:val="249"/>
        </w:trPr>
        <w:tc>
          <w:tcPr>
            <w:tcW w:w="422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0.84</w:t>
            </w: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8,820,000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10,143,000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Expenses payable by us</w:t>
            </w: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6,100,000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6,100,000</w:t>
            </w:r>
          </w:p>
        </w:tc>
      </w:tr>
    </w:tbl>
    <w:p>
      <w:pPr>
        <w:spacing w:after="0" w:line="107"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representatives have informed us that they do not expect sales to accounts over which the underwriters have discretionary authority to exceed 5% of the shares of common stock being offered.</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Our directors, executive officers, and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w:t>
      </w:r>
    </w:p>
    <w:p>
      <w:pPr>
        <w:spacing w:after="0" w:line="3"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84"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underwriters have reserved for sale at the initial public offering price up to approximately 525,000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94"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received approval to list the shares of common stock on the Nasdaq Global Market under the symbol “LOPE.”</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87" w:lineRule="exact"/>
        <w:rPr>
          <w:sz w:val="20"/>
          <w:szCs w:val="20"/>
          <w:color w:val="auto"/>
        </w:rPr>
      </w:pPr>
    </w:p>
    <w:p>
      <w:pPr>
        <w:ind w:left="700" w:right="640" w:firstLine="397"/>
        <w:spacing w:after="0" w:line="286" w:lineRule="auto"/>
        <w:rPr>
          <w:sz w:val="20"/>
          <w:szCs w:val="20"/>
          <w:color w:val="auto"/>
        </w:rPr>
      </w:pPr>
      <w:r>
        <w:rPr>
          <w:rFonts w:ascii="Arial" w:cs="Arial" w:eastAsia="Arial" w:hAnsi="Arial"/>
          <w:sz w:val="17"/>
          <w:szCs w:val="17"/>
          <w:color w:val="auto"/>
        </w:rPr>
        <w:t>Prior to the offering, there has been no market for our common stock. The initial public offering price was determined by negotiation between us and the underwriters and does not necessarily reflect the market price of the common stock following the offering. The principal factors that were considered in determining the initial public offering price included:</w:t>
      </w:r>
    </w:p>
    <w:p>
      <w:pPr>
        <w:spacing w:after="0" w:line="71" w:lineRule="exact"/>
        <w:rPr>
          <w:sz w:val="20"/>
          <w:szCs w:val="20"/>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history of and the prospects for the industry in which we will compete;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prospects for our future earning;</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present state of our development and our current financial condition;</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recent market prices of, and the demand for, publicly traded common stock of generally comparable companies; and</w:t>
      </w:r>
    </w:p>
    <w:p>
      <w:pPr>
        <w:spacing w:after="0" w:line="140" w:lineRule="exact"/>
        <w:rPr>
          <w:rFonts w:ascii="Arial" w:cs="Arial" w:eastAsia="Arial" w:hAnsi="Arial"/>
          <w:sz w:val="16"/>
          <w:szCs w:val="16"/>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the offering.</w:t>
      </w:r>
    </w:p>
    <w:p>
      <w:pPr>
        <w:spacing w:after="0" w:line="131"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We offer no assurances that the initial public offering price corresponds to the price at which the common stock will trade in the public market subsequent to the offering or that an active trading market for the common stock will develop and continue after the offering.</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firstLine="397"/>
        <w:spacing w:after="0" w:line="308"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52" w:lineRule="exact"/>
        <w:rPr>
          <w:sz w:val="20"/>
          <w:szCs w:val="20"/>
          <w:color w:val="auto"/>
        </w:rPr>
      </w:pPr>
    </w:p>
    <w:p>
      <w:pPr>
        <w:ind w:left="1700" w:right="460" w:hanging="211"/>
        <w:spacing w:after="0" w:line="277" w:lineRule="auto"/>
        <w:tabs>
          <w:tab w:leader="none" w:pos="1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700" w:hanging="211"/>
        <w:spacing w:after="0" w:line="293" w:lineRule="auto"/>
        <w:tabs>
          <w:tab w:leader="none" w:pos="1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56" w:lineRule="exact"/>
        <w:rPr>
          <w:rFonts w:ascii="Arial" w:cs="Arial" w:eastAsia="Arial" w:hAnsi="Arial"/>
          <w:sz w:val="16"/>
          <w:szCs w:val="16"/>
          <w:color w:val="auto"/>
        </w:rPr>
      </w:pPr>
    </w:p>
    <w:p>
      <w:pPr>
        <w:ind w:left="1700" w:hanging="211"/>
        <w:spacing w:after="0" w:line="254" w:lineRule="auto"/>
        <w:tabs>
          <w:tab w:leader="none" w:pos="1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4" w:lineRule="exact"/>
        <w:rPr>
          <w:rFonts w:ascii="Arial" w:cs="Arial" w:eastAsia="Arial" w:hAnsi="Arial"/>
          <w:sz w:val="18"/>
          <w:szCs w:val="18"/>
          <w:color w:val="auto"/>
        </w:rPr>
      </w:pPr>
    </w:p>
    <w:p>
      <w:pPr>
        <w:ind w:left="1700" w:right="200" w:hanging="211"/>
        <w:spacing w:after="0" w:line="264" w:lineRule="auto"/>
        <w:tabs>
          <w:tab w:leader="none" w:pos="1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87"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77"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NOTICE TO EUROPEAN ECONOMIC AREA RESIDENTS</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72" w:lineRule="exact"/>
        <w:rPr>
          <w:sz w:val="20"/>
          <w:szCs w:val="20"/>
          <w:color w:val="auto"/>
        </w:rPr>
      </w:pPr>
    </w:p>
    <w:p>
      <w:pPr>
        <w:ind w:left="700" w:right="160" w:firstLine="787"/>
        <w:spacing w:after="0" w:line="277" w:lineRule="auto"/>
        <w:tabs>
          <w:tab w:leader="none" w:pos="17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700" w:right="180" w:firstLine="787"/>
        <w:spacing w:after="0" w:line="264" w:lineRule="auto"/>
        <w:tabs>
          <w:tab w:leader="none" w:pos="17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6" w:lineRule="exact"/>
        <w:rPr>
          <w:rFonts w:ascii="Arial" w:cs="Arial" w:eastAsia="Arial" w:hAnsi="Arial"/>
          <w:sz w:val="18"/>
          <w:szCs w:val="18"/>
          <w:color w:val="auto"/>
        </w:rPr>
      </w:pPr>
    </w:p>
    <w:p>
      <w:pPr>
        <w:ind w:left="700" w:right="80" w:firstLine="787"/>
        <w:spacing w:after="0" w:line="277" w:lineRule="auto"/>
        <w:tabs>
          <w:tab w:leader="none" w:pos="17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manager for any such offer; or</w:t>
      </w:r>
    </w:p>
    <w:p>
      <w:pPr>
        <w:spacing w:after="0" w:line="75" w:lineRule="exact"/>
        <w:rPr>
          <w:rFonts w:ascii="Arial" w:cs="Arial" w:eastAsia="Arial" w:hAnsi="Arial"/>
          <w:sz w:val="18"/>
          <w:szCs w:val="18"/>
          <w:color w:val="auto"/>
        </w:rPr>
      </w:pPr>
    </w:p>
    <w:p>
      <w:pPr>
        <w:ind w:left="700" w:right="700" w:firstLine="787"/>
        <w:spacing w:after="0" w:line="277" w:lineRule="auto"/>
        <w:tabs>
          <w:tab w:leader="none" w:pos="17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us of a prospectus pursuant to Article 3 of the Prospectus Directive.</w:t>
      </w:r>
    </w:p>
    <w:p>
      <w:pPr>
        <w:spacing w:after="0" w:line="7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311" w:lineRule="exact"/>
        <w:rPr>
          <w:sz w:val="20"/>
          <w:szCs w:val="20"/>
          <w:color w:val="auto"/>
        </w:rPr>
      </w:pPr>
    </w:p>
    <w:p>
      <w:pPr>
        <w:ind w:left="1080" w:right="3020" w:firstLine="2674"/>
        <w:spacing w:after="0" w:line="393" w:lineRule="auto"/>
        <w:rPr>
          <w:sz w:val="20"/>
          <w:szCs w:val="20"/>
          <w:color w:val="auto"/>
        </w:rPr>
      </w:pPr>
      <w:r>
        <w:rPr>
          <w:rFonts w:ascii="Arial" w:cs="Arial" w:eastAsia="Arial" w:hAnsi="Arial"/>
          <w:sz w:val="18"/>
          <w:szCs w:val="18"/>
          <w:b w:val="1"/>
          <w:bCs w:val="1"/>
          <w:color w:val="auto"/>
        </w:rPr>
        <w:t xml:space="preserve">NOTICE TO UNITED KINGDOM RESIDENTS </w:t>
      </w:r>
      <w:r>
        <w:rPr>
          <w:rFonts w:ascii="Arial" w:cs="Arial" w:eastAsia="Arial" w:hAnsi="Arial"/>
          <w:sz w:val="18"/>
          <w:szCs w:val="18"/>
          <w:color w:val="auto"/>
        </w:rPr>
        <w:t>Each of the underwriters severally represents, warrants and agrees as follows:</w:t>
      </w:r>
    </w:p>
    <w:p>
      <w:pPr>
        <w:spacing w:after="0" w:line="1" w:lineRule="exact"/>
        <w:rPr>
          <w:sz w:val="20"/>
          <w:szCs w:val="20"/>
          <w:color w:val="auto"/>
        </w:rPr>
      </w:pPr>
    </w:p>
    <w:p>
      <w:pPr>
        <w:ind w:left="700" w:right="40" w:firstLine="787"/>
        <w:spacing w:after="0" w:line="302" w:lineRule="auto"/>
        <w:tabs>
          <w:tab w:leader="none" w:pos="17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59" w:lineRule="exact"/>
        <w:rPr>
          <w:rFonts w:ascii="Arial" w:cs="Arial" w:eastAsia="Arial" w:hAnsi="Arial"/>
          <w:sz w:val="16"/>
          <w:szCs w:val="16"/>
          <w:color w:val="auto"/>
        </w:rPr>
      </w:pPr>
    </w:p>
    <w:p>
      <w:pPr>
        <w:ind w:left="700" w:right="480" w:firstLine="787"/>
        <w:spacing w:after="0" w:line="277" w:lineRule="auto"/>
        <w:tabs>
          <w:tab w:leader="none" w:pos="17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shares of common stock in, from or otherwise involving the United Kingdom.</w:t>
      </w:r>
    </w:p>
    <w:p>
      <w:pPr>
        <w:spacing w:after="0" w:line="2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NOTICE TO CANADIAN RESIDENTS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Resale Restrictions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applicable Canadian securities regulatory authority. Purchasers are advised to seek legal advice prior to any resale of the common stock.</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Representations of Purchasers</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By purchasing the common stock in Canada and accepting a purchase confirmation a purchaser is representing to us and the dealer from whom the purchase confirmation is received that:</w:t>
      </w:r>
    </w:p>
    <w:p>
      <w:pPr>
        <w:spacing w:after="0" w:line="76" w:lineRule="exact"/>
        <w:rPr>
          <w:sz w:val="20"/>
          <w:szCs w:val="20"/>
          <w:color w:val="auto"/>
        </w:rPr>
      </w:pPr>
    </w:p>
    <w:p>
      <w:pPr>
        <w:ind w:left="1700" w:right="140" w:hanging="211"/>
        <w:spacing w:after="0" w:line="277" w:lineRule="auto"/>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common stock without the benefit of a prospectus qualified under those securities laws,</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17" w:lineRule="exact"/>
        <w:rPr>
          <w:rFonts w:ascii="Arial" w:cs="Arial" w:eastAsia="Arial" w:hAnsi="Arial"/>
          <w:sz w:val="18"/>
          <w:szCs w:val="18"/>
          <w:color w:val="auto"/>
        </w:rPr>
      </w:pPr>
    </w:p>
    <w:p>
      <w:pPr>
        <w:ind w:left="1700" w:right="100" w:hanging="211"/>
        <w:spacing w:after="0" w:line="277" w:lineRule="auto"/>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the common stock to the regulatory authority that by law is entitled to collect the information.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Further details concerning the legal authority for this information is available on request.</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Enforcement of Legal Rights</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Taxation and Eligibility for Investment</w:t>
      </w:r>
    </w:p>
    <w:p>
      <w:pPr>
        <w:spacing w:after="0" w:line="135"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4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30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7"/>
          <w:szCs w:val="17"/>
          <w:u w:val="single" w:color="auto"/>
          <w:color w:val="auto"/>
        </w:rPr>
        <w:t>http://www.sec.gov.</w:t>
      </w:r>
    </w:p>
    <w:p>
      <w:pPr>
        <w:spacing w:after="0" w:line="8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44" w:name="page145"/>
    <w:bookmarkEnd w:id="144"/>
    <w:p>
      <w:pPr>
        <w:ind w:left="412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800" w:type="dxa"/>
            <w:vAlign w:val="bottom"/>
          </w:tcPr>
          <w:p>
            <w:pPr>
              <w:spacing w:after="0"/>
              <w:rPr>
                <w:sz w:val="14"/>
                <w:szCs w:val="14"/>
                <w:color w:val="auto"/>
              </w:rPr>
            </w:pPr>
          </w:p>
        </w:tc>
      </w:tr>
      <w:tr>
        <w:trPr>
          <w:trHeight w:val="223"/>
        </w:trPr>
        <w:tc>
          <w:tcPr>
            <w:tcW w:w="700" w:type="dxa"/>
            <w:vAlign w:val="bottom"/>
          </w:tcPr>
          <w:p>
            <w:pPr>
              <w:spacing w:after="0"/>
              <w:rPr>
                <w:sz w:val="19"/>
                <w:szCs w:val="19"/>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Report of Independent Registered Public Accounting Firm</w:t>
              </w:r>
            </w:hyperlink>
          </w:p>
        </w:tc>
        <w:tc>
          <w:tcPr>
            <w:tcW w:w="5300" w:type="dxa"/>
            <w:vAlign w:val="bottom"/>
            <w:gridSpan w:val="6"/>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Balance Sheets as of December 31, 2006 and 2007 (restated) and September 30, 2008 (unaudited)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Statements of Operations for the years ended December 31, 2005, 2006, and 2007 (restated) and for the nine month periods</w:t>
              </w:r>
            </w:hyperlink>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ended September 30, 2007 and 2008 (unaudited)</w:t>
              </w:r>
            </w:hyperlink>
          </w:p>
        </w:tc>
        <w:tc>
          <w:tcPr>
            <w:tcW w:w="5200" w:type="dxa"/>
            <w:vAlign w:val="bottom"/>
            <w:tcBorders>
              <w:top w:val="single" w:sz="8" w:color="0000EE"/>
            </w:tcBorders>
            <w:gridSpan w:val="5"/>
          </w:tcPr>
          <w:p>
            <w:pPr>
              <w:spacing w:after="0"/>
              <w:rPr>
                <w:sz w:val="17"/>
                <w:szCs w:val="17"/>
                <w:color w:val="auto"/>
              </w:rPr>
            </w:pPr>
          </w:p>
        </w:tc>
        <w:tc>
          <w:tcPr>
            <w:tcW w:w="6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1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Statements of Preferred Stock and Stockholders’ Deficit for the years ended December 31, 2005, 2006, and 2007 (restated) and</w:t>
              </w:r>
            </w:hyperlink>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for the nine month period ended September 30, 2008 (unaudited)</w:t>
              </w:r>
            </w:hyperlink>
          </w:p>
        </w:tc>
        <w:tc>
          <w:tcPr>
            <w:tcW w:w="46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w w:val="95"/>
              </w:rPr>
            </w:pPr>
            <w:hyperlink w:anchor="page150">
              <w:r>
                <w:rPr>
                  <w:rFonts w:ascii="Arial" w:cs="Arial" w:eastAsia="Arial" w:hAnsi="Arial"/>
                  <w:sz w:val="18"/>
                  <w:szCs w:val="18"/>
                  <w:color w:val="0000EE"/>
                  <w:w w:val="95"/>
                </w:rPr>
                <w:t>Statements of Cash Flows for the years ended December 31, 2005, 2006, and 2007 (restated) and for the nine month period</w:t>
              </w:r>
            </w:hyperlink>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ended September 30, 2008 (unaudited)</w:t>
              </w:r>
            </w:hyperlink>
          </w:p>
        </w:tc>
        <w:tc>
          <w:tcPr>
            <w:tcW w:w="6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800" w:type="dxa"/>
            <w:vAlign w:val="bottom"/>
          </w:tcPr>
          <w:p>
            <w:pPr>
              <w:spacing w:after="0"/>
              <w:rPr>
                <w:sz w:val="17"/>
                <w:szCs w:val="17"/>
                <w:color w:val="auto"/>
              </w:rPr>
            </w:pPr>
          </w:p>
        </w:tc>
      </w:tr>
      <w:tr>
        <w:trPr>
          <w:trHeight w:val="642"/>
        </w:trPr>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6"/>
          </w:tcPr>
          <w:p>
            <w:pPr>
              <w:ind w:left="6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Grand Canyon Education, Inc.</w:t>
      </w:r>
    </w:p>
    <w:p>
      <w:pPr>
        <w:spacing w:after="0" w:line="116"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60"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72"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52"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6"/>
          <w:szCs w:val="16"/>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May 12, 2008, except for Note 3, as to which the date is August 11, 2008, and Note 17, as to which the date is September 29, 2008</w:t>
      </w: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 thousands, except share data)</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88"/>
              </w:rPr>
              <w:t>As of December 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7"/>
              <w:spacing w:after="0" w:line="115" w:lineRule="exact"/>
              <w:rPr>
                <w:sz w:val="20"/>
                <w:szCs w:val="20"/>
                <w:color w:val="auto"/>
              </w:rPr>
            </w:pPr>
            <w:r>
              <w:rPr>
                <w:rFonts w:ascii="Arial" w:cs="Arial" w:eastAsia="Arial" w:hAnsi="Arial"/>
                <w:sz w:val="11"/>
                <w:szCs w:val="11"/>
                <w:b w:val="1"/>
                <w:bCs w:val="1"/>
                <w:color w:val="auto"/>
                <w:w w:val="97"/>
              </w:rPr>
              <w:t>2006</w:t>
            </w:r>
          </w:p>
        </w:tc>
        <w:tc>
          <w:tcPr>
            <w:tcW w:w="3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8"/>
                <w:szCs w:val="8"/>
                <w:b w:val="1"/>
                <w:bCs w:val="1"/>
                <w:color w:val="auto"/>
                <w:w w:val="76"/>
              </w:rPr>
              <w:t>(Restated)</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7"/>
              <w:spacing w:after="0" w:line="115" w:lineRule="exact"/>
              <w:rPr>
                <w:sz w:val="20"/>
                <w:szCs w:val="20"/>
                <w:color w:val="auto"/>
              </w:rPr>
            </w:pPr>
            <w:r>
              <w:rPr>
                <w:rFonts w:ascii="Arial" w:cs="Arial" w:eastAsia="Arial" w:hAnsi="Arial"/>
                <w:sz w:val="11"/>
                <w:szCs w:val="11"/>
                <w:b w:val="1"/>
                <w:bCs w:val="1"/>
                <w:color w:val="auto"/>
                <w:w w:val="97"/>
              </w:rPr>
              <w:t>2007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2008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7"/>
              </w:rPr>
              <w:t>September 30, 2008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(Unaudited)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6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14,361</w:t>
            </w: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23,210</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22,227</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60" w:type="dxa"/>
            <w:vAlign w:val="bottom"/>
          </w:tcPr>
          <w:p>
            <w:pPr>
              <w:ind w:left="220"/>
              <w:spacing w:after="0" w:line="121" w:lineRule="exact"/>
              <w:rPr>
                <w:sz w:val="20"/>
                <w:szCs w:val="20"/>
                <w:color w:val="auto"/>
              </w:rPr>
            </w:pPr>
            <w:r>
              <w:rPr>
                <w:rFonts w:ascii="Arial" w:cs="Arial" w:eastAsia="Arial" w:hAnsi="Arial"/>
                <w:sz w:val="13"/>
                <w:szCs w:val="13"/>
                <w:color w:val="auto"/>
                <w:w w:val="91"/>
              </w:rPr>
              <w:t>Accounts receivable, net of allowance for doubtful accounts of $7,380 and $12,158 at December 31, 2006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360"/>
              <w:spacing w:after="0"/>
              <w:rPr>
                <w:sz w:val="20"/>
                <w:szCs w:val="20"/>
                <w:color w:val="auto"/>
              </w:rPr>
            </w:pPr>
            <w:r>
              <w:rPr>
                <w:rFonts w:ascii="Arial" w:cs="Arial" w:eastAsia="Arial" w:hAnsi="Arial"/>
                <w:sz w:val="13"/>
                <w:szCs w:val="13"/>
                <w:color w:val="auto"/>
              </w:rPr>
              <w:t>2007, and $16,327 at September 30, 2008.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7,114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Due from related parties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Deferred income taxes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2,984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4,640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7,436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7,436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893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2,164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line="143" w:lineRule="exact"/>
              <w:rPr>
                <w:sz w:val="20"/>
                <w:szCs w:val="20"/>
                <w:color w:val="auto"/>
              </w:rPr>
            </w:pPr>
            <w:r>
              <w:rPr>
                <w:rFonts w:ascii="Arial" w:cs="Arial" w:eastAsia="Arial" w:hAnsi="Arial"/>
                <w:sz w:val="13"/>
                <w:szCs w:val="13"/>
                <w:color w:val="auto"/>
              </w:rPr>
              <w:t>Total current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w w:val="95"/>
              </w:rPr>
              <w:t>23,036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w w:val="95"/>
              </w:rPr>
              <w:t>42,314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41,924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3"/>
                <w:szCs w:val="13"/>
                <w:color w:val="auto"/>
              </w:rPr>
              <w:t>42,450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and equipment, net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29,017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33,849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38,984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38,984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3"/>
                <w:szCs w:val="13"/>
                <w:color w:val="auto"/>
              </w:rPr>
              <w:t>Restricted cash and investments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3,074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3,298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3,391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3,391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royalties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8,226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8,226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3"/>
                <w:szCs w:val="13"/>
                <w:color w:val="auto"/>
              </w:rPr>
              <w:t>Goodwill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income taxes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3"/>
                <w:szCs w:val="13"/>
                <w:color w:val="auto"/>
              </w:rPr>
              <w:t>Deposit with former owner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4,599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4,599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line="143" w:lineRule="exact"/>
              <w:rPr>
                <w:sz w:val="20"/>
                <w:szCs w:val="20"/>
                <w:color w:val="auto"/>
              </w:rPr>
            </w:pPr>
            <w:r>
              <w:rPr>
                <w:rFonts w:ascii="Arial" w:cs="Arial" w:eastAsia="Arial" w:hAnsi="Arial"/>
                <w:sz w:val="13"/>
                <w:szCs w:val="13"/>
                <w:color w:val="auto"/>
              </w:rPr>
              <w:t>Total assets</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61,232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88,568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105,618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106,144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PREFERRED STOCK AND STOCKHOLDERS’ DEFICIT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3,181</w:t>
            </w: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3,434</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3,733</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Accrued liabilities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3,044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6,893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12,006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114,381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Income taxes payable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Deferred revenue and student deposits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6,133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10,369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25,583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25,583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Royalty payable to former owner</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7,428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Due to related parties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Line of credit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Current portion of capital lease obligations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949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Current portion of notes payable</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line="143" w:lineRule="exact"/>
              <w:rPr>
                <w:sz w:val="20"/>
                <w:szCs w:val="20"/>
                <w:color w:val="auto"/>
              </w:rPr>
            </w:pPr>
            <w:r>
              <w:rPr>
                <w:rFonts w:ascii="Arial" w:cs="Arial" w:eastAsia="Arial" w:hAnsi="Arial"/>
                <w:sz w:val="13"/>
                <w:szCs w:val="13"/>
                <w:color w:val="auto"/>
              </w:rPr>
              <w:t>Total 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w w:val="95"/>
              </w:rPr>
              <w:t>20,698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w w:val="95"/>
              </w:rPr>
              <w:t>37,166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49,239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3"/>
                <w:szCs w:val="13"/>
                <w:color w:val="auto"/>
              </w:rPr>
              <w:t>151,614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lease obligations, less current portion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28,779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28,078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29,675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29,675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line="135" w:lineRule="exact"/>
              <w:rPr>
                <w:sz w:val="20"/>
                <w:szCs w:val="20"/>
                <w:color w:val="auto"/>
              </w:rPr>
            </w:pPr>
            <w:r>
              <w:rPr>
                <w:rFonts w:ascii="Arial" w:cs="Arial" w:eastAsia="Arial" w:hAnsi="Arial"/>
                <w:sz w:val="13"/>
                <w:szCs w:val="13"/>
                <w:color w:val="auto"/>
              </w:rPr>
              <w:t>Notes payable, less current portion</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51,565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67,006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80,336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182,711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80" w:type="dxa"/>
            <w:vAlign w:val="bottom"/>
            <w:gridSpan w:val="2"/>
          </w:tcPr>
          <w:p>
            <w:pPr>
              <w:spacing w:after="0"/>
              <w:rPr>
                <w:sz w:val="20"/>
                <w:szCs w:val="20"/>
                <w:color w:val="auto"/>
              </w:rPr>
            </w:pPr>
            <w:r>
              <w:rPr>
                <w:rFonts w:ascii="Arial" w:cs="Arial" w:eastAsia="Arial" w:hAnsi="Arial"/>
                <w:sz w:val="13"/>
                <w:szCs w:val="13"/>
                <w:color w:val="auto"/>
              </w:rPr>
              <w:t>Commitments and contingencies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A convertible preferred stock, $0.01 par value: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Arial" w:cs="Arial" w:eastAsia="Arial" w:hAnsi="Arial"/>
                <w:sz w:val="13"/>
                <w:szCs w:val="13"/>
                <w:color w:val="auto"/>
                <w:w w:val="87"/>
              </w:rPr>
              <w:t>Authorized — 7,500 shares at December 31, 2006, and 9,700 shares at December 31, 2007 and September 30, 2008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87"/>
              </w:rPr>
              <w:t>Issued and outstanding — 5,953 shares at December 31, 2006, 2007 and September 30, 2008; 0 shares pro forma at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September 30, 2008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Arial" w:cs="Arial" w:eastAsia="Arial" w:hAnsi="Arial"/>
                <w:sz w:val="13"/>
                <w:szCs w:val="13"/>
                <w:color w:val="auto"/>
              </w:rPr>
              <w:t>Liquidation value — $57,750 at December 31, 2007 and September 30, 2008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18,610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18,610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18,610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B 12% convertible preferred stock, $0.01 par value: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Arial" w:cs="Arial" w:eastAsia="Arial" w:hAnsi="Arial"/>
                <w:sz w:val="13"/>
                <w:szCs w:val="13"/>
                <w:color w:val="auto"/>
              </w:rPr>
              <w:t>Authorized — 2,200 shares at December 31, 2006, 2007 and September 30, 2008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87"/>
              </w:rPr>
              <w:t>Issued and outstanding — 865 shares at December 31, 2006, and 0 shares at December 31, 2007 and September 30,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Arial" w:cs="Arial" w:eastAsia="Arial" w:hAnsi="Arial"/>
                <w:sz w:val="13"/>
                <w:szCs w:val="13"/>
                <w:color w:val="auto"/>
              </w:rPr>
              <w:t>Liquidation value — $0 at December 31, 2007 and September 30, 2008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2,780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C 8% preferred stock, $0.01 par value: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Arial" w:cs="Arial" w:eastAsia="Arial" w:hAnsi="Arial"/>
                <w:sz w:val="13"/>
                <w:szCs w:val="13"/>
                <w:color w:val="auto"/>
                <w:w w:val="91"/>
              </w:rPr>
              <w:t>Authorized — 0 shares at December 31, 2006, and 3,900 shares at December 31, 2007 and September 30, 2008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85"/>
              </w:rPr>
              <w:t>Issued and outstanding — 0 shares at December 31, 2006, and 3,829 shares at December 31, 2007 and September 30,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2008; 0 shares pro forma at September 30, 2008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60" w:type="dxa"/>
            <w:vAlign w:val="bottom"/>
          </w:tcPr>
          <w:p>
            <w:pPr>
              <w:ind w:left="100"/>
              <w:spacing w:after="0"/>
              <w:rPr>
                <w:sz w:val="20"/>
                <w:szCs w:val="20"/>
                <w:color w:val="auto"/>
              </w:rPr>
            </w:pPr>
            <w:r>
              <w:rPr>
                <w:rFonts w:ascii="Arial" w:cs="Arial" w:eastAsia="Arial" w:hAnsi="Arial"/>
                <w:sz w:val="13"/>
                <w:szCs w:val="13"/>
                <w:color w:val="auto"/>
              </w:rPr>
              <w:t>Liquidation value — $26,829 at December 31, 2007 and September 30, 2008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13,338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14,129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Stockholders’ deficit: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Common stock, $0.01 par value: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Authorized — 100,000,000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60" w:type="dxa"/>
            <w:vAlign w:val="bottom"/>
          </w:tcPr>
          <w:p>
            <w:pPr>
              <w:ind w:left="360"/>
              <w:spacing w:after="0" w:line="121" w:lineRule="exact"/>
              <w:rPr>
                <w:sz w:val="20"/>
                <w:szCs w:val="20"/>
                <w:color w:val="auto"/>
              </w:rPr>
            </w:pPr>
            <w:r>
              <w:rPr>
                <w:rFonts w:ascii="Arial" w:cs="Arial" w:eastAsia="Arial" w:hAnsi="Arial"/>
                <w:sz w:val="13"/>
                <w:szCs w:val="13"/>
                <w:color w:val="auto"/>
                <w:w w:val="88"/>
              </w:rPr>
              <w:t>Issued and outstanding — 18,853,450 shares at December 31, 2006, 19,036,050 shares at December 31, 2007,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480"/>
              <w:spacing w:after="0"/>
              <w:rPr>
                <w:sz w:val="20"/>
                <w:szCs w:val="20"/>
                <w:color w:val="auto"/>
              </w:rPr>
            </w:pPr>
            <w:r>
              <w:rPr>
                <w:rFonts w:ascii="Arial" w:cs="Arial" w:eastAsia="Arial" w:hAnsi="Arial"/>
                <w:sz w:val="13"/>
                <w:szCs w:val="13"/>
                <w:color w:val="auto"/>
                <w:w w:val="96"/>
              </w:rPr>
              <w:t>and 19,218,650 shares at September 30, 2008; 33,059,714 shares pro forma at September 30, 2008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Additional paid-in capital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7,953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6,238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(63,011)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Accumulated other comprehensive income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Accumulated deficit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w w:val="86"/>
              </w:rPr>
              <w:t>(19,900)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6"/>
              </w:rPr>
              <w:t>(18,374)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(13,898)</w:t>
            </w:r>
          </w:p>
        </w:tc>
        <w:tc>
          <w:tcPr>
            <w:tcW w:w="0" w:type="dxa"/>
            <w:vAlign w:val="bottom"/>
          </w:tcPr>
          <w:p>
            <w:pPr>
              <w:spacing w:after="0"/>
              <w:rPr>
                <w:sz w:val="1"/>
                <w:szCs w:val="1"/>
                <w:color w:val="auto"/>
              </w:rPr>
            </w:pPr>
          </w:p>
        </w:tc>
      </w:tr>
      <w:tr>
        <w:trPr>
          <w:trHeight w:val="149"/>
        </w:trPr>
        <w:tc>
          <w:tcPr>
            <w:tcW w:w="6080" w:type="dxa"/>
            <w:vAlign w:val="bottom"/>
            <w:gridSpan w:val="2"/>
          </w:tcPr>
          <w:p>
            <w:pPr>
              <w:spacing w:after="0" w:line="143" w:lineRule="exact"/>
              <w:rPr>
                <w:sz w:val="20"/>
                <w:szCs w:val="20"/>
                <w:color w:val="auto"/>
              </w:rPr>
            </w:pPr>
            <w:r>
              <w:rPr>
                <w:rFonts w:ascii="Arial" w:cs="Arial" w:eastAsia="Arial" w:hAnsi="Arial"/>
                <w:sz w:val="13"/>
                <w:szCs w:val="13"/>
                <w:color w:val="auto"/>
              </w:rPr>
              <w:t>Total stockholders’ deficit</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78"/>
              </w:rPr>
              <w:t>(11,723)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78"/>
              </w:rPr>
              <w:t>(10,386)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(76,567)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 preferred stock and stockholders’ deficit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61,232</w:t>
            </w: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88,568</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105,618</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106,144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8"/>
            <w:vMerge w:val="continue"/>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(Restated)</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371"/>
              <w:spacing w:after="0" w:line="142" w:lineRule="exact"/>
              <w:rPr>
                <w:sz w:val="20"/>
                <w:szCs w:val="20"/>
                <w:color w:val="auto"/>
              </w:rPr>
            </w:pPr>
            <w:r>
              <w:rPr>
                <w:rFonts w:ascii="Arial" w:cs="Arial" w:eastAsia="Arial" w:hAnsi="Arial"/>
                <w:sz w:val="14"/>
                <w:szCs w:val="14"/>
                <w:b w:val="1"/>
                <w:bCs w:val="1"/>
                <w:color w:val="auto"/>
                <w:w w:val="7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51,793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72,111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99,326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68,472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39,050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Selling and promotional, including $2,839 in 2005; $3,742 in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2006, and $4,293 in 2007, $3,120 and $4,323 for the nine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w w:val="91"/>
              </w:rPr>
              <w:t>months ended September 30, 2007 and 2008, to related parties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14,047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35,148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24,291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Royalty to former owner</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56,697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69,069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94,981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66,255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(4,904)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(2,975)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4"/>
              </w:rPr>
              <w:t>(2,236)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(7,726)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(3,440)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income available (loss attributable) to common stockholders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(4,286)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Earnings (loss), per common share:</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earnings (loss) per common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18,470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18,923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18,885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36,858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35,189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Pro forma earnings per common share (Unaudited)</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5"/>
              </w:rPr>
              <w:t>Shares used in computing pro forma earnings per common share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40,321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Grand Canyon Education, Inc.</w:t>
      </w:r>
    </w:p>
    <w:p>
      <w:pPr>
        <w:spacing w:after="0" w:line="10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Statements of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7"/>
            <w:vMerge w:val="restart"/>
          </w:tcPr>
          <w:p>
            <w:pPr>
              <w:jc w:val="right"/>
              <w:ind w:right="32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7"/>
          </w:tcPr>
          <w:p>
            <w:pPr>
              <w:jc w:val="right"/>
              <w:ind w:right="580"/>
              <w:spacing w:after="0"/>
              <w:rPr>
                <w:sz w:val="20"/>
                <w:szCs w:val="20"/>
                <w:color w:val="auto"/>
              </w:rPr>
            </w:pPr>
            <w:r>
              <w:rPr>
                <w:rFonts w:ascii="Arial" w:cs="Arial" w:eastAsia="Arial" w:hAnsi="Arial"/>
                <w:sz w:val="13"/>
                <w:szCs w:val="13"/>
                <w:b w:val="1"/>
                <w:bCs w:val="1"/>
                <w:color w:val="auto"/>
              </w:rPr>
              <w:t>Members’/Stockholders’ Deficit</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7"/>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jc w:val="center"/>
              <w:spacing w:after="0" w:line="129" w:lineRule="exact"/>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20" w:type="dxa"/>
            <w:vAlign w:val="bottom"/>
            <w:gridSpan w:val="8"/>
          </w:tcPr>
          <w:p>
            <w:pPr>
              <w:jc w:val="center"/>
              <w:spacing w:after="0" w:line="110" w:lineRule="exact"/>
              <w:rPr>
                <w:sz w:val="20"/>
                <w:szCs w:val="20"/>
                <w:color w:val="auto"/>
              </w:rPr>
            </w:pPr>
            <w:r>
              <w:rPr>
                <w:rFonts w:ascii="Arial" w:cs="Arial" w:eastAsia="Arial" w:hAnsi="Arial"/>
                <w:sz w:val="12"/>
                <w:szCs w:val="12"/>
                <w:b w:val="1"/>
                <w:bCs w:val="1"/>
                <w:color w:val="auto"/>
                <w:w w:val="95"/>
              </w:rPr>
              <w:t>Series A Convertible</w:t>
            </w:r>
          </w:p>
        </w:tc>
        <w:tc>
          <w:tcPr>
            <w:tcW w:w="60" w:type="dxa"/>
            <w:vAlign w:val="bottom"/>
          </w:tcPr>
          <w:p>
            <w:pPr>
              <w:spacing w:after="0"/>
              <w:rPr>
                <w:sz w:val="9"/>
                <w:szCs w:val="9"/>
                <w:color w:val="auto"/>
              </w:rPr>
            </w:pPr>
          </w:p>
        </w:tc>
        <w:tc>
          <w:tcPr>
            <w:tcW w:w="1360" w:type="dxa"/>
            <w:vAlign w:val="bottom"/>
            <w:gridSpan w:val="8"/>
          </w:tcPr>
          <w:p>
            <w:pPr>
              <w:jc w:val="right"/>
              <w:ind w:right="120"/>
              <w:spacing w:after="0" w:line="110" w:lineRule="exact"/>
              <w:rPr>
                <w:sz w:val="20"/>
                <w:szCs w:val="20"/>
                <w:color w:val="auto"/>
              </w:rPr>
            </w:pPr>
            <w:r>
              <w:rPr>
                <w:rFonts w:ascii="Arial" w:cs="Arial" w:eastAsia="Arial" w:hAnsi="Arial"/>
                <w:sz w:val="12"/>
                <w:szCs w:val="12"/>
                <w:b w:val="1"/>
                <w:bCs w:val="1"/>
                <w:color w:val="auto"/>
              </w:rPr>
              <w:t>Series B Convertible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7"/>
          </w:tcPr>
          <w:p>
            <w:pPr>
              <w:jc w:val="center"/>
              <w:ind w:right="80"/>
              <w:spacing w:after="0" w:line="110" w:lineRule="exact"/>
              <w:rPr>
                <w:sz w:val="20"/>
                <w:szCs w:val="20"/>
                <w:color w:val="auto"/>
              </w:rPr>
            </w:pPr>
            <w:r>
              <w:rPr>
                <w:rFonts w:ascii="Arial" w:cs="Arial" w:eastAsia="Arial" w:hAnsi="Arial"/>
                <w:sz w:val="12"/>
                <w:szCs w:val="12"/>
                <w:b w:val="1"/>
                <w:bCs w:val="1"/>
                <w:color w:val="auto"/>
                <w:w w:val="91"/>
              </w:rPr>
              <w:t>Series C</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w w:val="95"/>
              </w:rPr>
              <w:t>Additional</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9"/>
              </w:rPr>
              <w:t>Other</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6"/>
              </w:rPr>
              <w:t>Preferred 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7"/>
          </w:tcPr>
          <w:p>
            <w:pPr>
              <w:jc w:val="right"/>
              <w:ind w:right="260"/>
              <w:spacing w:after="0"/>
              <w:rPr>
                <w:sz w:val="20"/>
                <w:szCs w:val="20"/>
                <w:color w:val="auto"/>
              </w:rPr>
            </w:pPr>
            <w:r>
              <w:rPr>
                <w:rFonts w:ascii="Arial" w:cs="Arial" w:eastAsia="Arial" w:hAnsi="Arial"/>
                <w:sz w:val="13"/>
                <w:szCs w:val="13"/>
                <w:b w:val="1"/>
                <w:bCs w:val="1"/>
                <w:color w:val="auto"/>
                <w:w w:val="94"/>
              </w:rPr>
              <w:t>Preferred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right w:val="single" w:sz="8" w:color="auto"/>
            </w:tcBorders>
            <w:gridSpan w:val="8"/>
          </w:tcPr>
          <w:p>
            <w:pPr>
              <w:jc w:val="center"/>
              <w:ind w:right="200"/>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3"/>
                <w:szCs w:val="13"/>
                <w:color w:val="auto"/>
              </w:rPr>
            </w:pPr>
          </w:p>
        </w:tc>
        <w:tc>
          <w:tcPr>
            <w:tcW w:w="138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w w:val="93"/>
              </w:rPr>
              <w:t>Membership Interests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580" w:type="dxa"/>
            <w:vAlign w:val="bottom"/>
            <w:gridSpan w:val="5"/>
          </w:tcPr>
          <w:p>
            <w:pPr>
              <w:ind w:left="80"/>
              <w:spacing w:after="0"/>
              <w:rPr>
                <w:sz w:val="20"/>
                <w:szCs w:val="20"/>
                <w:color w:val="auto"/>
              </w:rPr>
            </w:pPr>
            <w:r>
              <w:rPr>
                <w:rFonts w:ascii="Arial" w:cs="Arial" w:eastAsia="Arial" w:hAnsi="Arial"/>
                <w:sz w:val="13"/>
                <w:szCs w:val="13"/>
                <w:b w:val="1"/>
                <w:bCs w:val="1"/>
                <w:color w:val="auto"/>
              </w:rPr>
              <w:t>Paid-in</w:t>
            </w:r>
          </w:p>
        </w:tc>
        <w:tc>
          <w:tcPr>
            <w:tcW w:w="1620" w:type="dxa"/>
            <w:vAlign w:val="bottom"/>
            <w:gridSpan w:val="9"/>
          </w:tcPr>
          <w:p>
            <w:pPr>
              <w:ind w:left="20"/>
              <w:spacing w:after="0"/>
              <w:rPr>
                <w:sz w:val="20"/>
                <w:szCs w:val="20"/>
                <w:color w:val="auto"/>
              </w:rPr>
            </w:pPr>
            <w:r>
              <w:rPr>
                <w:rFonts w:ascii="Arial" w:cs="Arial" w:eastAsia="Arial" w:hAnsi="Arial"/>
                <w:sz w:val="13"/>
                <w:szCs w:val="13"/>
                <w:b w:val="1"/>
                <w:bCs w:val="1"/>
                <w:color w:val="auto"/>
                <w:w w:val="86"/>
              </w:rPr>
              <w:t>Comprehensive Accumulated</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Borders>
              <w:top w:val="single" w:sz="8" w:color="auto"/>
              <w:bottom w:val="single" w:sz="8" w:color="auto"/>
            </w:tcBorders>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4"/>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4"/>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520" w:type="dxa"/>
            <w:vAlign w:val="bottom"/>
            <w:tcBorders>
              <w:top w:val="single" w:sz="8" w:color="auto"/>
              <w:bottom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4"/>
          </w:tcPr>
          <w:p>
            <w:pPr>
              <w:ind w:left="80"/>
              <w:spacing w:after="0" w:line="129"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Units</w:t>
            </w: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3"/>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4"/>
          </w:tcPr>
          <w:p>
            <w:pPr>
              <w:jc w:val="right"/>
              <w:ind w:right="20"/>
              <w:spacing w:after="0" w:line="129" w:lineRule="exact"/>
              <w:rPr>
                <w:sz w:val="20"/>
                <w:szCs w:val="20"/>
                <w:color w:val="auto"/>
              </w:rPr>
            </w:pPr>
            <w:r>
              <w:rPr>
                <w:rFonts w:ascii="Arial" w:cs="Arial" w:eastAsia="Arial" w:hAnsi="Arial"/>
                <w:sz w:val="13"/>
                <w:szCs w:val="13"/>
                <w:b w:val="1"/>
                <w:bCs w:val="1"/>
                <w:color w:val="auto"/>
                <w:w w:val="84"/>
              </w:rPr>
              <w:t>Par Value</w:t>
            </w:r>
          </w:p>
        </w:tc>
        <w:tc>
          <w:tcPr>
            <w:tcW w:w="40" w:type="dxa"/>
            <w:vAlign w:val="bottom"/>
          </w:tcPr>
          <w:p>
            <w:pPr>
              <w:spacing w:after="0"/>
              <w:rPr>
                <w:sz w:val="11"/>
                <w:szCs w:val="11"/>
                <w:color w:val="auto"/>
              </w:rPr>
            </w:pPr>
          </w:p>
        </w:tc>
        <w:tc>
          <w:tcPr>
            <w:tcW w:w="540" w:type="dxa"/>
            <w:vAlign w:val="bottom"/>
            <w:tcBorders>
              <w:bottom w:val="single" w:sz="8" w:color="auto"/>
            </w:tcBorders>
            <w:gridSpan w:val="4"/>
          </w:tcPr>
          <w:p>
            <w:pPr>
              <w:ind w:left="60"/>
              <w:spacing w:after="0" w:line="12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90"/>
              </w:rPr>
              <w:t>Deficit</w:t>
            </w: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2004</w:t>
            </w: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240" w:type="dxa"/>
            <w:vAlign w:val="bottom"/>
            <w:gridSpan w:val="3"/>
            <w:shd w:val="clear" w:color="auto" w:fill="CCEEFF"/>
          </w:tcPr>
          <w:p>
            <w:pPr>
              <w:ind w:left="140"/>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2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3"/>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w w:val="98"/>
              </w:rPr>
              <w:t>8,567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$(16,212)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97"/>
              </w:rPr>
              <w:t>(7,645)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Distribution to members</w:t>
            </w:r>
          </w:p>
        </w:tc>
        <w:tc>
          <w:tcPr>
            <w:tcW w:w="16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Exchange of membership interests</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 common shares</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(8,327)</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w w:val="98"/>
              </w:rPr>
              <w:t>18,260,000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8,144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Conversion of Promissory Notes</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into Series A Convertible</w:t>
            </w:r>
          </w:p>
        </w:tc>
        <w:tc>
          <w:tcPr>
            <w:tcW w:w="5500" w:type="dxa"/>
            <w:vAlign w:val="bottom"/>
            <w:gridSpan w:val="3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Preferred Stock</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4,329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14,000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Issuance of common stock for</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services</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593,450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Issuance of Series A Convertible</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Preferred Stock for cash, net of</w:t>
            </w:r>
          </w:p>
        </w:tc>
        <w:tc>
          <w:tcPr>
            <w:tcW w:w="5500" w:type="dxa"/>
            <w:vAlign w:val="bottom"/>
            <w:gridSpan w:val="3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issuance costs of $639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4,610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Issuance of Series B Convertible</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Preferred Stock for cash, net of</w:t>
            </w:r>
          </w:p>
        </w:tc>
        <w:tc>
          <w:tcPr>
            <w:tcW w:w="550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costs of $20</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Net loss (Restated)</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(4,286)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7"/>
              </w:rPr>
              <w:t>(4,286)</w:t>
            </w:r>
          </w:p>
        </w:tc>
        <w:tc>
          <w:tcPr>
            <w:tcW w:w="0" w:type="dxa"/>
            <w:vAlign w:val="bottom"/>
          </w:tcPr>
          <w:p>
            <w:pPr>
              <w:spacing w:after="0"/>
              <w:rPr>
                <w:sz w:val="1"/>
                <w:szCs w:val="1"/>
                <w:color w:val="auto"/>
              </w:rPr>
            </w:pPr>
          </w:p>
        </w:tc>
      </w:tr>
      <w:tr>
        <w:trPr>
          <w:trHeight w:val="121"/>
        </w:trPr>
        <w:tc>
          <w:tcPr>
            <w:tcW w:w="2000" w:type="dxa"/>
            <w:vAlign w:val="bottom"/>
            <w:gridSpan w:val="3"/>
          </w:tcPr>
          <w:p>
            <w:pPr>
              <w:spacing w:after="0"/>
              <w:rPr>
                <w:sz w:val="20"/>
                <w:szCs w:val="20"/>
                <w:color w:val="auto"/>
              </w:rPr>
            </w:pPr>
            <w:r>
              <w:rPr>
                <w:rFonts w:ascii="Arial" w:cs="Arial" w:eastAsia="Arial" w:hAnsi="Arial"/>
                <w:sz w:val="13"/>
                <w:szCs w:val="13"/>
                <w:color w:val="auto"/>
              </w:rPr>
              <w:t>Balance at December 31, 2005</w:t>
            </w:r>
          </w:p>
        </w:tc>
        <w:tc>
          <w:tcPr>
            <w:tcW w:w="38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tcBorders>
              <w:right w:val="single" w:sz="8" w:color="auto"/>
            </w:tcBorders>
            <w:gridSpan w:val="2"/>
            <w:shd w:val="clear" w:color="auto" w:fill="CCEEFF"/>
          </w:tcPr>
          <w:p>
            <w:pPr>
              <w:spacing w:after="0"/>
              <w:rPr>
                <w:sz w:val="10"/>
                <w:szCs w:val="10"/>
                <w:color w:val="auto"/>
              </w:rPr>
            </w:pPr>
          </w:p>
        </w:tc>
        <w:tc>
          <w:tcPr>
            <w:tcW w:w="240" w:type="dxa"/>
            <w:vAlign w:val="bottom"/>
            <w:gridSpan w:val="2"/>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60" w:type="dxa"/>
            <w:vAlign w:val="bottom"/>
            <w:tcBorders>
              <w:top w:val="single" w:sz="8" w:color="auto"/>
            </w:tcBorders>
            <w:gridSpan w:val="2"/>
            <w:shd w:val="clear" w:color="auto" w:fill="CCEEFF"/>
          </w:tcPr>
          <w:p>
            <w:pPr>
              <w:spacing w:after="0"/>
              <w:rPr>
                <w:sz w:val="10"/>
                <w:szCs w:val="10"/>
                <w:color w:val="auto"/>
              </w:rPr>
            </w:pPr>
          </w:p>
        </w:tc>
        <w:tc>
          <w:tcPr>
            <w:tcW w:w="380" w:type="dxa"/>
            <w:vAlign w:val="bottom"/>
            <w:gridSpan w:val="3"/>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(Restated)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5,953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18,610</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w w:val="98"/>
              </w:rPr>
              <w:t>18,853,450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8,198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(20,498)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(12,111)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Net income (Restated)</w:t>
            </w:r>
          </w:p>
        </w:tc>
        <w:tc>
          <w:tcPr>
            <w:tcW w:w="16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598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Unrealized gains on available-for-</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sale securities, net of taxes of</w:t>
            </w:r>
          </w:p>
        </w:tc>
        <w:tc>
          <w:tcPr>
            <w:tcW w:w="550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2"/>
        </w:trPr>
        <w:tc>
          <w:tcPr>
            <w:tcW w:w="5920" w:type="dxa"/>
            <w:vAlign w:val="bottom"/>
            <w:tcBorders>
              <w:right w:val="single" w:sz="8" w:color="auto"/>
            </w:tcBorders>
            <w:gridSpan w:val="29"/>
          </w:tcPr>
          <w:p>
            <w:pPr>
              <w:spacing w:after="0" w:line="143" w:lineRule="exact"/>
              <w:rPr>
                <w:sz w:val="20"/>
                <w:szCs w:val="20"/>
                <w:color w:val="auto"/>
              </w:rPr>
            </w:pPr>
            <w:r>
              <w:rPr>
                <w:rFonts w:ascii="Arial" w:cs="Arial" w:eastAsia="Arial" w:hAnsi="Arial"/>
                <w:sz w:val="13"/>
                <w:szCs w:val="13"/>
                <w:color w:val="auto"/>
              </w:rPr>
              <w:t>Comprehensive income</w:t>
            </w:r>
          </w:p>
        </w:tc>
        <w:tc>
          <w:tcPr>
            <w:tcW w:w="5060" w:type="dxa"/>
            <w:vAlign w:val="bottom"/>
            <w:gridSpan w:val="33"/>
          </w:tcPr>
          <w:p>
            <w:pPr>
              <w:spacing w:after="0"/>
              <w:rPr>
                <w:sz w:val="12"/>
                <w:szCs w:val="12"/>
                <w:color w:val="auto"/>
              </w:rPr>
            </w:pPr>
          </w:p>
        </w:tc>
        <w:tc>
          <w:tcPr>
            <w:tcW w:w="3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Redemption of Series B</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Convertible Preferred Stock</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(1,298)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(4,200)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Value assigned to Blanchard</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282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Dividend on Series B Convertible</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28"/>
        </w:trPr>
        <w:tc>
          <w:tcPr>
            <w:tcW w:w="2000" w:type="dxa"/>
            <w:vAlign w:val="bottom"/>
            <w:gridSpan w:val="3"/>
          </w:tcPr>
          <w:p>
            <w:pPr>
              <w:spacing w:after="0" w:line="128" w:lineRule="exact"/>
              <w:rPr>
                <w:sz w:val="20"/>
                <w:szCs w:val="20"/>
                <w:color w:val="auto"/>
              </w:rPr>
            </w:pPr>
            <w:r>
              <w:rPr>
                <w:rFonts w:ascii="Arial" w:cs="Arial" w:eastAsia="Arial" w:hAnsi="Arial"/>
                <w:sz w:val="13"/>
                <w:szCs w:val="13"/>
                <w:color w:val="auto"/>
              </w:rPr>
              <w:t>Balance at December 31, 2006</w:t>
            </w:r>
          </w:p>
        </w:tc>
        <w:tc>
          <w:tcPr>
            <w:tcW w:w="380" w:type="dxa"/>
            <w:vAlign w:val="bottom"/>
            <w:tcBorders>
              <w:top w:val="single" w:sz="8" w:color="auto"/>
            </w:tcBorders>
          </w:tcPr>
          <w:p>
            <w:pPr>
              <w:spacing w:after="0"/>
              <w:rPr>
                <w:sz w:val="11"/>
                <w:szCs w:val="11"/>
                <w:color w:val="auto"/>
              </w:rPr>
            </w:pPr>
          </w:p>
        </w:tc>
        <w:tc>
          <w:tcPr>
            <w:tcW w:w="28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240" w:type="dxa"/>
            <w:vAlign w:val="bottom"/>
            <w:gridSpan w:val="3"/>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160" w:type="dxa"/>
            <w:vAlign w:val="bottom"/>
            <w:tcBorders>
              <w:right w:val="single" w:sz="8" w:color="auto"/>
            </w:tcBorders>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gridSpan w:val="3"/>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gridSpan w:val="3"/>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gridSpan w:val="3"/>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240" w:type="dxa"/>
            <w:vAlign w:val="bottom"/>
            <w:gridSpan w:val="3"/>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460" w:type="dxa"/>
            <w:vAlign w:val="bottom"/>
            <w:tcBorders>
              <w:top w:val="single" w:sz="8" w:color="auto"/>
            </w:tcBorders>
            <w:gridSpan w:val="2"/>
          </w:tcPr>
          <w:p>
            <w:pPr>
              <w:spacing w:after="0"/>
              <w:rPr>
                <w:sz w:val="11"/>
                <w:szCs w:val="11"/>
                <w:color w:val="auto"/>
              </w:rPr>
            </w:pPr>
          </w:p>
        </w:tc>
        <w:tc>
          <w:tcPr>
            <w:tcW w:w="380" w:type="dxa"/>
            <w:vAlign w:val="bottom"/>
            <w:gridSpan w:val="3"/>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gridSpan w:val="3"/>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(Restated)</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5,953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18,610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865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2,780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w w:val="98"/>
              </w:rPr>
              <w:t>18,853,450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189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7,953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35</w:t>
            </w: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(19,900)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(11,723)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(Restated)</w:t>
            </w: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1,526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1,526</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Unrealized gains on available-for-</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sale securities, net of taxes of</w:t>
            </w:r>
          </w:p>
        </w:tc>
        <w:tc>
          <w:tcPr>
            <w:tcW w:w="5500" w:type="dxa"/>
            <w:vAlign w:val="bottom"/>
            <w:gridSpan w:val="3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140"/>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auto"/>
            </w:tcBorders>
            <w:gridSpan w:val="28"/>
          </w:tcPr>
          <w:p>
            <w:pPr>
              <w:spacing w:after="0"/>
              <w:rPr>
                <w:sz w:val="2"/>
                <w:szCs w:val="2"/>
                <w:color w:val="auto"/>
              </w:rPr>
            </w:pPr>
          </w:p>
        </w:tc>
        <w:tc>
          <w:tcPr>
            <w:tcW w:w="5500" w:type="dxa"/>
            <w:vAlign w:val="bottom"/>
            <w:gridSpan w:val="3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5900" w:type="dxa"/>
            <w:vAlign w:val="bottom"/>
            <w:tcBorders>
              <w:right w:val="single" w:sz="8" w:color="auto"/>
            </w:tcBorders>
            <w:gridSpan w:val="28"/>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5500" w:type="dxa"/>
            <w:vAlign w:val="bottom"/>
            <w:gridSpan w:val="35"/>
            <w:shd w:val="clear" w:color="auto" w:fill="CCEEFF"/>
          </w:tcPr>
          <w:p>
            <w:pPr>
              <w:jc w:val="right"/>
              <w:ind w:right="5500"/>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Conversion of Series B</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Convertible Preferred Stock to</w:t>
            </w:r>
          </w:p>
        </w:tc>
        <w:tc>
          <w:tcPr>
            <w:tcW w:w="5500" w:type="dxa"/>
            <w:vAlign w:val="bottom"/>
            <w:gridSpan w:val="35"/>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Series C Preferred Stock</w:t>
            </w: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(865)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7"/>
              </w:rPr>
              <w:t>(2,780)</w:t>
            </w:r>
          </w:p>
        </w:tc>
        <w:tc>
          <w:tcPr>
            <w:tcW w:w="58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2,780</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Payment of amounts due to related</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party with Series C Preferred</w:t>
            </w:r>
          </w:p>
        </w:tc>
        <w:tc>
          <w:tcPr>
            <w:tcW w:w="5500" w:type="dxa"/>
            <w:vAlign w:val="bottom"/>
            <w:gridSpan w:val="3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Stock</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4"/>
          </w:tcPr>
          <w:p>
            <w:pPr>
              <w:jc w:val="right"/>
              <w:ind w:right="6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120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Issuance of Series C Preferred</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Stock for cash, net of issuance</w:t>
            </w:r>
          </w:p>
        </w:tc>
        <w:tc>
          <w:tcPr>
            <w:tcW w:w="550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costs of $36</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2,995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10,409</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Issuance of Blanchard shares</w:t>
            </w:r>
          </w:p>
        </w:tc>
        <w:tc>
          <w:tcPr>
            <w:tcW w:w="16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182,600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Dividend on Series B Convertible</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Accretion of Series C Preferred</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Stock Dividend</w:t>
            </w:r>
          </w:p>
        </w:tc>
        <w:tc>
          <w:tcPr>
            <w:tcW w:w="1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1"/>
        </w:trPr>
        <w:tc>
          <w:tcPr>
            <w:tcW w:w="2000" w:type="dxa"/>
            <w:vAlign w:val="bottom"/>
            <w:gridSpan w:val="3"/>
          </w:tcPr>
          <w:p>
            <w:pPr>
              <w:spacing w:after="0"/>
              <w:rPr>
                <w:sz w:val="20"/>
                <w:szCs w:val="20"/>
                <w:color w:val="auto"/>
              </w:rPr>
            </w:pPr>
            <w:r>
              <w:rPr>
                <w:rFonts w:ascii="Arial" w:cs="Arial" w:eastAsia="Arial" w:hAnsi="Arial"/>
                <w:sz w:val="13"/>
                <w:szCs w:val="13"/>
                <w:color w:val="auto"/>
              </w:rPr>
              <w:t>Balance at December 31, 2007</w:t>
            </w:r>
          </w:p>
        </w:tc>
        <w:tc>
          <w:tcPr>
            <w:tcW w:w="38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tcBorders>
              <w:right w:val="single" w:sz="8" w:color="auto"/>
            </w:tcBorders>
            <w:gridSpan w:val="2"/>
            <w:shd w:val="clear" w:color="auto" w:fill="CCEEFF"/>
          </w:tcPr>
          <w:p>
            <w:pPr>
              <w:spacing w:after="0"/>
              <w:rPr>
                <w:sz w:val="10"/>
                <w:szCs w:val="10"/>
                <w:color w:val="auto"/>
              </w:rPr>
            </w:pPr>
          </w:p>
        </w:tc>
        <w:tc>
          <w:tcPr>
            <w:tcW w:w="240" w:type="dxa"/>
            <w:vAlign w:val="bottom"/>
            <w:gridSpan w:val="2"/>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60" w:type="dxa"/>
            <w:vAlign w:val="bottom"/>
            <w:tcBorders>
              <w:top w:val="single" w:sz="8" w:color="auto"/>
            </w:tcBorders>
            <w:gridSpan w:val="2"/>
            <w:shd w:val="clear" w:color="auto" w:fill="CCEEFF"/>
          </w:tcPr>
          <w:p>
            <w:pPr>
              <w:spacing w:after="0"/>
              <w:rPr>
                <w:sz w:val="10"/>
                <w:szCs w:val="10"/>
                <w:color w:val="auto"/>
              </w:rPr>
            </w:pPr>
          </w:p>
        </w:tc>
        <w:tc>
          <w:tcPr>
            <w:tcW w:w="380" w:type="dxa"/>
            <w:vAlign w:val="bottom"/>
            <w:gridSpan w:val="3"/>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(Restated)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5,953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18,610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3,829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13,338</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w w:val="98"/>
              </w:rPr>
              <w:t>19,036,050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7,719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(18,374)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(10,386)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Net income (unaudited)</w:t>
            </w:r>
          </w:p>
        </w:tc>
        <w:tc>
          <w:tcPr>
            <w:tcW w:w="16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4,476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Unrealized losses on available for-</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sale securities, net of taxes of</w:t>
            </w:r>
          </w:p>
        </w:tc>
        <w:tc>
          <w:tcPr>
            <w:tcW w:w="550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$45 (unaudited)</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28"/>
        </w:trPr>
        <w:tc>
          <w:tcPr>
            <w:tcW w:w="5920" w:type="dxa"/>
            <w:vAlign w:val="bottom"/>
            <w:tcBorders>
              <w:right w:val="single" w:sz="8" w:color="auto"/>
            </w:tcBorders>
            <w:gridSpan w:val="29"/>
          </w:tcPr>
          <w:p>
            <w:pPr>
              <w:spacing w:after="0" w:line="128" w:lineRule="exact"/>
              <w:rPr>
                <w:sz w:val="20"/>
                <w:szCs w:val="20"/>
                <w:color w:val="auto"/>
              </w:rPr>
            </w:pPr>
            <w:r>
              <w:rPr>
                <w:rFonts w:ascii="Arial" w:cs="Arial" w:eastAsia="Arial" w:hAnsi="Arial"/>
                <w:sz w:val="13"/>
                <w:szCs w:val="13"/>
                <w:color w:val="auto"/>
              </w:rPr>
              <w:t>Comprehensive income</w:t>
            </w:r>
          </w:p>
        </w:tc>
        <w:tc>
          <w:tcPr>
            <w:tcW w:w="5060" w:type="dxa"/>
            <w:vAlign w:val="bottom"/>
            <w:gridSpan w:val="33"/>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(unaudited)</w:t>
            </w:r>
          </w:p>
        </w:tc>
        <w:tc>
          <w:tcPr>
            <w:tcW w:w="5500" w:type="dxa"/>
            <w:vAlign w:val="bottom"/>
            <w:gridSpan w:val="35"/>
          </w:tcPr>
          <w:p>
            <w:pPr>
              <w:jc w:val="right"/>
              <w:ind w:right="5500"/>
              <w:spacing w:after="0"/>
              <w:rPr>
                <w:sz w:val="20"/>
                <w:szCs w:val="20"/>
                <w:color w:val="auto"/>
              </w:rPr>
            </w:pPr>
            <w:r>
              <w:rPr>
                <w:rFonts w:ascii="Arial" w:cs="Arial" w:eastAsia="Arial" w:hAnsi="Arial"/>
                <w:sz w:val="13"/>
                <w:szCs w:val="13"/>
                <w:color w:val="auto"/>
              </w:rPr>
              <w:t>4,408</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Undeclared dividends on Series C</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 (unaudited)</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791</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Issuance of Blanchard shares</w:t>
            </w:r>
          </w:p>
        </w:tc>
        <w:tc>
          <w:tcPr>
            <w:tcW w:w="550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182,600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2,994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2,996</w:t>
            </w:r>
          </w:p>
        </w:tc>
        <w:tc>
          <w:tcPr>
            <w:tcW w:w="0" w:type="dxa"/>
            <w:vAlign w:val="bottom"/>
          </w:tcPr>
          <w:p>
            <w:pPr>
              <w:spacing w:after="0"/>
              <w:rPr>
                <w:sz w:val="1"/>
                <w:szCs w:val="1"/>
                <w:color w:val="auto"/>
              </w:rPr>
            </w:pPr>
          </w:p>
        </w:tc>
      </w:tr>
      <w:tr>
        <w:trPr>
          <w:trHeight w:val="121"/>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Cancellation of IAS warrant, net</w:t>
            </w:r>
          </w:p>
        </w:tc>
        <w:tc>
          <w:tcPr>
            <w:tcW w:w="550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29"/>
          </w:tcPr>
          <w:p>
            <w:pPr>
              <w:spacing w:after="0"/>
              <w:rPr>
                <w:sz w:val="20"/>
                <w:szCs w:val="20"/>
                <w:color w:val="auto"/>
              </w:rPr>
            </w:pPr>
            <w:r>
              <w:rPr>
                <w:rFonts w:ascii="Arial" w:cs="Arial" w:eastAsia="Arial" w:hAnsi="Arial"/>
                <w:sz w:val="13"/>
                <w:szCs w:val="13"/>
                <w:color w:val="auto"/>
              </w:rPr>
              <w:t>of $2,316 deferred taxes</w:t>
            </w:r>
          </w:p>
        </w:tc>
        <w:tc>
          <w:tcPr>
            <w:tcW w:w="550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(unaudited)</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(3,684)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(3,684)</w:t>
            </w:r>
          </w:p>
        </w:tc>
        <w:tc>
          <w:tcPr>
            <w:tcW w:w="0" w:type="dxa"/>
            <w:vAlign w:val="bottom"/>
          </w:tcPr>
          <w:p>
            <w:pPr>
              <w:spacing w:after="0"/>
              <w:rPr>
                <w:sz w:val="1"/>
                <w:szCs w:val="1"/>
                <w:color w:val="auto"/>
              </w:rPr>
            </w:pPr>
          </w:p>
        </w:tc>
      </w:tr>
      <w:tr>
        <w:trPr>
          <w:trHeight w:val="128"/>
        </w:trPr>
        <w:tc>
          <w:tcPr>
            <w:tcW w:w="2000" w:type="dxa"/>
            <w:vAlign w:val="bottom"/>
            <w:gridSpan w:val="3"/>
          </w:tcPr>
          <w:p>
            <w:pPr>
              <w:spacing w:after="0" w:line="128" w:lineRule="exact"/>
              <w:rPr>
                <w:sz w:val="20"/>
                <w:szCs w:val="20"/>
                <w:color w:val="auto"/>
              </w:rPr>
            </w:pPr>
            <w:r>
              <w:rPr>
                <w:rFonts w:ascii="Arial" w:cs="Arial" w:eastAsia="Arial" w:hAnsi="Arial"/>
                <w:sz w:val="13"/>
                <w:szCs w:val="13"/>
                <w:color w:val="auto"/>
                <w:w w:val="99"/>
              </w:rPr>
              <w:t>Balance at September 30, 2008</w:t>
            </w:r>
          </w:p>
        </w:tc>
        <w:tc>
          <w:tcPr>
            <w:tcW w:w="380" w:type="dxa"/>
            <w:vAlign w:val="bottom"/>
            <w:tcBorders>
              <w:top w:val="single" w:sz="8" w:color="auto"/>
            </w:tcBorders>
          </w:tcPr>
          <w:p>
            <w:pPr>
              <w:spacing w:after="0"/>
              <w:rPr>
                <w:sz w:val="11"/>
                <w:szCs w:val="11"/>
                <w:color w:val="auto"/>
              </w:rPr>
            </w:pPr>
          </w:p>
        </w:tc>
        <w:tc>
          <w:tcPr>
            <w:tcW w:w="28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240" w:type="dxa"/>
            <w:vAlign w:val="bottom"/>
            <w:gridSpan w:val="3"/>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160" w:type="dxa"/>
            <w:vAlign w:val="bottom"/>
            <w:tcBorders>
              <w:right w:val="single" w:sz="8" w:color="auto"/>
            </w:tcBorders>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gridSpan w:val="3"/>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gridSpan w:val="3"/>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gridSpan w:val="3"/>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240" w:type="dxa"/>
            <w:vAlign w:val="bottom"/>
            <w:gridSpan w:val="3"/>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460" w:type="dxa"/>
            <w:vAlign w:val="bottom"/>
            <w:tcBorders>
              <w:top w:val="single" w:sz="8" w:color="auto"/>
            </w:tcBorders>
            <w:gridSpan w:val="2"/>
          </w:tcPr>
          <w:p>
            <w:pPr>
              <w:spacing w:after="0"/>
              <w:rPr>
                <w:sz w:val="11"/>
                <w:szCs w:val="11"/>
                <w:color w:val="auto"/>
              </w:rPr>
            </w:pPr>
          </w:p>
        </w:tc>
        <w:tc>
          <w:tcPr>
            <w:tcW w:w="380" w:type="dxa"/>
            <w:vAlign w:val="bottom"/>
            <w:gridSpan w:val="3"/>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gridSpan w:val="3"/>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(unaudited)</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5,953</w:t>
            </w:r>
          </w:p>
        </w:tc>
        <w:tc>
          <w:tcPr>
            <w:tcW w:w="80" w:type="dxa"/>
            <w:vAlign w:val="bottom"/>
          </w:tcPr>
          <w:p>
            <w:pPr>
              <w:spacing w:after="0"/>
              <w:rPr>
                <w:sz w:val="12"/>
                <w:szCs w:val="12"/>
                <w:color w:val="auto"/>
              </w:rPr>
            </w:pPr>
          </w:p>
        </w:tc>
        <w:tc>
          <w:tcPr>
            <w:tcW w:w="24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18,610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1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4"/>
          </w:tcPr>
          <w:p>
            <w:pPr>
              <w:jc w:val="right"/>
              <w:ind w:right="60"/>
              <w:spacing w:after="0"/>
              <w:rPr>
                <w:sz w:val="20"/>
                <w:szCs w:val="20"/>
                <w:color w:val="auto"/>
              </w:rPr>
            </w:pPr>
            <w:r>
              <w:rPr>
                <w:rFonts w:ascii="Arial" w:cs="Arial" w:eastAsia="Arial" w:hAnsi="Arial"/>
                <w:sz w:val="13"/>
                <w:szCs w:val="13"/>
                <w:color w:val="auto"/>
              </w:rPr>
              <w:t>3,829</w:t>
            </w:r>
          </w:p>
        </w:tc>
        <w:tc>
          <w:tcPr>
            <w:tcW w:w="2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14,129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w w:val="98"/>
              </w:rPr>
              <w:t>19,218,650</w:t>
            </w:r>
          </w:p>
        </w:tc>
        <w:tc>
          <w:tcPr>
            <w:tcW w:w="2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192</w:t>
            </w:r>
          </w:p>
        </w:tc>
        <w:tc>
          <w:tcPr>
            <w:tcW w:w="180" w:type="dxa"/>
            <w:vAlign w:val="bottom"/>
            <w:gridSpan w:val="3"/>
          </w:tcPr>
          <w:p>
            <w:pPr>
              <w:ind w:left="100"/>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6,238</w:t>
            </w:r>
          </w:p>
        </w:tc>
        <w:tc>
          <w:tcPr>
            <w:tcW w:w="4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11</w:t>
            </w: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$(13,898)</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(7,457)</w:t>
            </w:r>
          </w:p>
        </w:tc>
        <w:tc>
          <w:tcPr>
            <w:tcW w:w="0" w:type="dxa"/>
            <w:vAlign w:val="bottom"/>
          </w:tcPr>
          <w:p>
            <w:pPr>
              <w:spacing w:after="0"/>
              <w:rPr>
                <w:sz w:val="1"/>
                <w:szCs w:val="1"/>
                <w:color w:val="auto"/>
              </w:rPr>
            </w:pPr>
          </w:p>
        </w:tc>
      </w:tr>
      <w:tr>
        <w:trPr>
          <w:trHeight w:val="20"/>
        </w:trPr>
        <w:tc>
          <w:tcPr>
            <w:tcW w:w="200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thousands)</w:t>
      </w:r>
    </w:p>
    <w:p>
      <w:pPr>
        <w:spacing w:after="0" w:line="5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10"/>
            <w:vMerge w:val="restart"/>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70"/>
              </w:rPr>
              <w:t>(Restated)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(4,286)</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10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Provision for bad debts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(3,693)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(2,148)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(1,656)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(5,356)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(5,974)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(8,573)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(7,573)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60"/>
              <w:spacing w:after="0" w:line="149" w:lineRule="exact"/>
              <w:rPr>
                <w:sz w:val="20"/>
                <w:szCs w:val="20"/>
                <w:color w:val="auto"/>
              </w:rPr>
            </w:pPr>
            <w:r>
              <w:rPr>
                <w:rFonts w:ascii="Arial" w:cs="Arial" w:eastAsia="Arial" w:hAnsi="Arial"/>
                <w:sz w:val="14"/>
                <w:szCs w:val="14"/>
                <w:color w:val="auto"/>
              </w:rPr>
              <w:t>Prepaid expenses and other assets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Due to/from related parties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Accrued liabilities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(1,351)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60"/>
              <w:spacing w:after="0" w:line="149" w:lineRule="exact"/>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(2,294)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(3,386)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Deferred revenue and student deposits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60"/>
              <w:spacing w:after="0" w:line="149" w:lineRule="exact"/>
              <w:rPr>
                <w:sz w:val="20"/>
                <w:szCs w:val="20"/>
                <w:color w:val="auto"/>
              </w:rPr>
            </w:pPr>
            <w:r>
              <w:rPr>
                <w:rFonts w:ascii="Arial" w:cs="Arial" w:eastAsia="Arial" w:hAnsi="Arial"/>
                <w:sz w:val="14"/>
                <w:szCs w:val="14"/>
                <w:color w:val="auto"/>
              </w:rPr>
              <w:t>Prepaid royalties to former owner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Royalty payable to former owner</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60"/>
              <w:spacing w:after="0" w:line="149" w:lineRule="exact"/>
              <w:rPr>
                <w:sz w:val="20"/>
                <w:szCs w:val="20"/>
                <w:color w:val="auto"/>
              </w:rPr>
            </w:pPr>
            <w:r>
              <w:rPr>
                <w:rFonts w:ascii="Arial" w:cs="Arial" w:eastAsia="Arial" w:hAnsi="Arial"/>
                <w:sz w:val="14"/>
                <w:szCs w:val="14"/>
                <w:color w:val="auto"/>
              </w:rPr>
              <w:t>Deposit with former owner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(3,000)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(6,972)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12,209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(2,387)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(7,406)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(5,136)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(9,152)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(9,969)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(7,555)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(5,266)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(6,065)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Principal payments on notes payable and capital lease obligations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(2,306)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(1,230)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on line of credit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line of credit and other debt obligations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8"/>
              </w:rPr>
              <w:t>14,000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Institute Warrant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 of Institute Note Payable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issuances of preferred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related party payable on preferred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preferred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(4,200)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Distributions to members and dividends on preferred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paid related to initial public offering</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(4,368)</w:t>
            </w:r>
          </w:p>
        </w:tc>
        <w:tc>
          <w:tcPr>
            <w:tcW w:w="0" w:type="dxa"/>
            <w:vAlign w:val="bottom"/>
          </w:tcPr>
          <w:p>
            <w:pPr>
              <w:spacing w:after="0"/>
              <w:rPr>
                <w:sz w:val="1"/>
                <w:szCs w:val="1"/>
                <w:color w:val="auto"/>
              </w:rPr>
            </w:pPr>
          </w:p>
        </w:tc>
      </w:tr>
      <w:tr>
        <w:trPr>
          <w:trHeight w:val="163"/>
        </w:trPr>
        <w:tc>
          <w:tcPr>
            <w:tcW w:w="61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16,044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(1,079)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(13,058)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11,782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14,361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14,361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2,579</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14,361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23,210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20,225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year for:</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Arial" w:cs="Arial" w:eastAsia="Arial" w:hAnsi="Arial"/>
                <w:sz w:val="14"/>
                <w:szCs w:val="14"/>
                <w:color w:val="auto"/>
              </w:rPr>
              <w:t>Interest paid</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2,994</w:t>
            </w:r>
          </w:p>
        </w:tc>
        <w:tc>
          <w:tcPr>
            <w:tcW w:w="8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2,523</w:t>
            </w: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2,645</w:t>
            </w:r>
          </w:p>
        </w:tc>
        <w:tc>
          <w:tcPr>
            <w:tcW w:w="10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1,930</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Income taxes paid</w:t>
            </w:r>
          </w:p>
        </w:tc>
        <w:tc>
          <w:tcPr>
            <w:tcW w:w="4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4,964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equipment through capital lease obligations</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w w:val="98"/>
              </w:rPr>
              <w:t>Issuance of Series B convertible preferred stock and Series C preferred stock for notes receivable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5,725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of senior secured notes to Series A convertible preferred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Exchange of membership interest into common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Receipt of marketable securities for Series B convertible preferred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Issuance of Series C preferred stock for settlement of balances owed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dividends on Series B and C preferred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Value assigned to Blanchard shares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Assumption of future obligations under gift annuities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20" w:type="dxa"/>
            <w:vAlign w:val="bottom"/>
          </w:tcPr>
          <w:p>
            <w:pPr>
              <w:ind w:left="120"/>
              <w:spacing w:after="0"/>
              <w:rPr>
                <w:sz w:val="20"/>
                <w:szCs w:val="20"/>
                <w:color w:val="auto"/>
              </w:rPr>
            </w:pPr>
            <w:r>
              <w:rPr>
                <w:rFonts w:ascii="Arial" w:cs="Arial" w:eastAsia="Arial" w:hAnsi="Arial"/>
                <w:sz w:val="14"/>
                <w:szCs w:val="14"/>
                <w:color w:val="auto"/>
              </w:rPr>
              <w:t>Deferred tax on repurchase of Institute Warrant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8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w:t>
      </w:r>
    </w:p>
    <w:p>
      <w:pPr>
        <w:spacing w:after="0" w:line="19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84"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29"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 xml:space="preserve">The accompanying unaudited interim financial statements as of September 30, 2008 and for the nine month periods ended September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7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Formation and Transactions with Former Owner</w:t>
      </w:r>
    </w:p>
    <w:p>
      <w:pPr>
        <w:spacing w:after="0" w:line="131"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2"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87" w:lineRule="exact"/>
        <w:rPr>
          <w:sz w:val="20"/>
          <w:szCs w:val="20"/>
          <w:color w:val="auto"/>
        </w:rPr>
      </w:pPr>
    </w:p>
    <w:p>
      <w:pPr>
        <w:ind w:left="1300" w:hanging="20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$26,750 in cash;</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assumption of a $1,500 note payable to a third party (the “Kirksville Note”);</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80" w:right="8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1300" w:right="20" w:hanging="202"/>
        <w:spacing w:after="0" w:line="264"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8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value of the warrant was estimated at $420 which approximates 10% of the estimated fair value of the Company at the date of grant and was included as a component of the cost of the campus and related buildings.</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7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83"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w:t>
      </w:r>
    </w:p>
    <w:p>
      <w:pPr>
        <w:ind w:left="700"/>
        <w:spacing w:after="0"/>
        <w:rPr>
          <w:sz w:val="20"/>
          <w:szCs w:val="20"/>
          <w:color w:val="auto"/>
        </w:rPr>
      </w:pPr>
      <w:r>
        <w:rPr>
          <w:rFonts w:ascii="Arial" w:cs="Arial" w:eastAsia="Arial" w:hAnsi="Arial"/>
          <w:sz w:val="18"/>
          <w:szCs w:val="18"/>
          <w:color w:val="auto"/>
        </w:rPr>
        <w:t>April 15, 2008, which would serve, in its entirety, as consideration for:</w:t>
      </w:r>
    </w:p>
    <w:p>
      <w:pPr>
        <w:spacing w:after="0" w:line="116" w:lineRule="exact"/>
        <w:rPr>
          <w:sz w:val="20"/>
          <w:szCs w:val="20"/>
          <w:color w:val="auto"/>
        </w:rPr>
      </w:pPr>
    </w:p>
    <w:p>
      <w:pPr>
        <w:ind w:left="1300" w:right="220" w:hanging="202"/>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satisfaction in full of all past royalties due to the Institute under the Royalty Agreement and the elimination of the existing obligation to pay royalties for online student revenues in perpetuity;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repurchase of the Institute Warrant;</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by the Company of the real property and related building located on the Campus that was owned by the Institute and not transferred in connection with the Ancillary Agreement;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termination of a sublease agreement pursuant to which the Institute leased office space on the Campus;</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assumption by the Company of all future payment obligations in respect to certain gift annuities made to the school by donors prior to the acquisition;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satisfaction in full of the $1,250 Institute Loan (including all accrued and unpaid interest thereon).</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Accounting for the April 15, 2008 Settlement of the Standstill Agreement</w:t>
      </w:r>
    </w:p>
    <w:p>
      <w:pPr>
        <w:spacing w:after="0" w:line="131"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Payment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Optional Payment</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Payment to be allocated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87"/>
              </w:rPr>
              <w:t>1)</w:t>
            </w:r>
          </w:p>
        </w:tc>
        <w:tc>
          <w:tcPr>
            <w:tcW w:w="6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Obligations settled</w:t>
            </w: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gridSpan w:val="2"/>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 due under Royalty Agreement (as of April 15, 2008)</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—Repurchase of Institute Warrant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Institute Loan, including accrued interest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—Other amounts due to the Institute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74"/>
              </w:rPr>
              <w:t>2)</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—Assumption of gift annuities obligation, at fair value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74"/>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Cost to be allocated to assets acquired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—Real property and prepaid royalty asset</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fair value estimates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40" w:firstLine="397"/>
        <w:spacing w:after="0" w:line="312" w:lineRule="auto"/>
        <w:rPr>
          <w:sz w:val="20"/>
          <w:szCs w:val="20"/>
          <w:color w:val="auto"/>
        </w:rPr>
      </w:pPr>
      <w:r>
        <w:rPr>
          <w:rFonts w:ascii="Arial" w:cs="Arial" w:eastAsia="Arial" w:hAnsi="Arial"/>
          <w:sz w:val="16"/>
          <w:szCs w:val="16"/>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52"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87"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7"/>
          <w:szCs w:val="17"/>
          <w:i w:val="1"/>
          <w:iCs w:val="1"/>
          <w:color w:val="auto"/>
        </w:rPr>
        <w:t>i.e.</w:t>
      </w:r>
      <w:r>
        <w:rPr>
          <w:rFonts w:ascii="Arial" w:cs="Arial" w:eastAsia="Arial" w:hAnsi="Arial"/>
          <w:sz w:val="17"/>
          <w:szCs w:val="17"/>
          <w:color w:val="auto"/>
        </w:rPr>
        <w:t>, land) and related building acquired from the Institute in the transaction as an asset at the option exercise date and these assets totaling $129 and $24, respectively, have been classified within “Property and Equipment” on the Company’s balance sheet at September 30, 2008.</w:t>
      </w:r>
    </w:p>
    <w:p>
      <w:pPr>
        <w:spacing w:after="0" w:line="77"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The $5,920 value of the settlement of future royalty payment obligations to the Institute was determined based on its relative fair value at the option exercise date and is included in the accompanying balance sheet at September 30, 2008 as a “Prepaid Royalty,” and will be amortized over a period of 20 years.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Certain reclassifications of prior year amounts have been made to the prior year balances to conform to the current period.</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3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Available-for-sale investments are carried at fair value as determined by quoted market prices, with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net of tax, 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1"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 xml:space="preserve">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71" w:lineRule="exact"/>
        <w:rPr>
          <w:sz w:val="20"/>
          <w:szCs w:val="20"/>
          <w:color w:val="auto"/>
        </w:rPr>
      </w:pPr>
    </w:p>
    <w:p>
      <w:pPr>
        <w:ind w:left="700" w:right="240" w:firstLine="397"/>
        <w:spacing w:after="0" w:line="273" w:lineRule="auto"/>
        <w:rPr>
          <w:sz w:val="20"/>
          <w:szCs w:val="20"/>
          <w:color w:val="auto"/>
        </w:rPr>
      </w:pPr>
      <w:r>
        <w:rPr>
          <w:rFonts w:ascii="Arial" w:cs="Arial" w:eastAsia="Arial" w:hAnsi="Arial"/>
          <w:sz w:val="17"/>
          <w:szCs w:val="17"/>
          <w:color w:val="auto"/>
        </w:rPr>
        <w:t>At September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8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84" w:lineRule="exact"/>
        <w:rPr>
          <w:sz w:val="20"/>
          <w:szCs w:val="20"/>
          <w:color w:val="auto"/>
        </w:rPr>
      </w:pPr>
    </w:p>
    <w:p>
      <w:pPr>
        <w:ind w:left="700" w:right="700" w:firstLine="397"/>
        <w:spacing w:after="0" w:line="277" w:lineRule="auto"/>
        <w:rPr>
          <w:sz w:val="20"/>
          <w:szCs w:val="20"/>
          <w:color w:val="auto"/>
        </w:rPr>
      </w:pPr>
      <w:r>
        <w:rPr>
          <w:rFonts w:ascii="Arial" w:cs="Arial" w:eastAsia="Arial" w:hAnsi="Arial"/>
          <w:sz w:val="18"/>
          <w:szCs w:val="18"/>
          <w:color w:val="auto"/>
        </w:rPr>
        <w:t>See also Note 3, “Restatement of Financial Statements,” for the discussion of the restatement to the allowance for doubtful accounts.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7"/>
          <w:szCs w:val="17"/>
          <w:i w:val="1"/>
          <w:iCs w:val="1"/>
          <w:color w:val="auto"/>
        </w:rPr>
        <w:t>Capitalization of Interest Costs</w:t>
      </w:r>
      <w:r>
        <w:rPr>
          <w:rFonts w:ascii="Arial" w:cs="Arial" w:eastAsia="Arial" w:hAnsi="Arial"/>
          <w:sz w:val="17"/>
          <w:szCs w:val="17"/>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nine months ended September 30, 2007 and 2008 are as follows:</w:t>
      </w:r>
    </w:p>
    <w:p>
      <w:pPr>
        <w:spacing w:after="0" w:line="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5"/>
            <w:vMerge w:val="restart"/>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2005</w:t>
            </w: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2006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2007</w:t>
            </w:r>
          </w:p>
        </w:tc>
        <w:tc>
          <w:tcPr>
            <w:tcW w:w="11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capitalized</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1020" w:right="82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impairment, by comparing its fair value to its carrying amount as defined by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w:t>
      </w:r>
    </w:p>
    <w:p>
      <w:pPr>
        <w:spacing w:after="0" w:line="142"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94"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 xml:space="preserve">Effective January 1, 2008, the Company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52" w:lineRule="exact"/>
        <w:rPr>
          <w:sz w:val="20"/>
          <w:szCs w:val="20"/>
          <w:color w:val="auto"/>
        </w:rPr>
      </w:pPr>
    </w:p>
    <w:p>
      <w:pPr>
        <w:ind w:left="700" w:right="340" w:firstLine="397"/>
        <w:spacing w:after="0" w:line="312" w:lineRule="auto"/>
        <w:rPr>
          <w:sz w:val="20"/>
          <w:szCs w:val="20"/>
          <w:color w:val="auto"/>
        </w:rPr>
      </w:pPr>
      <w:r>
        <w:rPr>
          <w:rFonts w:ascii="Arial" w:cs="Arial" w:eastAsia="Arial" w:hAnsi="Arial"/>
          <w:sz w:val="16"/>
          <w:szCs w:val="16"/>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Textbook sales and other revenues are recognized as sales occur or services are performed and represent less than 10% of total revenues.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31"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31"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6"/>
          <w:szCs w:val="16"/>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w:t>
      </w:r>
    </w:p>
    <w:p>
      <w:pPr>
        <w:spacing w:after="0" w:line="2" w:lineRule="exact"/>
        <w:rPr>
          <w:sz w:val="20"/>
          <w:szCs w:val="20"/>
          <w:color w:val="auto"/>
        </w:rPr>
      </w:pPr>
    </w:p>
    <w:p>
      <w:pPr>
        <w:ind w:left="700" w:right="180"/>
        <w:spacing w:after="0" w:line="255" w:lineRule="auto"/>
        <w:rPr>
          <w:sz w:val="20"/>
          <w:szCs w:val="20"/>
          <w:color w:val="auto"/>
        </w:rPr>
      </w:pPr>
      <w:r>
        <w:rPr>
          <w:rFonts w:ascii="Arial" w:cs="Arial" w:eastAsia="Arial" w:hAnsi="Arial"/>
          <w:sz w:val="18"/>
          <w:szCs w:val="18"/>
          <w:color w:val="auto"/>
        </w:rPr>
        <w:t>Advertising costs, which include marketing leads, events, and promotional materials for the years ended December 31, 2005, 2006, and 2007 were $3,423, $4,674, and $10,213 respectively, and for the nine months ended September 30, 2007 and 2008 were $7,052 and $13,656, respectively.</w:t>
      </w:r>
    </w:p>
    <w:p>
      <w:pPr>
        <w:spacing w:after="0" w:line="96"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and for the nine months ended September 30, 2007 and 2008, $3,120 and $4,323, respectively, pursuant to these arrangements. As of December 31, 2006 and 2007, and as of the nine months ended September 30, 2008, $475, $416, and $1,534, respectively, were due to these related parties.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Royalty to Former Owner</w:t>
      </w:r>
    </w:p>
    <w:p>
      <w:pPr>
        <w:spacing w:after="0" w:line="131"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8"/>
          <w:szCs w:val="18"/>
          <w:i w:val="1"/>
          <w:iCs w:val="1"/>
          <w:color w:val="auto"/>
        </w:rPr>
        <w:t>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with Former Owner. </w:t>
      </w:r>
      <w:r>
        <w:rPr>
          <w:rFonts w:ascii="Arial" w:cs="Arial" w:eastAsia="Arial" w:hAnsi="Arial"/>
          <w:sz w:val="18"/>
          <w:szCs w:val="18"/>
          <w:color w:val="auto"/>
        </w:rPr>
        <w:t>The royalties accrued through April 2008 were applied against the payments made to the former</w:t>
      </w:r>
      <w:r>
        <w:rPr>
          <w:rFonts w:ascii="Arial" w:cs="Arial" w:eastAsia="Arial" w:hAnsi="Arial"/>
          <w:sz w:val="18"/>
          <w:szCs w:val="18"/>
          <w:i w:val="1"/>
          <w:iCs w:val="1"/>
          <w:color w:val="auto"/>
        </w:rPr>
        <w:t xml:space="preserve"> </w:t>
      </w:r>
      <w:r>
        <w:rPr>
          <w:rFonts w:ascii="Arial" w:cs="Arial" w:eastAsia="Arial" w:hAnsi="Arial"/>
          <w:sz w:val="18"/>
          <w:szCs w:val="18"/>
          <w:color w:val="auto"/>
        </w:rPr>
        <w:t>owner.</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31"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80" w:right="8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$11 (net of taxes of $7) at September 30, 2008.</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1"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31"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In September 2006, the FASB issued SFAS No. 157, which provides enhanced guidance for using fair value to measure assets and liabilities. SFAS No. 157 establishes a common definition of fair value, provides a framework for measuring fair value under</w:t>
      </w:r>
    </w:p>
    <w:p>
      <w:pPr>
        <w:ind w:left="700" w:right="40"/>
        <w:spacing w:after="0" w:line="277" w:lineRule="auto"/>
        <w:rPr>
          <w:sz w:val="20"/>
          <w:szCs w:val="20"/>
          <w:color w:val="auto"/>
        </w:rPr>
      </w:pPr>
      <w:r>
        <w:rPr>
          <w:rFonts w:ascii="Arial" w:cs="Arial" w:eastAsia="Arial" w:hAnsi="Arial"/>
          <w:sz w:val="17"/>
          <w:szCs w:val="17"/>
          <w:color w:val="auto"/>
        </w:rPr>
        <w:t>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Amendment of FASB Statement No. 115 </w:t>
      </w:r>
      <w:r>
        <w:rPr>
          <w:rFonts w:ascii="Arial" w:cs="Arial" w:eastAsia="Arial" w:hAnsi="Arial"/>
          <w:sz w:val="18"/>
          <w:szCs w:val="18"/>
          <w:color w:val="auto"/>
        </w:rPr>
        <w:t>(“SFAS No. 159”). This standard permits entities to choose to measure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Restatement of Financial Statements</w:t>
      </w:r>
    </w:p>
    <w:p>
      <w:pPr>
        <w:spacing w:after="0" w:line="135" w:lineRule="exact"/>
        <w:rPr>
          <w:sz w:val="20"/>
          <w:szCs w:val="20"/>
          <w:color w:val="auto"/>
        </w:rPr>
      </w:pPr>
    </w:p>
    <w:p>
      <w:pPr>
        <w:ind w:left="700" w:right="820" w:firstLine="397"/>
        <w:spacing w:after="0" w:line="287" w:lineRule="auto"/>
        <w:rPr>
          <w:sz w:val="20"/>
          <w:szCs w:val="20"/>
          <w:color w:val="auto"/>
        </w:rPr>
      </w:pPr>
      <w:r>
        <w:rPr>
          <w:rFonts w:ascii="Arial" w:cs="Arial" w:eastAsia="Arial" w:hAnsi="Arial"/>
          <w:sz w:val="16"/>
          <w:szCs w:val="16"/>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Below is a summary of the impact of the restatement: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 2006</w:t>
            </w:r>
          </w:p>
        </w:tc>
        <w:tc>
          <w:tcPr>
            <w:tcW w:w="18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8"/>
              </w:rPr>
              <w:t>As Reported</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Accounts receivable, net of allowance for doubtful accounts</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13,193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23,036</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46,046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220" w:type="dxa"/>
            <w:vAlign w:val="bottom"/>
            <w:gridSpan w:val="6"/>
          </w:tcPr>
          <w:p>
            <w:pPr>
              <w:ind w:left="700"/>
              <w:spacing w:after="0"/>
              <w:rPr>
                <w:sz w:val="20"/>
                <w:szCs w:val="20"/>
                <w:color w:val="auto"/>
              </w:rPr>
            </w:pPr>
            <w:r>
              <w:rPr>
                <w:rFonts w:ascii="Arial" w:cs="Arial" w:eastAsia="Arial" w:hAnsi="Arial"/>
                <w:sz w:val="18"/>
                <w:szCs w:val="18"/>
                <w:b w:val="1"/>
                <w:bCs w:val="1"/>
                <w:color w:val="auto"/>
              </w:rPr>
              <w:t>LIABILITIES, PREFERRED STOCK AND STOCKHOLDERS’ DEFICIT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7,953</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(19,900)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(18,374)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(11,723)</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(10,386)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preferred stock and stockholders’ deficit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 2005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 2006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Restated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8"/>
              </w:rPr>
              <w:t>Earnings (loss), per common share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Restricted Cash and Investments</w:t>
      </w:r>
    </w:p>
    <w:p>
      <w:pPr>
        <w:spacing w:after="0" w:line="135" w:lineRule="exact"/>
        <w:rPr>
          <w:sz w:val="20"/>
          <w:szCs w:val="20"/>
          <w:color w:val="auto"/>
        </w:rPr>
      </w:pPr>
    </w:p>
    <w:p>
      <w:pPr>
        <w:ind w:left="700" w:right="1080" w:firstLine="397"/>
        <w:spacing w:after="0" w:line="277" w:lineRule="auto"/>
        <w:rPr>
          <w:sz w:val="20"/>
          <w:szCs w:val="20"/>
          <w:color w:val="auto"/>
        </w:rPr>
      </w:pPr>
      <w:r>
        <w:rPr>
          <w:rFonts w:ascii="Arial" w:cs="Arial" w:eastAsia="Arial" w:hAnsi="Arial"/>
          <w:sz w:val="18"/>
          <w:szCs w:val="18"/>
          <w:color w:val="auto"/>
        </w:rPr>
        <w:t>The following is a summary of amounts included in Restricted cash and investments. The Company considers all investments as available for sale;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2006</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Municipal Securities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U.S. Agency</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2007</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Municipal Securities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U.S. Agency</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27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3,166</w:t>
            </w:r>
          </w:p>
        </w:tc>
        <w:tc>
          <w:tcPr>
            <w:tcW w:w="4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2008</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Municipal Securities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00" w:type="dxa"/>
            <w:vAlign w:val="bottom"/>
            <w:gridSpan w:val="2"/>
          </w:tcPr>
          <w:p>
            <w:pPr>
              <w:jc w:val="right"/>
              <w:ind w:right="879"/>
              <w:spacing w:after="0"/>
              <w:rPr>
                <w:sz w:val="20"/>
                <w:szCs w:val="20"/>
                <w:color w:val="auto"/>
              </w:rPr>
            </w:pPr>
            <w:r>
              <w:rPr>
                <w:rFonts w:ascii="Arial" w:cs="Arial" w:eastAsia="Arial" w:hAnsi="Arial"/>
                <w:sz w:val="18"/>
                <w:szCs w:val="18"/>
                <w:color w:val="auto"/>
              </w:rPr>
              <w:t>F-16</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0"/>
              </w:rPr>
              <w:t>As of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Due in one to five years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in five to ten years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Due after ten years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3,074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Gross realized gains and losses resulting from the sale of available-for-sale securities were $0 for the years ended December 31, 2005, 2006, and 2007, and $111 for the nine months ended September 30, 2008. For the years ended December 31, 2005, 2006, and 2007, respectively the net unrealized gain (loss) on available-for-sale securities were $0, $35, and $44, net of tax effect, respectively, and $(68), net of tax effect, for the nine months ended September 30, 2008.</w:t>
      </w:r>
    </w:p>
    <w:p>
      <w:pPr>
        <w:spacing w:after="0" w:line="196"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Property and equipment consist of the following:</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$ 20,562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5,225</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(5,215)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(8,362)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$ 29,017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33,849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$1,849, $2,298, and $3,270 for the years ended December 31, 2005, 2006, and 2007, respectively, and $2,294 and $3,356 for the nine months ended September 30, 2007 and 2008.</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Liabilities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Accrued liabilities consist of the following:</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As of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8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Accrued interest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Financing Arrangements</w:t>
      </w:r>
    </w:p>
    <w:p>
      <w:pPr>
        <w:spacing w:after="0" w:line="135" w:lineRule="exact"/>
        <w:rPr>
          <w:sz w:val="20"/>
          <w:szCs w:val="20"/>
          <w:color w:val="auto"/>
        </w:rPr>
      </w:pPr>
    </w:p>
    <w:p>
      <w:pPr>
        <w:ind w:left="700" w:right="1080" w:firstLine="397"/>
        <w:spacing w:after="0" w:line="302" w:lineRule="auto"/>
        <w:rPr>
          <w:sz w:val="20"/>
          <w:szCs w:val="20"/>
          <w:color w:val="auto"/>
        </w:rPr>
      </w:pPr>
      <w:r>
        <w:rPr>
          <w:rFonts w:ascii="Arial" w:cs="Arial" w:eastAsia="Arial" w:hAnsi="Arial"/>
          <w:sz w:val="16"/>
          <w:szCs w:val="16"/>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60" w:lineRule="exact"/>
        <w:rPr>
          <w:sz w:val="20"/>
          <w:szCs w:val="20"/>
          <w:color w:val="auto"/>
        </w:rPr>
      </w:pPr>
    </w:p>
    <w:p>
      <w:pPr>
        <w:ind w:left="700" w:right="820" w:firstLine="397"/>
        <w:spacing w:after="0" w:line="297" w:lineRule="auto"/>
        <w:rPr>
          <w:sz w:val="20"/>
          <w:szCs w:val="20"/>
          <w:color w:val="auto"/>
        </w:rPr>
      </w:pPr>
      <w:r>
        <w:rPr>
          <w:rFonts w:ascii="Arial" w:cs="Arial" w:eastAsia="Arial" w:hAnsi="Arial"/>
          <w:sz w:val="16"/>
          <w:szCs w:val="16"/>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September 30, 2008, the Company was obligated to spend $2,287 and $1,258, respectively, by July 2010 on such improvements.</w:t>
      </w:r>
    </w:p>
    <w:p>
      <w:pPr>
        <w:spacing w:after="0" w:line="16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Notes Payable and Capital Lease Obligations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Notes payable and capital lease obligations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As of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9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September 30, 2008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w w:val="94"/>
              </w:rPr>
              <w:t>Capital lease for buildings (monthly payments of $301 at an implicit interest rate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8.7% through 2024)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$ 29,161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30,319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Capital leases for equipment (various leases extending into 2012, with implicit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rates ranging from 7.4% to 9.3%, monthly payments totaling $35)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29,728</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30,775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$ 28,779</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28,078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180" w:type="dxa"/>
            <w:vAlign w:val="bottom"/>
            <w:vMerge w:val="restart"/>
          </w:tcPr>
          <w:p>
            <w:pPr>
              <w:ind w:left="4780"/>
              <w:spacing w:after="0"/>
              <w:rPr>
                <w:sz w:val="20"/>
                <w:szCs w:val="20"/>
                <w:color w:val="auto"/>
              </w:rPr>
            </w:pPr>
            <w:r>
              <w:rPr>
                <w:rFonts w:ascii="Arial" w:cs="Arial" w:eastAsia="Arial" w:hAnsi="Arial"/>
                <w:sz w:val="18"/>
                <w:szCs w:val="18"/>
                <w:color w:val="auto"/>
              </w:rPr>
              <w:t>F-18</w:t>
            </w: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6"/>
              </w:rPr>
              <w:t>As of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rPr>
              <w:t>Institute Loan; 8 quarterly payments of $60 through June 2006 and $120 for 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quarters through June 2011; implicit interest at 23.6%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w w:val="95"/>
              </w:rPr>
              <w:t>Kirksville Note; monthly payments of $20; interest at 3.9% through September 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w w:val="96"/>
              </w:rPr>
              <w:t>Various Gift Annuities; quarterly payments of $34 extending through 2018; interest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at 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Notes payable for vehicles requiring monthly payments with interest rates ranging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9.5% to 11.0% extending into January 2013</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1,762</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lease of the campus land was treated as an operating lease and the lease of the buildings was treated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September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September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Payments due under the notes payable and future minimum lease payments under the capital lease obligations are as follows:</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 2007</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0" w:type="dxa"/>
            <w:vAlign w:val="bottom"/>
            <w:gridSpan w:val="2"/>
          </w:tcPr>
          <w:p>
            <w:pPr>
              <w:jc w:val="right"/>
              <w:ind w:right="13"/>
              <w:spacing w:after="0" w:line="119" w:lineRule="exact"/>
              <w:rPr>
                <w:sz w:val="20"/>
                <w:szCs w:val="20"/>
                <w:color w:val="auto"/>
              </w:rPr>
            </w:pPr>
            <w:r>
              <w:rPr>
                <w:rFonts w:ascii="Arial" w:cs="Arial" w:eastAsia="Arial" w:hAnsi="Arial"/>
                <w:sz w:val="13"/>
                <w:szCs w:val="13"/>
                <w:b w:val="1"/>
                <w:bCs w:val="1"/>
                <w:color w:val="auto"/>
              </w:rPr>
              <w:t>Capital Lease</w:t>
            </w:r>
          </w:p>
        </w:tc>
        <w:tc>
          <w:tcPr>
            <w:tcW w:w="380" w:type="dxa"/>
            <w:vAlign w:val="bottom"/>
          </w:tcPr>
          <w:p>
            <w:pPr>
              <w:spacing w:after="0"/>
              <w:rPr>
                <w:sz w:val="10"/>
                <w:szCs w:val="10"/>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Notes Payable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Obligations</w:t>
            </w:r>
          </w:p>
        </w:tc>
        <w:tc>
          <w:tcPr>
            <w:tcW w:w="3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2009</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3,544</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2011</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3,397</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34,951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52,462</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23,234</w:t>
            </w: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The Company leases certain land, buildings and equipment under non-cancelable operating leases expiring at various dates through</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2023. Future minimum lease payments under operating leases due each year are as follows at December 31, 2007:</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2009</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2011</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60" w:firstLine="397"/>
        <w:spacing w:after="0" w:line="381" w:lineRule="auto"/>
        <w:rPr>
          <w:sz w:val="20"/>
          <w:szCs w:val="20"/>
          <w:color w:val="auto"/>
        </w:rPr>
      </w:pPr>
      <w:r>
        <w:rPr>
          <w:rFonts w:ascii="Arial" w:cs="Arial" w:eastAsia="Arial" w:hAnsi="Arial"/>
          <w:sz w:val="15"/>
          <w:szCs w:val="15"/>
          <w:color w:val="auto"/>
        </w:rPr>
        <w:t>Total rent expense and related taxes and operating expenses under operating leases for the years ended December 31, 2005, 2006 and 2007 and for the nine months ended September 30, 2007 and 2008 was $2,052, $2,136, $2,260, $1,571 and $1,663, respectively.</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Legal Matters</w:t>
      </w:r>
    </w:p>
    <w:p>
      <w:pPr>
        <w:spacing w:after="0" w:line="131"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8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260"/>
        <w:spacing w:after="0" w:line="342" w:lineRule="auto"/>
        <w:rPr>
          <w:sz w:val="20"/>
          <w:szCs w:val="20"/>
          <w:color w:val="auto"/>
        </w:rPr>
      </w:pPr>
      <w:r>
        <w:rPr>
          <w:rFonts w:ascii="Arial" w:cs="Arial" w:eastAsia="Arial" w:hAnsi="Arial"/>
          <w:sz w:val="16"/>
          <w:szCs w:val="16"/>
          <w:color w:val="auto"/>
        </w:rPr>
        <w:t xml:space="preserve">counterclaimed alleging breach of contract relating to the parties’ technology services agreement. Following discovery, the arbitration occurred in late May 2008 and final arguments were heard in July 2008. See Note 17 </w:t>
      </w:r>
      <w:r>
        <w:rPr>
          <w:rFonts w:ascii="Arial" w:cs="Arial" w:eastAsia="Arial" w:hAnsi="Arial"/>
          <w:sz w:val="16"/>
          <w:szCs w:val="16"/>
          <w:i w:val="1"/>
          <w:iCs w:val="1"/>
          <w:color w:val="auto"/>
        </w:rPr>
        <w:t>SunGard Arbitration Settlement (unaudited)</w:t>
      </w:r>
      <w:r>
        <w:rPr>
          <w:rFonts w:ascii="Arial" w:cs="Arial" w:eastAsia="Arial" w:hAnsi="Arial"/>
          <w:sz w:val="16"/>
          <w:szCs w:val="16"/>
          <w:color w:val="auto"/>
        </w:rPr>
        <w:t>.</w:t>
      </w:r>
    </w:p>
    <w:p>
      <w:pPr>
        <w:spacing w:after="0" w:line="29"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balance sheet as of December 31, 2007.</w:t>
      </w:r>
    </w:p>
    <w:p>
      <w:pPr>
        <w:spacing w:after="0" w:line="83" w:lineRule="exact"/>
        <w:rPr>
          <w:sz w:val="20"/>
          <w:szCs w:val="20"/>
          <w:color w:val="auto"/>
        </w:rPr>
      </w:pPr>
    </w:p>
    <w:p>
      <w:pPr>
        <w:ind w:left="700" w:right="600" w:firstLine="397"/>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91" w:lineRule="exact"/>
        <w:rPr>
          <w:sz w:val="20"/>
          <w:szCs w:val="20"/>
          <w:color w:val="auto"/>
        </w:rPr>
      </w:pPr>
    </w:p>
    <w:p>
      <w:pPr>
        <w:ind w:left="1200" w:hanging="507"/>
        <w:spacing w:after="0"/>
        <w:tabs>
          <w:tab w:leader="none" w:pos="12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9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820"/>
        <w:spacing w:after="0" w:line="277" w:lineRule="auto"/>
        <w:rPr>
          <w:sz w:val="20"/>
          <w:szCs w:val="20"/>
          <w:color w:val="auto"/>
        </w:rPr>
      </w:pPr>
      <w:r>
        <w:rPr>
          <w:rFonts w:ascii="Arial" w:cs="Arial" w:eastAsia="Arial" w:hAnsi="Arial"/>
          <w:sz w:val="18"/>
          <w:szCs w:val="18"/>
          <w:color w:val="auto"/>
        </w:rPr>
        <w:t>corporation occurred on January 1, 2005 combined with the weighted number of shares of common stock outstanding after the conversion to a corporation.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2005</w:t>
            </w:r>
          </w:p>
        </w:tc>
        <w:tc>
          <w:tcPr>
            <w:tcW w:w="13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9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2007</w:t>
            </w:r>
          </w:p>
        </w:tc>
        <w:tc>
          <w:tcPr>
            <w:tcW w:w="12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7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Basic common shares outstanding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18,469,990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18,853,450</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18,922,838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18,884,887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19,132,681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14,494,788</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12,393,062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12,449,668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10,870,178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Effect of dilutive warrants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3,509,572</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3,805,384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3,824,845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2,068,987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Effect of contingently issuable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Diluted common shares outstanding</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18,469,990</w:t>
            </w:r>
          </w:p>
        </w:tc>
        <w:tc>
          <w:tcPr>
            <w:tcW w:w="4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36,857,810</w:t>
            </w:r>
          </w:p>
        </w:tc>
        <w:tc>
          <w:tcPr>
            <w:tcW w:w="4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35,143,196</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35,189,610</w:t>
            </w: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32,097,356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securities that could</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potentially dilute earnings per share in the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future that are not included above as they are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anti-dilutive:</w:t>
            </w: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160"/>
              <w:spacing w:after="0" w:line="201" w:lineRule="exact"/>
              <w:rPr>
                <w:sz w:val="20"/>
                <w:szCs w:val="20"/>
                <w:color w:val="auto"/>
              </w:rPr>
            </w:pPr>
            <w:r>
              <w:rPr>
                <w:rFonts w:ascii="Arial" w:cs="Arial" w:eastAsia="Arial" w:hAnsi="Arial"/>
                <w:sz w:val="18"/>
                <w:szCs w:val="18"/>
                <w:color w:val="auto"/>
                <w:w w:val="98"/>
              </w:rPr>
              <w:t>Series A contingently redeemable convertible</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2,120</w:t>
            </w:r>
          </w:p>
        </w:tc>
        <w:tc>
          <w:tcPr>
            <w:tcW w:w="4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Series B contingently redeemable convertible</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Common stock warrants</w:t>
            </w:r>
          </w:p>
        </w:tc>
        <w:tc>
          <w:tcPr>
            <w:tcW w:w="900" w:type="dxa"/>
            <w:vAlign w:val="bottom"/>
          </w:tcPr>
          <w:p>
            <w:pPr>
              <w:jc w:val="right"/>
              <w:spacing w:after="0"/>
              <w:rPr>
                <w:sz w:val="20"/>
                <w:szCs w:val="20"/>
                <w:color w:val="auto"/>
              </w:rPr>
            </w:pPr>
            <w:r>
              <w:rPr>
                <w:rFonts w:ascii="Arial" w:cs="Arial" w:eastAsia="Arial" w:hAnsi="Arial"/>
                <w:sz w:val="18"/>
                <w:szCs w:val="18"/>
                <w:color w:val="auto"/>
              </w:rPr>
              <w:t>4,267,362</w:t>
            </w:r>
          </w:p>
        </w:tc>
        <w:tc>
          <w:tcPr>
            <w:tcW w:w="4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0" w:hanging="507"/>
        <w:spacing w:after="0"/>
        <w:tabs>
          <w:tab w:leader="none" w:pos="12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Equity Transactions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December 31, 2007 and September 30, 2008, the following series of preferred stock have been authorized:</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Series A was originally convertible into common stock on a one for one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200"/>
        <w:spacing w:after="0" w:line="257" w:lineRule="auto"/>
        <w:rPr>
          <w:sz w:val="20"/>
          <w:szCs w:val="20"/>
          <w:color w:val="auto"/>
        </w:rPr>
      </w:pPr>
      <w:r>
        <w:rPr>
          <w:rFonts w:ascii="Arial" w:cs="Arial" w:eastAsia="Arial" w:hAnsi="Arial"/>
          <w:sz w:val="18"/>
          <w:szCs w:val="18"/>
          <w:color w:val="auto"/>
        </w:rPr>
        <w:t>offering price per share to the public of not less than $5 (as adjusted to reflect 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9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72"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During 2005, the Company issued 1,624 shares of Series A and received net proceeds of $4,610. Additionally, the Company converted $14,000 of principal on senior secured promissory notes into 4,329 shares of Series A.</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is non-voting.</w:t>
      </w:r>
    </w:p>
    <w:p>
      <w:pPr>
        <w:spacing w:after="0" w:line="94" w:lineRule="exact"/>
        <w:rPr>
          <w:sz w:val="20"/>
          <w:szCs w:val="20"/>
          <w:color w:val="auto"/>
        </w:rPr>
      </w:pPr>
    </w:p>
    <w:p>
      <w:pPr>
        <w:ind w:left="700" w:right="520" w:firstLine="397"/>
        <w:spacing w:after="0" w:line="291" w:lineRule="auto"/>
        <w:rPr>
          <w:sz w:val="20"/>
          <w:szCs w:val="20"/>
          <w:color w:val="auto"/>
        </w:rPr>
      </w:pPr>
      <w:r>
        <w:rPr>
          <w:rFonts w:ascii="Arial" w:cs="Arial" w:eastAsia="Arial" w:hAnsi="Arial"/>
          <w:sz w:val="16"/>
          <w:szCs w:val="16"/>
          <w:color w:val="auto"/>
        </w:rPr>
        <w:t>On December 31, 2005 the Company issued 2,163 shares Series B and received net proceeds of $6,980 in the form of a stock subscription receivable. The receivable was subsequently paid in April 2006. On November 6, 2006, the Company redeemed</w:t>
      </w:r>
    </w:p>
    <w:p>
      <w:pPr>
        <w:ind w:left="700" w:right="120"/>
        <w:spacing w:after="0" w:line="290" w:lineRule="auto"/>
        <w:rPr>
          <w:sz w:val="20"/>
          <w:szCs w:val="20"/>
          <w:color w:val="auto"/>
        </w:rPr>
      </w:pPr>
      <w:r>
        <w:rPr>
          <w:rFonts w:ascii="Arial" w:cs="Arial" w:eastAsia="Arial" w:hAnsi="Arial"/>
          <w:sz w:val="16"/>
          <w:szCs w:val="16"/>
          <w:color w:val="auto"/>
        </w:rPr>
        <w:t>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September 30, 2008, no shares of Series B remain outstanding.</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131" w:lineRule="exact"/>
        <w:rPr>
          <w:sz w:val="20"/>
          <w:szCs w:val="20"/>
          <w:color w:val="auto"/>
        </w:rPr>
      </w:pPr>
    </w:p>
    <w:p>
      <w:pPr>
        <w:jc w:val="both"/>
        <w:ind w:left="700" w:right="60" w:firstLine="397"/>
        <w:spacing w:after="0" w:line="288" w:lineRule="auto"/>
        <w:rPr>
          <w:sz w:val="20"/>
          <w:szCs w:val="20"/>
          <w:color w:val="auto"/>
        </w:rPr>
      </w:pPr>
      <w:r>
        <w:rPr>
          <w:rFonts w:ascii="Arial" w:cs="Arial" w:eastAsia="Arial" w:hAnsi="Arial"/>
          <w:sz w:val="16"/>
          <w:szCs w:val="16"/>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w:t>
      </w:r>
    </w:p>
    <w:p>
      <w:pPr>
        <w:ind w:left="700" w:right="780"/>
        <w:spacing w:after="0" w:line="290" w:lineRule="auto"/>
        <w:rPr>
          <w:sz w:val="20"/>
          <w:szCs w:val="20"/>
          <w:color w:val="auto"/>
        </w:rPr>
      </w:pPr>
      <w:r>
        <w:rPr>
          <w:rFonts w:ascii="Arial" w:cs="Arial" w:eastAsia="Arial" w:hAnsi="Arial"/>
          <w:sz w:val="17"/>
          <w:szCs w:val="17"/>
          <w:color w:val="auto"/>
        </w:rPr>
        <w:t>Such dividends accrue whether or not declared by the board of directors, whether or not there are funds legally available to pay dividends, and compound on an annual basis. In the event of liquidation, or a change in control, as defined,</w:t>
      </w:r>
    </w:p>
    <w:p>
      <w:pPr>
        <w:spacing w:after="0" w:line="3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jc w:val="both"/>
        <w:ind w:left="700" w:right="140"/>
        <w:spacing w:after="0" w:line="264" w:lineRule="auto"/>
        <w:rPr>
          <w:sz w:val="20"/>
          <w:szCs w:val="20"/>
          <w:color w:val="auto"/>
        </w:rPr>
      </w:pPr>
      <w:r>
        <w:rPr>
          <w:rFonts w:ascii="Arial" w:cs="Arial" w:eastAsia="Arial" w:hAnsi="Arial"/>
          <w:sz w:val="18"/>
          <w:szCs w:val="18"/>
          <w:color w:val="auto"/>
        </w:rPr>
        <w:t>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87"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60"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 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Common Stock</w:t>
      </w:r>
    </w:p>
    <w:p>
      <w:pPr>
        <w:spacing w:after="0" w:line="131"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On August 24, 2005, in connection with its conversion from a limited liability company to a corporation, the Company issued and exchanged one share of common stock to its membership holders in exchange for each 182,600 of their previously outstanding membership units in the limited liability company. Concurrently, the Company also issued 593,450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2"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In June 2004, the Company entered into a license agreement with Blanchard relating to the Company’s use of the Ken Blanchard name for its College of Business. Under the terms of that agreement the Company agreed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3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80" w:right="8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87"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6"/>
          <w:szCs w:val="16"/>
          <w:color w:val="auto"/>
        </w:rPr>
        <w:t>On June 28, 2004, the Company issued to Spirit a warrant to purchase a 5.0% membership interest in common stock of the Company (the “Spirit Warrant”) for $526, as adjusted to be 909,348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and September 30, 2008, the warrant had not been exercised nor had any of the repurchase rights been executed.</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31"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78" w:lineRule="exact"/>
        <w:rPr>
          <w:sz w:val="20"/>
          <w:szCs w:val="20"/>
          <w:color w:val="auto"/>
        </w:rPr>
      </w:pPr>
    </w:p>
    <w:p>
      <w:pPr>
        <w:ind w:left="1200" w:hanging="507"/>
        <w:spacing w:after="0"/>
        <w:tabs>
          <w:tab w:leader="none" w:pos="12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September 30, 2008.</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8"/>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6"/>
          </w:tcPr>
          <w:p>
            <w:pPr>
              <w:spacing w:after="0"/>
              <w:rPr>
                <w:sz w:val="20"/>
                <w:szCs w:val="20"/>
                <w:color w:val="auto"/>
              </w:rPr>
            </w:pPr>
            <w:r>
              <w:rPr>
                <w:rFonts w:ascii="Arial" w:cs="Arial" w:eastAsia="Arial" w:hAnsi="Arial"/>
                <w:sz w:val="14"/>
                <w:szCs w:val="14"/>
                <w:b w:val="1"/>
                <w:bCs w:val="1"/>
                <w:color w:val="auto"/>
                <w:w w:val="98"/>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2,221</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(1,358)</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(3,693)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(2,148)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w w:val="95"/>
              </w:rPr>
              <w:t>Year Ended December 31,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Nine Months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Ended 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 (benefit)</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(2.5)</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Recognition of deferred taxes upon charter conversion</w:t>
            </w:r>
          </w:p>
        </w:tc>
        <w:tc>
          <w:tcPr>
            <w:tcW w:w="1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(24.1)</w:t>
            </w:r>
          </w:p>
        </w:tc>
        <w:tc>
          <w:tcPr>
            <w:tcW w:w="11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Loss prior to charter conversion not subject to tax</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 deductible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(benefit)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60" w:type="dxa"/>
            <w:vAlign w:val="bottom"/>
            <w:gridSpan w:val="3"/>
          </w:tcPr>
          <w:p>
            <w:pPr>
              <w:jc w:val="right"/>
              <w:ind w:right="98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1380" w:right="4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Significant components of the Company’s deferred income tax assets and liabilities as of December 31, 2006 and 2007, and at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30, 2008 are as follows:</w:t>
      </w:r>
    </w:p>
    <w:p>
      <w:pPr>
        <w:sectPr>
          <w:pgSz w:w="11900" w:h="16838" w:orient="portrait"/>
          <w:cols w:equalWidth="0" w:num="1">
            <w:col w:w="10620"/>
          </w:cols>
          <w:pgMar w:left="240" w:top="419" w:right="1039" w:bottom="1440" w:gutter="0" w:footer="0" w:header="0"/>
        </w:sectPr>
      </w:pPr>
    </w:p>
    <w:p>
      <w:pPr>
        <w:spacing w:after="0" w:line="121" w:lineRule="exact"/>
        <w:rPr>
          <w:sz w:val="20"/>
          <w:szCs w:val="20"/>
          <w:color w:val="auto"/>
        </w:rPr>
      </w:pPr>
    </w:p>
    <w:p>
      <w:pPr>
        <w:ind w:left="736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20955</wp:posOffset>
            </wp:positionV>
            <wp:extent cx="8921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p>
    <w:p>
      <w:pPr>
        <w:ind w:left="7360"/>
        <w:spacing w:after="0"/>
        <w:tabs>
          <w:tab w:leader="none" w:pos="8240" w:val="left"/>
        </w:tabs>
        <w:rPr>
          <w:sz w:val="20"/>
          <w:szCs w:val="20"/>
          <w:color w:val="auto"/>
        </w:rPr>
      </w:pPr>
      <w:r>
        <w:rPr>
          <w:rFonts w:ascii="Arial" w:cs="Arial" w:eastAsia="Arial" w:hAnsi="Arial"/>
          <w:sz w:val="13"/>
          <w:szCs w:val="13"/>
          <w:b w:val="1"/>
          <w:bCs w:val="1"/>
          <w:color w:val="auto"/>
        </w:rPr>
        <w:t>2006</w:t>
      </w:r>
      <w:r>
        <w:rPr>
          <w:sz w:val="20"/>
          <w:szCs w:val="20"/>
          <w:color w:val="auto"/>
        </w:rPr>
        <w:tab/>
      </w: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3810</wp:posOffset>
            </wp:positionV>
            <wp:extent cx="3257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3810</wp:posOffset>
            </wp:positionV>
            <wp:extent cx="317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20955</wp:posOffset>
            </wp:positionV>
            <wp:extent cx="9347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-3175</wp:posOffset>
            </wp:positionV>
            <wp:extent cx="9347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8560" w:space="620"/>
            <w:col w:w="1440"/>
          </w:cols>
          <w:pgMar w:left="240" w:top="419" w:right="1039" w:bottom="1440" w:gutter="0" w:footer="0" w:header="0"/>
          <w:type w:val="continuous"/>
        </w:sectPr>
      </w:pPr>
    </w:p>
    <w:tbl>
      <w:tblPr>
        <w:tblLayout w:type="fixed"/>
        <w:tblInd w:w="70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 (liability):</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Accounts receivable allowance for doubtful accounts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$3,023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18"/>
                <w:szCs w:val="18"/>
                <w:color w:val="auto"/>
              </w:rPr>
            </w:pPr>
          </w:p>
        </w:tc>
        <w:tc>
          <w:tcPr>
            <w:tcW w:w="7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taxes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r>
      <w:tr>
        <w:trPr>
          <w:trHeight w:val="223"/>
        </w:trPr>
        <w:tc>
          <w:tcPr>
            <w:tcW w:w="656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deferred tax asset</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Non-current deferred tax asset (liability):</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Unrealized gains on available for sale securities</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Institute warrant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deferred tax asset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 xml:space="preserve">As of January 1, 2008, the Company adopted FASB interpretation No. 48 (“FIN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an interpretation of FASB Statement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clarifies the accounting for uncertainty in tax positions. FIN 48 requires that the Company recognize the impact of a tax position in our financial statements if that position is more-likely-than-not of being sustained on audit, based on the technical merits of the position.</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adoption of FIN 48 did not result in an adjustment to opening retained earnings. The Company recognizes interest and penalties related to uncertain tax positions in income tax expense. As of September 30, 2008, the unrecognized tax benefit recorded was approximately $52, which, if reversed, would impact the effective tax rate. The Company’s uncertain tax positions are related to tax years that remain subject to examination by tax authorities. As of September 30, 2008, the earliest tax year still subject to examination for federal and state purposes is 2005. During the second quarter ended June 30, 2008, the Internal Revenue Service (“IRS”) commenced an examination of our 2005 income tax return.</w:t>
      </w:r>
    </w:p>
    <w:p>
      <w:pPr>
        <w:spacing w:after="0" w:line="203" w:lineRule="exact"/>
        <w:rPr>
          <w:sz w:val="20"/>
          <w:szCs w:val="20"/>
          <w:color w:val="auto"/>
        </w:rPr>
      </w:pPr>
    </w:p>
    <w:p>
      <w:pPr>
        <w:ind w:left="1200" w:hanging="507"/>
        <w:spacing w:after="0"/>
        <w:tabs>
          <w:tab w:leader="none" w:pos="12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2007 and September 30, 2008, management believes the Company is in compliance with the applicable regulations in all material respects.</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8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jc w:val="both"/>
        <w:ind w:left="700" w:right="20" w:firstLine="397"/>
        <w:spacing w:after="0" w:line="302" w:lineRule="auto"/>
        <w:rPr>
          <w:sz w:val="20"/>
          <w:szCs w:val="20"/>
          <w:color w:val="auto"/>
        </w:rPr>
      </w:pPr>
      <w:r>
        <w:rPr>
          <w:rFonts w:ascii="Arial" w:cs="Arial" w:eastAsia="Arial" w:hAnsi="Arial"/>
          <w:sz w:val="16"/>
          <w:szCs w:val="16"/>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6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92"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73"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87"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84"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203" w:lineRule="exact"/>
        <w:rPr>
          <w:sz w:val="20"/>
          <w:szCs w:val="20"/>
          <w:color w:val="auto"/>
        </w:rPr>
      </w:pPr>
    </w:p>
    <w:p>
      <w:pPr>
        <w:ind w:left="1200" w:hanging="507"/>
        <w:spacing w:after="0"/>
        <w:tabs>
          <w:tab w:leader="none" w:pos="12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Effective February 1, 2004 the Company adopted a 401(k) Defined Contribution Benefit Plan (the “Plan”). The Plan provides eligible employees, upon date of hire, with an opportunity to make tax-deferred</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8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160"/>
        <w:spacing w:after="0" w:line="276" w:lineRule="auto"/>
        <w:rPr>
          <w:sz w:val="20"/>
          <w:szCs w:val="20"/>
          <w:color w:val="auto"/>
        </w:rPr>
      </w:pPr>
      <w:r>
        <w:rPr>
          <w:rFonts w:ascii="Arial" w:cs="Arial" w:eastAsia="Arial" w:hAnsi="Arial"/>
          <w:sz w:val="17"/>
          <w:szCs w:val="17"/>
          <w:color w:val="auto"/>
        </w:rPr>
        <w:t>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nine months of 2007 or 2008.</w:t>
      </w:r>
    </w:p>
    <w:p>
      <w:pPr>
        <w:spacing w:after="0" w:line="182" w:lineRule="exact"/>
        <w:rPr>
          <w:sz w:val="20"/>
          <w:szCs w:val="20"/>
          <w:color w:val="auto"/>
        </w:rPr>
      </w:pPr>
    </w:p>
    <w:p>
      <w:pPr>
        <w:ind w:left="1200" w:hanging="507"/>
        <w:spacing w:after="0"/>
        <w:tabs>
          <w:tab w:leader="none" w:pos="12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87" w:lineRule="exact"/>
        <w:rPr>
          <w:sz w:val="20"/>
          <w:szCs w:val="20"/>
          <w:color w:val="auto"/>
        </w:rPr>
      </w:pPr>
    </w:p>
    <w:p>
      <w:pPr>
        <w:jc w:val="both"/>
        <w:ind w:left="700" w:right="220" w:firstLine="397"/>
        <w:spacing w:after="0" w:line="277" w:lineRule="auto"/>
        <w:rPr>
          <w:sz w:val="20"/>
          <w:szCs w:val="20"/>
          <w:color w:val="auto"/>
        </w:rPr>
      </w:pPr>
      <w:r>
        <w:rPr>
          <w:rFonts w:ascii="Arial" w:cs="Arial" w:eastAsia="Arial" w:hAnsi="Arial"/>
          <w:sz w:val="18"/>
          <w:szCs w:val="18"/>
          <w:color w:val="auto"/>
        </w:rPr>
        <w:t>As of and for the years ended December 31, 2005, 2006, and 2007, and as of and for the nine months ended September 30, 2008, related party transactions consisted of the following: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Shareholders</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Significant Education Holding, LLC (Sig Ed) </w:t>
      </w:r>
      <w:r>
        <w:rPr>
          <w:rFonts w:ascii="Arial" w:cs="Arial" w:eastAsia="Arial" w:hAnsi="Arial"/>
          <w:sz w:val="18"/>
          <w:szCs w:val="18"/>
          <w:color w:val="auto"/>
        </w:rPr>
        <w:t>— At December 31, 2007 and September 30, 2008, Sig Ed holds 18,260,000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 The Company has not engaged in any transactions with Sig Ed, but has engaged in certain transactions with members of Sig Ed, as discussed below.</w:t>
      </w:r>
    </w:p>
    <w:p>
      <w:pPr>
        <w:spacing w:after="0" w:line="87"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i w:val="1"/>
          <w:iCs w:val="1"/>
          <w:color w:val="auto"/>
        </w:rPr>
        <w:t xml:space="preserve">220 Partners, LLC (220 Partners) </w:t>
      </w:r>
      <w:r>
        <w:rPr>
          <w:rFonts w:ascii="Arial" w:cs="Arial" w:eastAsia="Arial" w:hAnsi="Arial"/>
          <w:sz w:val="17"/>
          <w:szCs w:val="17"/>
          <w:color w:val="auto"/>
        </w:rPr>
        <w:t>— 220 Partners, which is affiliated with several entities that hold membership interests in Sig Ed</w:t>
      </w:r>
      <w:r>
        <w:rPr>
          <w:rFonts w:ascii="Arial" w:cs="Arial" w:eastAsia="Arial" w:hAnsi="Arial"/>
          <w:sz w:val="17"/>
          <w:szCs w:val="17"/>
          <w:i w:val="1"/>
          <w:iCs w:val="1"/>
          <w:color w:val="auto"/>
        </w:rPr>
        <w:t xml:space="preserve"> </w:t>
      </w:r>
      <w:r>
        <w:rPr>
          <w:rFonts w:ascii="Arial" w:cs="Arial" w:eastAsia="Arial" w:hAnsi="Arial"/>
          <w:sz w:val="17"/>
          <w:szCs w:val="17"/>
          <w:color w:val="auto"/>
        </w:rPr>
        <w:t>and a former director of the Company, received management, consulting fees, and reimbursed expenses of $299, $299, $0 and $0 in the years ended December 31, 2005, 2006, and 2007, and in the nine months ended September 30, 2008, respectively. There were no amounts due from or payable to 220 Partners at December 31, 2006, and 2007 or at September 30, 2008.</w:t>
      </w:r>
    </w:p>
    <w:p>
      <w:pPr>
        <w:spacing w:after="0" w:line="77"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Affiliates of 220 Partners purchased 632 shares of Series C for $2,212 in 2007, of which $1,409 was due as of December 31, 2007 and was included in the due from related parties on the accompanying balance sheet. This amount was paid January 6, 2008. There were no other amounts due from or payable to an affiliate of 220 Partners at December 31, 2006 and 2007 or at September 30, 2008.</w:t>
      </w:r>
    </w:p>
    <w:p>
      <w:pPr>
        <w:spacing w:after="0" w:line="52"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i w:val="1"/>
          <w:iCs w:val="1"/>
          <w:color w:val="auto"/>
        </w:rPr>
        <w:t xml:space="preserve">Rich Crow Enterprises, LLC (Rich Crow) </w:t>
      </w:r>
      <w:r>
        <w:rPr>
          <w:rFonts w:ascii="Arial" w:cs="Arial" w:eastAsia="Arial" w:hAnsi="Arial"/>
          <w:sz w:val="16"/>
          <w:szCs w:val="16"/>
          <w:color w:val="auto"/>
        </w:rPr>
        <w:t>— Members of Rich Crow include the Executive Chairman and General Counsel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who are also both Directors. Rich Crow also is a member of Sig Ed. A member of Rich Crow is also related to the owner of a company that provided marketing services totaling $454 and $309 in the year ended December 31, 2007, and the nine months ended September 30, 2008, respectively, of which $72 and $0 were owed at December 31, 2007, and September 30, 2008, respectively.</w:t>
      </w:r>
    </w:p>
    <w:p>
      <w:pPr>
        <w:spacing w:after="0" w:line="60"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nine months ended September 30, 2008, respectively.</w:t>
      </w:r>
    </w:p>
    <w:p>
      <w:pPr>
        <w:spacing w:after="0" w:line="7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87"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i w:val="1"/>
          <w:iCs w:val="1"/>
          <w:color w:val="auto"/>
        </w:rPr>
        <w:t xml:space="preserve">Significant Ventures, LLC (Significant Ventures) </w:t>
      </w:r>
      <w:r>
        <w:rPr>
          <w:rFonts w:ascii="Arial" w:cs="Arial" w:eastAsia="Arial" w:hAnsi="Arial"/>
          <w:sz w:val="18"/>
          <w:szCs w:val="18"/>
          <w:color w:val="auto"/>
        </w:rPr>
        <w:t>— Significant Ventures is a member of Sig Ed. In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2005, 2006, and 2007, and the nine months ended September 30, 2008, the Company made payments of $124, $390, $0, and $0, respectively, to Significant Ventures for services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reimbursement of expenses. There were no amounts due from or payable to Significant Ventures as of December 31, 2006, and 2007 or September 30, 2008.</w:t>
      </w:r>
    </w:p>
    <w:p>
      <w:pPr>
        <w:spacing w:after="0" w:line="76"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i w:val="1"/>
          <w:iCs w:val="1"/>
          <w:color w:val="auto"/>
        </w:rPr>
        <w:t xml:space="preserve">Endeavour Capital Fund IV, LP, Endeavour Associated Fund IV, LP, and Endeavour Capital Parallel Fund IV, LP (Endeavour)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Company’s Board of Directors are 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$288 for the years ended December 31, 2005, 2006 and 2007, and the nine months ended September 30, 2008, respectively. As of December 31, 2006 and 2007 and September 30, 2008 there were no amounts due from or payable to Endeavour.</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Affiliates</w:t>
      </w:r>
    </w:p>
    <w:p>
      <w:pPr>
        <w:spacing w:after="0" w:line="13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i w:val="1"/>
          <w:iCs w:val="1"/>
          <w:color w:val="auto"/>
        </w:rPr>
        <w:t xml:space="preserve">Mind Streams, LLC (Mind Streams) and 21st Century, LLC (21st Century) </w:t>
      </w:r>
      <w:r>
        <w:rPr>
          <w:rFonts w:ascii="Arial" w:cs="Arial" w:eastAsia="Arial" w:hAnsi="Arial"/>
          <w:sz w:val="18"/>
          <w:szCs w:val="18"/>
          <w:color w:val="auto"/>
        </w:rPr>
        <w:t>— Mind Streams and 21st Century are owned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in part, by the father of the Company’s Executive Chairman and General Counsel. See further discussion in Note 2, Summary of Significant Accounting Policies — Selling and Promotional.</w:t>
      </w:r>
    </w:p>
    <w:p>
      <w:pPr>
        <w:spacing w:after="0" w:line="8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Youth In Motion </w:t>
      </w:r>
      <w:r>
        <w:rPr>
          <w:rFonts w:ascii="Arial" w:cs="Arial" w:eastAsia="Arial" w:hAnsi="Arial"/>
          <w:sz w:val="18"/>
          <w:szCs w:val="18"/>
          <w:color w:val="auto"/>
        </w:rPr>
        <w:t>— Youth In Motion is owned by the Chief Operating Officer (COO) of the Company. The Company paid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fees and expense reimbursements to Youth In Motion of $188, $113, $0 and $0 in the years ended December 31, 2005, 2006, and 2007, and the nine months ended September 30, 2008, respectively. There were no amounts due from or payable to Youth In Motion at December 31, 2006 and 2007 or September 30, 2008.</w:t>
      </w:r>
    </w:p>
    <w:p>
      <w:pPr>
        <w:spacing w:after="0" w:line="92"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i w:val="1"/>
          <w:iCs w:val="1"/>
          <w:color w:val="auto"/>
        </w:rPr>
        <w:t xml:space="preserve">The Center for Educational Excellence, LLC (CEE) </w:t>
      </w:r>
      <w:r>
        <w:rPr>
          <w:rFonts w:ascii="Arial" w:cs="Arial" w:eastAsia="Arial" w:hAnsi="Arial"/>
          <w:sz w:val="18"/>
          <w:szCs w:val="18"/>
          <w:color w:val="auto"/>
        </w:rPr>
        <w:t>— Members of CEE include the COO of the Company. The Company paid</w:t>
      </w:r>
      <w:r>
        <w:rPr>
          <w:rFonts w:ascii="Arial" w:cs="Arial" w:eastAsia="Arial" w:hAnsi="Arial"/>
          <w:sz w:val="18"/>
          <w:szCs w:val="18"/>
          <w:i w:val="1"/>
          <w:iCs w:val="1"/>
          <w:color w:val="auto"/>
        </w:rPr>
        <w:t xml:space="preserve"> </w:t>
      </w:r>
      <w:r>
        <w:rPr>
          <w:rFonts w:ascii="Arial" w:cs="Arial" w:eastAsia="Arial" w:hAnsi="Arial"/>
          <w:sz w:val="18"/>
          <w:szCs w:val="18"/>
          <w:color w:val="auto"/>
        </w:rPr>
        <w:t>$607 and $0 of expenses on CEE’s behalf during the year ended December 31, 2007 and the nine months ended September 30, 2008, respectively, and was reimbursed $331, and $4, respectively, and was owed $276 and $0, respectively, included in due from related parties at December 31, 2007 and September 30, 2008.</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95"/>
              </w:rPr>
              <w:t>16.</w:t>
            </w:r>
          </w:p>
        </w:tc>
        <w:tc>
          <w:tcPr>
            <w:tcW w:w="4740" w:type="dxa"/>
            <w:vAlign w:val="bottom"/>
            <w:gridSpan w:val="2"/>
          </w:tcPr>
          <w:p>
            <w:pPr>
              <w:ind w:left="240"/>
              <w:spacing w:after="0"/>
              <w:rPr>
                <w:sz w:val="20"/>
                <w:szCs w:val="20"/>
                <w:color w:val="auto"/>
              </w:rPr>
            </w:pPr>
            <w:r>
              <w:rPr>
                <w:rFonts w:ascii="Arial" w:cs="Arial" w:eastAsia="Arial" w:hAnsi="Arial"/>
                <w:sz w:val="18"/>
                <w:szCs w:val="18"/>
                <w:b w:val="1"/>
                <w:bCs w:val="1"/>
                <w:color w:val="auto"/>
              </w:rPr>
              <w:t>Valuation and Qualifying Accounts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Charged to</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Year</w:t>
            </w:r>
          </w:p>
        </w:tc>
        <w:tc>
          <w:tcPr>
            <w:tcW w:w="4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Expense</w:t>
            </w:r>
          </w:p>
        </w:tc>
        <w:tc>
          <w:tcPr>
            <w:tcW w:w="4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Year ended December 31, 2005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(1,132)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Year ended December 31, 2007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6,257</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Nine months ended September 30, 2008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60" w:type="dxa"/>
            <w:vAlign w:val="bottom"/>
            <w:gridSpan w:val="2"/>
          </w:tcPr>
          <w:p>
            <w:pPr>
              <w:spacing w:after="0"/>
              <w:rPr>
                <w:sz w:val="20"/>
                <w:szCs w:val="20"/>
                <w:color w:val="auto"/>
              </w:rPr>
            </w:pPr>
            <w:r>
              <w:rPr>
                <w:rFonts w:ascii="Arial" w:cs="Arial" w:eastAsia="Arial" w:hAnsi="Arial"/>
                <w:sz w:val="18"/>
                <w:szCs w:val="18"/>
                <w:color w:val="auto"/>
              </w:rPr>
              <w:t>(1)</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w w:val="97"/>
              </w:rPr>
              <w:t>Deductions represent accounts written off, net of recoveries.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0" w:hanging="507"/>
        <w:spacing w:after="0"/>
        <w:tabs>
          <w:tab w:leader="none" w:pos="12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Higher Education Opportunity Act: </w:t>
      </w:r>
      <w:r>
        <w:rPr>
          <w:rFonts w:ascii="Arial" w:cs="Arial" w:eastAsia="Arial" w:hAnsi="Arial"/>
          <w:sz w:val="18"/>
          <w:szCs w:val="18"/>
          <w:color w:val="auto"/>
        </w:rPr>
        <w:t>On July 31, 2008, Congress passed the Higher Education Opportunity Act (the “2008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reauthorized and made numerous changes to the HEA and its programs. President Bush signed the 2008 Act on August 14, 2008. The HEA, as reauthorized and amended</w:t>
      </w:r>
    </w:p>
    <w:p>
      <w:pPr>
        <w:spacing w:after="0" w:line="3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by the 2008 Act, continues the access of the Company and its students to Title IV funds. In addition, changes made to the HEA will affect how the Company complies with the requirement that it receives a certain proportion of its revenue from other than the Title IV programs and with the cohort default rate requirement. Prior to the enactment of the 2008 Act, changes made by Congress have expanded the access of the Company and its students to Title IV funds by increasing loan limits for first and second year students and lifting restrictions on on-line education programs and students.</w:t>
      </w:r>
    </w:p>
    <w:p>
      <w:pPr>
        <w:spacing w:after="0" w:line="40"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On August 14, 2008, the Office of Inspector General (“OIG”) served an administrative subpoena on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it to provide certain records and information related to performance reviews and salary adjustments for all of its enrollment counselors and managers from January 1, 2004 to the present. The Company is cooperating with the Office of Inspector General to facilitate its investigation, but cannot presently predict the ultimate outcome of the investigation or any liability or other sanctions that may result.</w:t>
      </w:r>
    </w:p>
    <w:p>
      <w:pPr>
        <w:spacing w:after="0" w:line="40"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 xml:space="preserve">On September 11, 2008, the Company was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it in August 2007, in the United States District Court for the District of Arizona by a then-current employee on behalf of the federal government.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on behalf of the government. In this case,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initially filed under seal in August 2007 and was unsealed and served on the Company following the government’s decision not to intervene at this time.</w:t>
      </w:r>
    </w:p>
    <w:p>
      <w:pPr>
        <w:spacing w:after="0" w:line="16" w:lineRule="exact"/>
        <w:rPr>
          <w:sz w:val="20"/>
          <w:szCs w:val="20"/>
          <w:color w:val="auto"/>
        </w:rPr>
      </w:pPr>
    </w:p>
    <w:p>
      <w:pPr>
        <w:ind w:left="700" w:right="160" w:firstLine="397"/>
        <w:spacing w:after="0" w:line="311" w:lineRule="auto"/>
        <w:rPr>
          <w:sz w:val="20"/>
          <w:szCs w:val="20"/>
          <w:color w:val="auto"/>
        </w:rPr>
      </w:pPr>
      <w:r>
        <w:rPr>
          <w:rFonts w:ascii="Arial" w:cs="Arial" w:eastAsia="Arial" w:hAnsi="Arial"/>
          <w:sz w:val="16"/>
          <w:szCs w:val="16"/>
          <w:color w:val="auto"/>
        </w:rPr>
        <w:t>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w:t>
      </w:r>
    </w:p>
    <w:p>
      <w:pPr>
        <w:spacing w:after="0" w:line="1" w:lineRule="exact"/>
        <w:rPr>
          <w:sz w:val="20"/>
          <w:szCs w:val="20"/>
          <w:color w:val="auto"/>
        </w:rPr>
      </w:pPr>
    </w:p>
    <w:p>
      <w:pPr>
        <w:jc w:val="both"/>
        <w:ind w:left="700" w:right="320" w:firstLine="397"/>
        <w:spacing w:after="0" w:line="264" w:lineRule="auto"/>
        <w:rPr>
          <w:sz w:val="20"/>
          <w:szCs w:val="20"/>
          <w:color w:val="auto"/>
        </w:rPr>
      </w:pPr>
      <w:r>
        <w:rPr>
          <w:rFonts w:ascii="Arial" w:cs="Arial" w:eastAsia="Arial" w:hAnsi="Arial"/>
          <w:sz w:val="18"/>
          <w:szCs w:val="18"/>
          <w:color w:val="auto"/>
        </w:rPr>
        <w:t xml:space="preserve">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w:t>
      </w:r>
    </w:p>
    <w:p>
      <w:pPr>
        <w:spacing w:after="0" w:line="33" w:lineRule="exact"/>
        <w:rPr>
          <w:sz w:val="20"/>
          <w:szCs w:val="20"/>
          <w:color w:val="auto"/>
        </w:rPr>
      </w:pPr>
    </w:p>
    <w:p>
      <w:pPr>
        <w:ind w:left="700" w:right="180" w:firstLine="397"/>
        <w:spacing w:after="0" w:line="311" w:lineRule="auto"/>
        <w:rPr>
          <w:sz w:val="20"/>
          <w:szCs w:val="20"/>
          <w:color w:val="auto"/>
        </w:rPr>
      </w:pPr>
      <w:r>
        <w:rPr>
          <w:rFonts w:ascii="Arial" w:cs="Arial" w:eastAsia="Arial" w:hAnsi="Arial"/>
          <w:sz w:val="16"/>
          <w:szCs w:val="16"/>
          <w:b w:val="1"/>
          <w:bCs w:val="1"/>
          <w:i w:val="1"/>
          <w:iCs w:val="1"/>
          <w:color w:val="auto"/>
        </w:rPr>
        <w:t xml:space="preserve">Charter Amendment: </w:t>
      </w:r>
      <w:r>
        <w:rPr>
          <w:rFonts w:ascii="Arial" w:cs="Arial" w:eastAsia="Arial" w:hAnsi="Arial"/>
          <w:sz w:val="16"/>
          <w:szCs w:val="16"/>
          <w:color w:val="auto"/>
        </w:rPr>
        <w:t>On September 26, 2008 the Company’s Board of Directors approved an amendment to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charter to increase the Company’s authorized common stock to 100,000,000 common shares. This charter amendment was approved by the Company’s stockholders on September 27, 2008 and became effective on September 29, 2008.</w:t>
      </w:r>
    </w:p>
    <w:p>
      <w:pPr>
        <w:spacing w:after="0" w:line="1"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b w:val="1"/>
          <w:bCs w:val="1"/>
          <w:i w:val="1"/>
          <w:iCs w:val="1"/>
          <w:color w:val="auto"/>
        </w:rPr>
        <w:t xml:space="preserve">Stock Split: </w:t>
      </w:r>
      <w:r>
        <w:rPr>
          <w:rFonts w:ascii="Arial" w:cs="Arial" w:eastAsia="Arial" w:hAnsi="Arial"/>
          <w:sz w:val="16"/>
          <w:szCs w:val="16"/>
          <w:color w:val="auto"/>
        </w:rPr>
        <w:t>On September 26, 2008, the Company’s Board of Directors declared a 1,826 for one stock split of its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which became effective on 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b w:val="1"/>
          <w:bCs w:val="1"/>
          <w:i w:val="1"/>
          <w:iCs w:val="1"/>
          <w:color w:val="auto"/>
        </w:rPr>
        <w:t xml:space="preserve">Initial Public Offering and Distribution of Dividends: </w:t>
      </w:r>
      <w:r>
        <w:rPr>
          <w:rFonts w:ascii="Arial" w:cs="Arial" w:eastAsia="Arial" w:hAnsi="Arial"/>
          <w:sz w:val="18"/>
          <w:szCs w:val="18"/>
          <w:color w:val="auto"/>
        </w:rPr>
        <w:t>In 2008, the Company commenced preparation for an initial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On September 26, 2008 the Company’s Board of Directors approved the payment of a special distribution to its stockholders of record as of September 26, 2008 to be paid from the proceeds of the initial public offering in the amount of 75% of the gross offering proceeds, if and when it is completed.</w:t>
      </w:r>
    </w:p>
    <w:p>
      <w:pPr>
        <w:spacing w:after="0" w:line="38"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b w:val="1"/>
          <w:bCs w:val="1"/>
          <w:i w:val="1"/>
          <w:iCs w:val="1"/>
          <w:color w:val="auto"/>
        </w:rPr>
        <w:t xml:space="preserve">Adoption of Equity Plans: </w:t>
      </w:r>
      <w:r>
        <w:rPr>
          <w:rFonts w:ascii="Arial" w:cs="Arial" w:eastAsia="Arial" w:hAnsi="Arial"/>
          <w:sz w:val="18"/>
          <w:szCs w:val="18"/>
          <w:color w:val="auto"/>
        </w:rPr>
        <w:t>On September 27, 2008 the Company’s stockholders approved the adoption of the 2008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(“Incentive Plan”) and the 2008 Employee Stock Purchase (“ESPP”).</w:t>
      </w:r>
    </w:p>
    <w:p>
      <w:pPr>
        <w:spacing w:after="0" w:line="22"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A total of 4,199,937 shares of our common stock has been authorized for issuance under the Incentive Plan. This reserve will automatically increase on a cumulative basis on January 1, 2009 and each subsequent anniversary through 2017, by an amount equal to the smaller of (a) 2.5% of the number of shares of common stock issued and outstanding on the immediately preceding December 31, or (b) a lesser amount determined by</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9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20"/>
        <w:spacing w:after="0" w:line="285" w:lineRule="auto"/>
        <w:rPr>
          <w:sz w:val="20"/>
          <w:szCs w:val="20"/>
          <w:color w:val="auto"/>
        </w:rPr>
      </w:pPr>
      <w:r>
        <w:rPr>
          <w:rFonts w:ascii="Arial" w:cs="Arial" w:eastAsia="Arial" w:hAnsi="Arial"/>
          <w:sz w:val="16"/>
          <w:szCs w:val="16"/>
          <w:color w:val="auto"/>
        </w:rPr>
        <w:t>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9"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29"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b w:val="1"/>
          <w:bCs w:val="1"/>
          <w:i w:val="1"/>
          <w:iCs w:val="1"/>
          <w:color w:val="auto"/>
        </w:rPr>
        <w:t xml:space="preserve">SunGard Arbitration Settlement (unaudited): </w:t>
      </w:r>
      <w:r>
        <w:rPr>
          <w:rFonts w:ascii="Arial" w:cs="Arial" w:eastAsia="Arial" w:hAnsi="Arial"/>
          <w:sz w:val="16"/>
          <w:szCs w:val="16"/>
          <w:color w:val="auto"/>
        </w:rPr>
        <w:t>In connection with the SunGard litigation described in Note 9 above, on October 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the arbitration panel awarded SunGard net damages in the amount of approximately $250 plus interest. In connection with the settlement, the Company will also be responsible for paying a share of the related arbitration expenses. As a result, the Company has reduced its reserve for litigation by $300 in the nine month period ended September 30, 2008 given that there is no further legal recourse for either party and the remaining actions necessary to settle the matters are administrative in nature.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302" w:lineRule="exact"/>
        <w:rPr>
          <w:sz w:val="20"/>
          <w:szCs w:val="20"/>
          <w:color w:val="auto"/>
        </w:rPr>
      </w:pPr>
    </w:p>
    <w:p>
      <w:pPr>
        <w:ind w:left="700" w:right="920" w:firstLine="397"/>
        <w:spacing w:after="0" w:line="264" w:lineRule="auto"/>
        <w:rPr>
          <w:sz w:val="20"/>
          <w:szCs w:val="20"/>
          <w:color w:val="auto"/>
        </w:rPr>
      </w:pPr>
      <w:r>
        <w:rPr>
          <w:rFonts w:ascii="Arial" w:cs="Arial" w:eastAsia="Arial" w:hAnsi="Arial"/>
          <w:sz w:val="18"/>
          <w:szCs w:val="18"/>
          <w:b w:val="1"/>
          <w:bCs w:val="1"/>
          <w:i w:val="1"/>
          <w:iCs w:val="1"/>
          <w:color w:val="auto"/>
        </w:rPr>
        <w:t xml:space="preserve">Dividend Distribution (unaudited): </w:t>
      </w:r>
      <w:r>
        <w:rPr>
          <w:rFonts w:ascii="Arial" w:cs="Arial" w:eastAsia="Arial" w:hAnsi="Arial"/>
          <w:sz w:val="18"/>
          <w:szCs w:val="18"/>
          <w:color w:val="auto"/>
        </w:rPr>
        <w:t>On November 3, 2008, the Company’s Board of Directors approved the revision of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record for the possible special distribution described in </w:t>
      </w:r>
      <w:r>
        <w:rPr>
          <w:rFonts w:ascii="Arial" w:cs="Arial" w:eastAsia="Arial" w:hAnsi="Arial"/>
          <w:sz w:val="18"/>
          <w:szCs w:val="18"/>
          <w:i w:val="1"/>
          <w:iCs w:val="1"/>
          <w:color w:val="auto"/>
        </w:rPr>
        <w:t>Initial Public Offering and Distribution of Dividends</w:t>
      </w:r>
      <w:r>
        <w:rPr>
          <w:rFonts w:ascii="Arial" w:cs="Arial" w:eastAsia="Arial" w:hAnsi="Arial"/>
          <w:sz w:val="18"/>
          <w:szCs w:val="18"/>
          <w:color w:val="auto"/>
        </w:rPr>
        <w:t xml:space="preserve"> above to November 18, 2008.</w:t>
      </w:r>
    </w:p>
    <w:p>
      <w:pPr>
        <w:spacing w:after="0" w:line="191" w:lineRule="exact"/>
        <w:rPr>
          <w:sz w:val="20"/>
          <w:szCs w:val="20"/>
          <w:color w:val="auto"/>
        </w:rPr>
      </w:pPr>
    </w:p>
    <w:p>
      <w:pPr>
        <w:ind w:left="1200" w:hanging="507"/>
        <w:spacing w:after="0"/>
        <w:tabs>
          <w:tab w:leader="none" w:pos="12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Information (Unaudited)</w:t>
      </w:r>
    </w:p>
    <w:p>
      <w:pPr>
        <w:spacing w:after="0" w:line="81" w:lineRule="exact"/>
        <w:rPr>
          <w:sz w:val="20"/>
          <w:szCs w:val="20"/>
          <w:color w:val="auto"/>
        </w:rPr>
      </w:pPr>
    </w:p>
    <w:p>
      <w:pPr>
        <w:ind w:left="700" w:right="800" w:firstLine="397"/>
        <w:spacing w:after="0" w:line="255" w:lineRule="auto"/>
        <w:rPr>
          <w:sz w:val="20"/>
          <w:szCs w:val="20"/>
          <w:color w:val="auto"/>
        </w:rPr>
      </w:pPr>
      <w:r>
        <w:rPr>
          <w:rFonts w:ascii="Arial" w:cs="Arial" w:eastAsia="Arial" w:hAnsi="Arial"/>
          <w:sz w:val="18"/>
          <w:szCs w:val="18"/>
          <w:color w:val="auto"/>
        </w:rPr>
        <w:t>As the special distribution referred to in Note 17 represents distributions to existing shareholders to be made from the proceeds of an initial public offering, the accompanying pro forma balance sheet as of September 30, 2008 reflecting the distribution, but not giving effect to the offering proceeds, is presented. The pro forma September 30, 2008 balance sheet also assumes conversion of all outstanding shares of Series A convertible preferred stock into 10,870,178 shares of common stock, conversion of all outstanding shares of Series C preferred stock into 2,061,538 shares of common stock, and that the warrant holder exercises the option to purchase 909,348 shares of the Company’s common stock (see Note 11).</w:t>
      </w:r>
    </w:p>
    <w:p>
      <w:pPr>
        <w:spacing w:after="0" w:line="99" w:lineRule="exact"/>
        <w:rPr>
          <w:sz w:val="20"/>
          <w:szCs w:val="20"/>
          <w:color w:val="auto"/>
        </w:rPr>
      </w:pPr>
    </w:p>
    <w:p>
      <w:pPr>
        <w:ind w:left="700" w:right="1100" w:firstLine="397"/>
        <w:spacing w:after="0" w:line="284" w:lineRule="auto"/>
        <w:rPr>
          <w:sz w:val="20"/>
          <w:szCs w:val="20"/>
          <w:color w:val="auto"/>
        </w:rPr>
      </w:pPr>
      <w:r>
        <w:rPr>
          <w:rFonts w:ascii="Arial" w:cs="Arial" w:eastAsia="Arial" w:hAnsi="Arial"/>
          <w:sz w:val="16"/>
          <w:szCs w:val="16"/>
          <w:color w:val="auto"/>
        </w:rPr>
        <w:t>In addition, as the amount of distribution exceeds net income for the twelve-month period ended September 30, 2008, pro forma earnings per common share, basic and diluted, are presented in the accompanying statements of operations for the year ended December 31, 2007 and for the nine-month period ended September 30, 2008, giving effect to the number of shares that would be required to be issued at an assumed initial public offering price of $13.00 per share to pay the amount of dividends, net of warrant exercise proceeds, that exceeds net income for the twelve-month period ended September 30, 2008. The calculations of the pro forma earnings per common share, basic and diluted, discussed above assume conversion of all outstanding shares of Series A convertible preferred stock into 10,870,178 shares of common stock, conversion of all outstanding shares of Series C preferred stock into</w:t>
      </w:r>
    </w:p>
    <w:p>
      <w:pPr>
        <w:spacing w:after="0" w:line="3" w:lineRule="exact"/>
        <w:rPr>
          <w:sz w:val="20"/>
          <w:szCs w:val="20"/>
          <w:color w:val="auto"/>
        </w:rPr>
      </w:pPr>
    </w:p>
    <w:p>
      <w:pPr>
        <w:ind w:left="700" w:right="880"/>
        <w:spacing w:after="0" w:line="261" w:lineRule="auto"/>
        <w:rPr>
          <w:sz w:val="20"/>
          <w:szCs w:val="20"/>
          <w:color w:val="auto"/>
        </w:rPr>
      </w:pPr>
      <w:r>
        <w:rPr>
          <w:rFonts w:ascii="Arial" w:cs="Arial" w:eastAsia="Arial" w:hAnsi="Arial"/>
          <w:sz w:val="18"/>
          <w:szCs w:val="18"/>
          <w:color w:val="auto"/>
        </w:rPr>
        <w:t>2,061,538 shares of common stock, and the exercise of the warrant to purchase 909,348 shares of the Company’s common stock, and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ind w:left="700"/>
              <w:spacing w:after="0"/>
              <w:rPr>
                <w:sz w:val="20"/>
                <w:szCs w:val="20"/>
                <w:color w:val="auto"/>
              </w:rPr>
            </w:pPr>
            <w:r>
              <w:rPr>
                <w:rFonts w:ascii="Arial" w:cs="Arial" w:eastAsia="Arial" w:hAnsi="Arial"/>
                <w:sz w:val="18"/>
                <w:szCs w:val="18"/>
                <w:b w:val="1"/>
                <w:bCs w:val="1"/>
                <w:color w:val="auto"/>
              </w:rPr>
              <w:t>Calculation of number of additional shares to be issued: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restart"/>
          </w:tcPr>
          <w:p>
            <w:pPr>
              <w:spacing w:after="0"/>
              <w:rPr>
                <w:sz w:val="11"/>
                <w:szCs w:val="11"/>
                <w:color w:val="auto"/>
              </w:rPr>
            </w:pPr>
          </w:p>
        </w:tc>
        <w:tc>
          <w:tcPr>
            <w:tcW w:w="8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for the year ended December 31, 2007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w w:val="95"/>
              </w:rPr>
              <w:t>Less net income available to common stockholders for the nine-month period ended September 30, 2007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Plus net income available to common stockholders for the nine-month period ended September 30, 2008</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ind w:left="700"/>
              <w:spacing w:after="0"/>
              <w:rPr>
                <w:sz w:val="20"/>
                <w:szCs w:val="20"/>
                <w:color w:val="auto"/>
              </w:rPr>
            </w:pPr>
            <w:r>
              <w:rPr>
                <w:rFonts w:ascii="Arial" w:cs="Arial" w:eastAsia="Arial" w:hAnsi="Arial"/>
                <w:sz w:val="18"/>
                <w:szCs w:val="18"/>
                <w:color w:val="auto"/>
                <w:w w:val="98"/>
              </w:rPr>
              <w:t>Net income available to common stockholders for the twelve-month period ended September 30, 2008</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4,592</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of dividends to be paid, net of proceeds of $526 from the exercise of the warrant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101,849</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ind w:left="700"/>
              <w:spacing w:after="0"/>
              <w:rPr>
                <w:sz w:val="20"/>
                <w:szCs w:val="20"/>
                <w:color w:val="auto"/>
              </w:rPr>
            </w:pPr>
            <w:r>
              <w:rPr>
                <w:rFonts w:ascii="Arial" w:cs="Arial" w:eastAsia="Arial" w:hAnsi="Arial"/>
                <w:sz w:val="18"/>
                <w:szCs w:val="18"/>
                <w:color w:val="auto"/>
              </w:rPr>
              <w:t>Excess of dividends over earnings</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97,257</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required to be issued at $13 per share to pay excess of dividends over earnings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7,481,308</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00" w:type="dxa"/>
            <w:vAlign w:val="bottom"/>
            <w:vMerge w:val="restart"/>
          </w:tcPr>
          <w:p>
            <w:pPr>
              <w:ind w:left="4780"/>
              <w:spacing w:after="0"/>
              <w:rPr>
                <w:sz w:val="20"/>
                <w:szCs w:val="20"/>
                <w:color w:val="auto"/>
              </w:rPr>
            </w:pPr>
            <w:r>
              <w:rPr>
                <w:rFonts w:ascii="Arial" w:cs="Arial" w:eastAsia="Arial" w:hAnsi="Arial"/>
                <w:sz w:val="18"/>
                <w:szCs w:val="18"/>
                <w:color w:val="auto"/>
              </w:rPr>
              <w:t>F-33</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Calculation of pro forma earnings per common share, basic and diluted: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6"/>
              </w:rPr>
              <w:t>Nine-Month Period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 2007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September 30, 2008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9"/>
              </w:rPr>
              <w:t>Shares used in computing earnings per common share — historical: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18,922,838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19,132,681</w:t>
            </w:r>
          </w:p>
        </w:tc>
        <w:tc>
          <w:tcPr>
            <w:tcW w:w="10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35,143,196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32,097,356</w:t>
            </w: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earnings per common share — pro forma: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40,321,465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40,455,053</w:t>
            </w: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45,014,803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41,722,347</w:t>
            </w:r>
          </w:p>
        </w:tc>
        <w:tc>
          <w:tcPr>
            <w:tcW w:w="10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 forma earnings per common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0.09</w:t>
            </w: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5380" w:type="dxa"/>
            <w:vAlign w:val="bottom"/>
          </w:tcPr>
          <w:p>
            <w:pPr>
              <w:ind w:left="4780"/>
              <w:spacing w:after="0"/>
              <w:rPr>
                <w:sz w:val="20"/>
                <w:szCs w:val="20"/>
                <w:color w:val="auto"/>
              </w:rPr>
            </w:pPr>
            <w:r>
              <w:rPr>
                <w:rFonts w:ascii="Arial" w:cs="Arial" w:eastAsia="Arial" w:hAnsi="Arial"/>
                <w:sz w:val="18"/>
                <w:szCs w:val="18"/>
                <w:color w:val="auto"/>
              </w:rPr>
              <w:t>F-34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8423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842327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19551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03010" cy="195516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emdash "/>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lowerLetter"/>
      <w:start w:val="1"/>
    </w:lvl>
  </w:abstractNum>
  <w:abstractNum w:abstractNumId="7">
    <w:nsid w:val="749ABB43"/>
    <w:multiLevelType w:val="hybridMultilevel"/>
    <w:lvl w:ilvl="0">
      <w:lvlJc w:val="left"/>
      <w:lvlText w:val="%1"/>
      <w:numFmt w:val="decimal"/>
      <w:start w:val="1"/>
    </w:lvl>
    <w:lvl w:ilvl="1">
      <w:lvlJc w:val="left"/>
      <w:lvlText w:val="(%2)"/>
      <w:numFmt w:val="lowerLetter"/>
      <w:start w:val="2"/>
    </w:lvl>
  </w:abstractNum>
  <w:abstractNum w:abstractNumId="8">
    <w:nsid w:val="3DC240FB"/>
    <w:multiLevelType w:val="hybridMultilevel"/>
    <w:lvl w:ilvl="0">
      <w:lvlJc w:val="left"/>
      <w:lvlText w:val="(%1)"/>
      <w:numFmt w:val="decimal"/>
      <w:start w:val="5"/>
    </w:lvl>
    <w:lvl w:ilvl="1">
      <w:lvlJc w:val="left"/>
      <w:lvlText w:val="%2"/>
      <w:numFmt w:val="lowerLetter"/>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
      <w:numFmt w:val="bullet"/>
      <w:start w:val="1"/>
    </w:lvl>
    <w:lvl w:ilvl="1">
      <w:lvlJc w:val="left"/>
      <w:lvlText w:val="(%2)"/>
      <w:numFmt w:val="lowerRoman"/>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5"/>
    </w:lvl>
    <w:lvl w:ilvl="1">
      <w:lvlJc w:val="left"/>
      <w:lvlText w:val="•"/>
      <w:numFmt w:val="bullet"/>
      <w:start w:val="1"/>
    </w:lvl>
  </w:abstractNum>
  <w:abstractNum w:abstractNumId="20">
    <w:nsid w:val="39386575"/>
    <w:multiLevelType w:val="hybridMultilevel"/>
    <w:lvl w:ilvl="0">
      <w:lvlJc w:val="left"/>
      <w:lvlText w:val="(%1)"/>
      <w:numFmt w:val="lowerLetter"/>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lowerLetter"/>
      <w:start w:val="1"/>
    </w:lvl>
    <w:lvl w:ilvl="1">
      <w:lvlJc w:val="left"/>
      <w:lvlText w:val="(%2)"/>
      <w:numFmt w:val="lowerLetter"/>
      <w:start w:val="3"/>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lowerRoman"/>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Roman"/>
      <w:start w:val="2"/>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lvl w:ilvl="1">
      <w:lvlJc w:val="left"/>
      <w:lvlText w:val="•"/>
      <w:numFmt w:val="bullet"/>
      <w:start w:val="1"/>
    </w:lvl>
  </w:abstractNum>
  <w:abstractNum w:abstractNumId="64">
    <w:nsid w:val="8F2B15E"/>
    <w:multiLevelType w:val="hybridMultilevel"/>
    <w:lvl w:ilvl="0">
      <w:lvlJc w:val="left"/>
      <w:lvlText w:val="(%1)"/>
      <w:numFmt w:val="decimal"/>
      <w:start w:val="4"/>
    </w:lvl>
    <w:lvl w:ilvl="1">
      <w:lvlJc w:val="left"/>
      <w:lvlText w:val="•"/>
      <w:numFmt w:val="bullet"/>
      <w:start w:val="1"/>
    </w:lvl>
  </w:abstractNum>
  <w:abstractNum w:abstractNumId="65">
    <w:nsid w:val="1A32234B"/>
    <w:multiLevelType w:val="hybridMultilevel"/>
    <w:lvl w:ilvl="0">
      <w:lvlJc w:val="left"/>
      <w:lvlText w:val="(%1)"/>
      <w:numFmt w:val="decimal"/>
      <w:start w:val="5"/>
    </w:lvl>
  </w:abstractNum>
  <w:abstractNum w:abstractNumId="66">
    <w:nsid w:val="3B0FD379"/>
    <w:multiLevelType w:val="hybridMultilevel"/>
    <w:lvl w:ilvl="0">
      <w:lvlJc w:val="left"/>
      <w:lvlText w:val="(%1)"/>
      <w:numFmt w:val="decimal"/>
      <w:start w:val="9"/>
    </w:lvl>
    <w:lvl w:ilvl="1">
      <w:lvlJc w:val="left"/>
      <w:lvlText w:val="•"/>
      <w:numFmt w:val="bullet"/>
      <w:start w:val="1"/>
    </w:lvl>
  </w:abstractNum>
  <w:abstractNum w:abstractNumId="67">
    <w:nsid w:val="68EB2F63"/>
    <w:multiLevelType w:val="hybridMultilevel"/>
    <w:lvl w:ilvl="0">
      <w:lvlJc w:val="left"/>
      <w:lvlText w:val="(%1)"/>
      <w:numFmt w:val="decimal"/>
      <w:start w:val="1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decimal"/>
      <w:start w:val="10"/>
    </w:lvl>
  </w:abstractNum>
  <w:abstractNum w:abstractNumId="85">
    <w:nsid w:val="3222E7CD"/>
    <w:multiLevelType w:val="hybridMultilevel"/>
    <w:lvl w:ilvl="0">
      <w:lvlJc w:val="left"/>
      <w:lvlText w:val="%1."/>
      <w:numFmt w:val="decimal"/>
      <w:start w:val="11"/>
    </w:lvl>
  </w:abstractNum>
  <w:abstractNum w:abstractNumId="86">
    <w:nsid w:val="74DE0EE3"/>
    <w:multiLevelType w:val="hybridMultilevel"/>
    <w:lvl w:ilvl="0">
      <w:lvlJc w:val="left"/>
      <w:lvlText w:val="%1."/>
      <w:numFmt w:val="decimal"/>
      <w:start w:val="12"/>
    </w:lvl>
  </w:abstractNum>
  <w:abstractNum w:abstractNumId="87">
    <w:nsid w:val="68EBC550"/>
    <w:multiLevelType w:val="hybridMultilevel"/>
    <w:lvl w:ilvl="0">
      <w:lvlJc w:val="left"/>
      <w:lvlText w:val="%1."/>
      <w:numFmt w:val="decimal"/>
      <w:start w:val="13"/>
    </w:lvl>
  </w:abstractNum>
  <w:abstractNum w:abstractNumId="88">
    <w:nsid w:val="2DF6D648"/>
    <w:multiLevelType w:val="hybridMultilevel"/>
    <w:lvl w:ilvl="0">
      <w:lvlJc w:val="left"/>
      <w:lvlText w:val="%1."/>
      <w:numFmt w:val="decimal"/>
      <w:start w:val="14"/>
    </w:lvl>
  </w:abstractNum>
  <w:abstractNum w:abstractNumId="89">
    <w:nsid w:val="46B7D447"/>
    <w:multiLevelType w:val="hybridMultilevel"/>
    <w:lvl w:ilvl="0">
      <w:lvlJc w:val="left"/>
      <w:lvlText w:val="%1."/>
      <w:numFmt w:val="decimal"/>
      <w:start w:val="15"/>
    </w:lvl>
  </w:abstractNum>
  <w:abstractNum w:abstractNumId="90">
    <w:nsid w:val="4A2AC315"/>
    <w:multiLevelType w:val="hybridMultilevel"/>
    <w:lvl w:ilvl="0">
      <w:lvlJc w:val="left"/>
      <w:lvlText w:val="%1."/>
      <w:numFmt w:val="decimal"/>
      <w:start w:val="17"/>
    </w:lvl>
  </w:abstractNum>
  <w:abstractNum w:abstractNumId="91">
    <w:nsid w:val="39EE015C"/>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2019-12-15T16:38:15Z</dcterms:created>
  <dcterms:modified xsi:type="dcterms:W3CDTF">2019-12-15T16:38:15Z</dcterms:modified>
</cp:coreProperties>
</file>