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September 9, 2009</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Registration No. 333-161571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6287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8765" cy="24765"/>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jc w:val="center"/>
        <w:spacing w:after="0" w:line="230" w:lineRule="auto"/>
        <w:rPr>
          <w:sz w:val="20"/>
          <w:szCs w:val="20"/>
          <w:color w:val="auto"/>
        </w:rPr>
      </w:pPr>
      <w:r>
        <w:rPr>
          <w:rFonts w:ascii="Times New Roman" w:cs="Times New Roman" w:eastAsia="Times New Roman" w:hAnsi="Times New Roman"/>
          <w:sz w:val="16"/>
          <w:szCs w:val="16"/>
          <w:b w:val="1"/>
          <w:bCs w:val="1"/>
          <w:color w:val="auto"/>
        </w:rPr>
        <w:t>Amendment No. 2</w:t>
      </w:r>
    </w:p>
    <w:p>
      <w:pPr>
        <w:jc w:val="center"/>
        <w:spacing w:after="0" w:line="229" w:lineRule="auto"/>
        <w:rPr>
          <w:sz w:val="20"/>
          <w:szCs w:val="20"/>
          <w:color w:val="auto"/>
        </w:rPr>
      </w:pPr>
      <w:r>
        <w:rPr>
          <w:rFonts w:ascii="Times New Roman" w:cs="Times New Roman" w:eastAsia="Times New Roman" w:hAnsi="Times New Roman"/>
          <w:sz w:val="16"/>
          <w:szCs w:val="16"/>
          <w:b w:val="1"/>
          <w:bCs w:val="1"/>
          <w:color w:val="auto"/>
        </w:rPr>
        <w:t>to</w:t>
      </w:r>
    </w:p>
    <w:p>
      <w:pPr>
        <w:jc w:val="center"/>
        <w:spacing w:after="0" w:line="232" w:lineRule="auto"/>
        <w:rPr>
          <w:sz w:val="20"/>
          <w:szCs w:val="20"/>
          <w:color w:val="auto"/>
        </w:rPr>
      </w:pPr>
      <w:r>
        <w:rPr>
          <w:rFonts w:ascii="Times New Roman" w:cs="Times New Roman" w:eastAsia="Times New Roman" w:hAnsi="Times New Roman"/>
          <w:sz w:val="24"/>
          <w:szCs w:val="24"/>
          <w:b w:val="1"/>
          <w:bCs w:val="1"/>
          <w:color w:val="auto"/>
        </w:rPr>
        <w:t>Form S-1</w:t>
      </w:r>
    </w:p>
    <w:p>
      <w:pPr>
        <w:ind w:left="4100"/>
        <w:spacing w:after="0" w:line="231" w:lineRule="auto"/>
        <w:rPr>
          <w:sz w:val="20"/>
          <w:szCs w:val="20"/>
          <w:color w:val="auto"/>
        </w:rPr>
      </w:pPr>
      <w:r>
        <w:rPr>
          <w:rFonts w:ascii="Times New Roman" w:cs="Times New Roman" w:eastAsia="Times New Roman" w:hAnsi="Times New Roman"/>
          <w:sz w:val="16"/>
          <w:szCs w:val="16"/>
          <w:b w:val="1"/>
          <w:bCs w:val="1"/>
          <w:color w:val="auto"/>
        </w:rPr>
        <w:t>REGISTRATION STATEMENT</w:t>
      </w:r>
    </w:p>
    <w:p>
      <w:pPr>
        <w:ind w:left="4060"/>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Grand Canyon Education,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(Exact Name of Registrant as Specified in Its Charter)</w:t>
      </w:r>
    </w:p>
    <w:p>
      <w:pPr>
        <w:sectPr>
          <w:pgSz w:w="11900" w:h="16838" w:orient="portrait"/>
          <w:cols w:equalWidth="0" w:num="1">
            <w:col w:w="10440"/>
          </w:cols>
          <w:pgMar w:left="680" w:top="203" w:right="779" w:bottom="1440" w:gutter="0" w:footer="0" w:header="0"/>
        </w:sectPr>
      </w:pPr>
    </w:p>
    <w:p>
      <w:pPr>
        <w:spacing w:after="0" w:line="82"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3"/>
          <w:szCs w:val="13"/>
          <w:b w:val="1"/>
          <w:bCs w:val="1"/>
          <w:color w:val="auto"/>
        </w:rPr>
        <w:t>8221</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20-3356009</w:t>
      </w:r>
    </w:p>
    <w:p>
      <w:pPr>
        <w:spacing w:after="0" w:line="11" w:lineRule="exact"/>
        <w:rPr>
          <w:sz w:val="24"/>
          <w:szCs w:val="24"/>
          <w:color w:val="auto"/>
        </w:rPr>
      </w:pPr>
    </w:p>
    <w:p>
      <w:pPr>
        <w:sectPr>
          <w:pgSz w:w="11900" w:h="16838" w:orient="portrait"/>
          <w:cols w:equalWidth="0" w:num="3">
            <w:col w:w="4480" w:space="720"/>
            <w:col w:w="2520" w:space="720"/>
            <w:col w:w="2000"/>
          </w:cols>
          <w:pgMar w:left="680" w:top="203" w:right="7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0"/>
          <w:szCs w:val="10"/>
          <w:i w:val="1"/>
          <w:iCs w:val="1"/>
          <w:color w:val="auto"/>
        </w:rPr>
        <w:t>(State or Other Jurisdiction of</w:t>
      </w:r>
    </w:p>
    <w:p>
      <w:pPr>
        <w:ind w:left="1120"/>
        <w:spacing w:after="0"/>
        <w:rPr>
          <w:sz w:val="20"/>
          <w:szCs w:val="20"/>
          <w:color w:val="auto"/>
        </w:rPr>
      </w:pPr>
      <w:r>
        <w:rPr>
          <w:rFonts w:ascii="Times New Roman" w:cs="Times New Roman" w:eastAsia="Times New Roman" w:hAnsi="Times New Roman"/>
          <w:sz w:val="10"/>
          <w:szCs w:val="10"/>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i w:val="1"/>
          <w:iCs w:val="1"/>
          <w:color w:val="auto"/>
        </w:rPr>
        <w:t>(Primary Standard Industrial</w:t>
      </w:r>
    </w:p>
    <w:p>
      <w:pPr>
        <w:spacing w:after="0"/>
        <w:rPr>
          <w:sz w:val="20"/>
          <w:szCs w:val="20"/>
          <w:color w:val="auto"/>
        </w:rPr>
      </w:pPr>
      <w:r>
        <w:rPr>
          <w:rFonts w:ascii="Times New Roman" w:cs="Times New Roman" w:eastAsia="Times New Roman" w:hAnsi="Times New Roman"/>
          <w:sz w:val="10"/>
          <w:szCs w:val="10"/>
          <w:i w:val="1"/>
          <w:i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0"/>
          <w:szCs w:val="10"/>
          <w:i w:val="1"/>
          <w:iCs w:val="1"/>
          <w:color w:val="auto"/>
        </w:rPr>
        <w:t>(I.R.S. Employer</w:t>
      </w:r>
    </w:p>
    <w:p>
      <w:pPr>
        <w:jc w:val="center"/>
        <w:ind w:right="1200"/>
        <w:spacing w:after="0"/>
        <w:rPr>
          <w:sz w:val="20"/>
          <w:szCs w:val="20"/>
          <w:color w:val="auto"/>
        </w:rPr>
      </w:pPr>
      <w:r>
        <w:rPr>
          <w:rFonts w:ascii="Times New Roman" w:cs="Times New Roman" w:eastAsia="Times New Roman" w:hAnsi="Times New Roman"/>
          <w:sz w:val="10"/>
          <w:szCs w:val="10"/>
          <w:i w:val="1"/>
          <w:iCs w:val="1"/>
          <w:color w:val="auto"/>
        </w:rPr>
        <w:t>Identification Number)</w:t>
      </w:r>
    </w:p>
    <w:p>
      <w:pPr>
        <w:spacing w:after="0" w:line="72" w:lineRule="exact"/>
        <w:rPr>
          <w:sz w:val="24"/>
          <w:szCs w:val="24"/>
          <w:color w:val="auto"/>
        </w:rPr>
      </w:pPr>
    </w:p>
    <w:p>
      <w:pPr>
        <w:sectPr>
          <w:pgSz w:w="11900" w:h="16838" w:orient="portrait"/>
          <w:cols w:equalWidth="0" w:num="3">
            <w:col w:w="4000" w:space="720"/>
            <w:col w:w="2840" w:space="720"/>
            <w:col w:w="2160"/>
          </w:cols>
          <w:pgMar w:left="680" w:top="203" w:right="7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3300 W. Camelback Road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Phoenix, Arizona 85017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(602) 639-7500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(Address, Including Zip Code, and Telephone Number, Including Area Code, of Registrant’s Principal Executive Offices)</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Christopher C. Richardson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General Counsel</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Grand Canyon Education,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3300 W. Camelback Road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Phoenix, Arizona 85017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(602) 639-7500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(Name, Address, Including Zip Code, and Telephone Number, Including Area Code, of Agent For Service)</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ectPr>
          <w:pgSz w:w="11900" w:h="16838" w:orient="portrait"/>
          <w:cols w:equalWidth="0" w:num="1">
            <w:col w:w="10440"/>
          </w:cols>
          <w:pgMar w:left="680" w:top="203" w:right="779" w:bottom="1440" w:gutter="0" w:footer="0" w:header="0"/>
          <w:type w:val="continuous"/>
        </w:sectPr>
      </w:pPr>
    </w:p>
    <w:p>
      <w:pPr>
        <w:spacing w:after="0" w:line="25" w:lineRule="exact"/>
        <w:rPr>
          <w:sz w:val="24"/>
          <w:szCs w:val="24"/>
          <w:color w:val="auto"/>
        </w:rPr>
      </w:pPr>
    </w:p>
    <w:tbl>
      <w:tblPr>
        <w:tblLayout w:type="fixed"/>
        <w:tblInd w:w="1520" w:type="dxa"/>
        <w:tblCellMar>
          <w:top w:w="0" w:type="dxa"/>
          <w:left w:w="0" w:type="dxa"/>
          <w:bottom w:w="0" w:type="dxa"/>
          <w:right w:w="0" w:type="dxa"/>
        </w:tblCellMar>
      </w:tblPr>
      <w:tr>
        <w:trPr>
          <w:trHeight w:val="152"/>
        </w:trPr>
        <w:tc>
          <w:tcPr>
            <w:tcW w:w="3880" w:type="dxa"/>
            <w:vAlign w:val="bottom"/>
          </w:tcPr>
          <w:p>
            <w:pPr>
              <w:jc w:val="center"/>
              <w:ind w:right="1634"/>
              <w:spacing w:after="0"/>
              <w:rPr>
                <w:sz w:val="20"/>
                <w:szCs w:val="20"/>
                <w:color w:val="auto"/>
              </w:rPr>
            </w:pPr>
            <w:r>
              <w:rPr>
                <w:rFonts w:ascii="Times New Roman" w:cs="Times New Roman" w:eastAsia="Times New Roman" w:hAnsi="Times New Roman"/>
                <w:sz w:val="13"/>
                <w:szCs w:val="13"/>
                <w:b w:val="1"/>
                <w:bCs w:val="1"/>
                <w:color w:val="auto"/>
                <w:w w:val="99"/>
              </w:rPr>
              <w:t>David P. Lewis, Esq.</w:t>
            </w:r>
          </w:p>
        </w:tc>
        <w:tc>
          <w:tcPr>
            <w:tcW w:w="3360" w:type="dxa"/>
            <w:vAlign w:val="bottom"/>
          </w:tcPr>
          <w:p>
            <w:pPr>
              <w:jc w:val="center"/>
              <w:ind w:left="1634"/>
              <w:spacing w:after="0"/>
              <w:rPr>
                <w:sz w:val="20"/>
                <w:szCs w:val="20"/>
                <w:color w:val="auto"/>
              </w:rPr>
            </w:pPr>
            <w:r>
              <w:rPr>
                <w:rFonts w:ascii="Times New Roman" w:cs="Times New Roman" w:eastAsia="Times New Roman" w:hAnsi="Times New Roman"/>
                <w:sz w:val="13"/>
                <w:szCs w:val="13"/>
                <w:b w:val="1"/>
                <w:bCs w:val="1"/>
                <w:color w:val="auto"/>
              </w:rPr>
              <w:t>Mark A. Stegemoeller, Esq.</w:t>
            </w:r>
          </w:p>
        </w:tc>
      </w:tr>
      <w:tr>
        <w:trPr>
          <w:trHeight w:val="157"/>
        </w:trPr>
        <w:tc>
          <w:tcPr>
            <w:tcW w:w="3880" w:type="dxa"/>
            <w:vAlign w:val="bottom"/>
          </w:tcPr>
          <w:p>
            <w:pPr>
              <w:jc w:val="center"/>
              <w:ind w:right="1634"/>
              <w:spacing w:after="0"/>
              <w:rPr>
                <w:sz w:val="20"/>
                <w:szCs w:val="20"/>
                <w:color w:val="auto"/>
              </w:rPr>
            </w:pPr>
            <w:r>
              <w:rPr>
                <w:rFonts w:ascii="Times New Roman" w:cs="Times New Roman" w:eastAsia="Times New Roman" w:hAnsi="Times New Roman"/>
                <w:sz w:val="13"/>
                <w:szCs w:val="13"/>
                <w:b w:val="1"/>
                <w:bCs w:val="1"/>
                <w:color w:val="auto"/>
                <w:w w:val="99"/>
              </w:rPr>
              <w:t>DLA Piper LLP (US)</w:t>
            </w:r>
          </w:p>
        </w:tc>
        <w:tc>
          <w:tcPr>
            <w:tcW w:w="3360" w:type="dxa"/>
            <w:vAlign w:val="bottom"/>
          </w:tcPr>
          <w:p>
            <w:pPr>
              <w:jc w:val="center"/>
              <w:ind w:left="1634"/>
              <w:spacing w:after="0"/>
              <w:rPr>
                <w:sz w:val="20"/>
                <w:szCs w:val="20"/>
                <w:color w:val="auto"/>
              </w:rPr>
            </w:pPr>
            <w:r>
              <w:rPr>
                <w:rFonts w:ascii="Times New Roman" w:cs="Times New Roman" w:eastAsia="Times New Roman" w:hAnsi="Times New Roman"/>
                <w:sz w:val="13"/>
                <w:szCs w:val="13"/>
                <w:b w:val="1"/>
                <w:bCs w:val="1"/>
                <w:color w:val="auto"/>
              </w:rPr>
              <w:t>Latham &amp; Watkins LLP</w:t>
            </w:r>
          </w:p>
        </w:tc>
      </w:tr>
      <w:tr>
        <w:trPr>
          <w:trHeight w:val="157"/>
        </w:trPr>
        <w:tc>
          <w:tcPr>
            <w:tcW w:w="3880" w:type="dxa"/>
            <w:vAlign w:val="bottom"/>
          </w:tcPr>
          <w:p>
            <w:pPr>
              <w:jc w:val="center"/>
              <w:ind w:right="1634"/>
              <w:spacing w:after="0"/>
              <w:rPr>
                <w:sz w:val="20"/>
                <w:szCs w:val="20"/>
                <w:color w:val="auto"/>
              </w:rPr>
            </w:pPr>
            <w:r>
              <w:rPr>
                <w:rFonts w:ascii="Times New Roman" w:cs="Times New Roman" w:eastAsia="Times New Roman" w:hAnsi="Times New Roman"/>
                <w:sz w:val="13"/>
                <w:szCs w:val="13"/>
                <w:b w:val="1"/>
                <w:bCs w:val="1"/>
                <w:color w:val="auto"/>
              </w:rPr>
              <w:t>2525 East Camelback Road, Suite 1000</w:t>
            </w:r>
          </w:p>
        </w:tc>
        <w:tc>
          <w:tcPr>
            <w:tcW w:w="3360" w:type="dxa"/>
            <w:vAlign w:val="bottom"/>
          </w:tcPr>
          <w:p>
            <w:pPr>
              <w:jc w:val="center"/>
              <w:ind w:left="1634"/>
              <w:spacing w:after="0"/>
              <w:rPr>
                <w:sz w:val="20"/>
                <w:szCs w:val="20"/>
                <w:color w:val="auto"/>
              </w:rPr>
            </w:pPr>
            <w:r>
              <w:rPr>
                <w:rFonts w:ascii="Times New Roman" w:cs="Times New Roman" w:eastAsia="Times New Roman" w:hAnsi="Times New Roman"/>
                <w:sz w:val="13"/>
                <w:szCs w:val="13"/>
                <w:b w:val="1"/>
                <w:bCs w:val="1"/>
                <w:color w:val="auto"/>
              </w:rPr>
              <w:t>355 South Grand Avenue</w:t>
            </w:r>
          </w:p>
        </w:tc>
      </w:tr>
      <w:tr>
        <w:trPr>
          <w:trHeight w:val="157"/>
        </w:trPr>
        <w:tc>
          <w:tcPr>
            <w:tcW w:w="3880" w:type="dxa"/>
            <w:vAlign w:val="bottom"/>
          </w:tcPr>
          <w:p>
            <w:pPr>
              <w:jc w:val="center"/>
              <w:ind w:right="1634"/>
              <w:spacing w:after="0"/>
              <w:rPr>
                <w:sz w:val="20"/>
                <w:szCs w:val="20"/>
                <w:color w:val="auto"/>
              </w:rPr>
            </w:pPr>
            <w:r>
              <w:rPr>
                <w:rFonts w:ascii="Times New Roman" w:cs="Times New Roman" w:eastAsia="Times New Roman" w:hAnsi="Times New Roman"/>
                <w:sz w:val="13"/>
                <w:szCs w:val="13"/>
                <w:b w:val="1"/>
                <w:bCs w:val="1"/>
                <w:color w:val="auto"/>
              </w:rPr>
              <w:t>Phoenix, Arizona 85016</w:t>
            </w:r>
          </w:p>
        </w:tc>
        <w:tc>
          <w:tcPr>
            <w:tcW w:w="3360" w:type="dxa"/>
            <w:vAlign w:val="bottom"/>
          </w:tcPr>
          <w:p>
            <w:pPr>
              <w:jc w:val="center"/>
              <w:ind w:left="1634"/>
              <w:spacing w:after="0"/>
              <w:rPr>
                <w:sz w:val="20"/>
                <w:szCs w:val="20"/>
                <w:color w:val="auto"/>
              </w:rPr>
            </w:pPr>
            <w:r>
              <w:rPr>
                <w:rFonts w:ascii="Times New Roman" w:cs="Times New Roman" w:eastAsia="Times New Roman" w:hAnsi="Times New Roman"/>
                <w:sz w:val="13"/>
                <w:szCs w:val="13"/>
                <w:b w:val="1"/>
                <w:bCs w:val="1"/>
                <w:color w:val="auto"/>
                <w:w w:val="99"/>
              </w:rPr>
              <w:t>Los Angeles, California 90071</w:t>
            </w:r>
          </w:p>
        </w:tc>
      </w:tr>
      <w:tr>
        <w:trPr>
          <w:trHeight w:val="173"/>
        </w:trPr>
        <w:tc>
          <w:tcPr>
            <w:tcW w:w="3880" w:type="dxa"/>
            <w:vAlign w:val="bottom"/>
          </w:tcPr>
          <w:p>
            <w:pPr>
              <w:jc w:val="center"/>
              <w:ind w:right="1634"/>
              <w:spacing w:after="0"/>
              <w:rPr>
                <w:sz w:val="20"/>
                <w:szCs w:val="20"/>
                <w:color w:val="auto"/>
              </w:rPr>
            </w:pPr>
            <w:r>
              <w:rPr>
                <w:rFonts w:ascii="Times New Roman" w:cs="Times New Roman" w:eastAsia="Times New Roman" w:hAnsi="Times New Roman"/>
                <w:sz w:val="13"/>
                <w:szCs w:val="13"/>
                <w:b w:val="1"/>
                <w:bCs w:val="1"/>
                <w:color w:val="auto"/>
              </w:rPr>
              <w:t>(480) 606-5100</w:t>
            </w:r>
          </w:p>
        </w:tc>
        <w:tc>
          <w:tcPr>
            <w:tcW w:w="3360" w:type="dxa"/>
            <w:vAlign w:val="bottom"/>
          </w:tcPr>
          <w:p>
            <w:pPr>
              <w:jc w:val="center"/>
              <w:ind w:left="1634"/>
              <w:spacing w:after="0"/>
              <w:rPr>
                <w:sz w:val="20"/>
                <w:szCs w:val="20"/>
                <w:color w:val="auto"/>
              </w:rPr>
            </w:pPr>
            <w:r>
              <w:rPr>
                <w:rFonts w:ascii="Times New Roman" w:cs="Times New Roman" w:eastAsia="Times New Roman" w:hAnsi="Times New Roman"/>
                <w:sz w:val="13"/>
                <w:szCs w:val="13"/>
                <w:b w:val="1"/>
                <w:bCs w:val="1"/>
                <w:color w:val="auto"/>
              </w:rPr>
              <w:t>(213) 485-1234</w:t>
            </w:r>
          </w:p>
        </w:tc>
      </w:tr>
    </w:tbl>
    <w:p>
      <w:pPr>
        <w:spacing w:after="0" w:line="7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As soon as practicable after this registration statement becomes effective.</w:t>
      </w:r>
    </w:p>
    <w:p>
      <w:pPr>
        <w:spacing w:after="0" w:line="9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If any of the securities being registered on this form are to be offered on a delayed or continuous basis pursuant to Rule 415 under the Securities Act of 1933, check the following box. o</w:t>
      </w:r>
    </w:p>
    <w:p>
      <w:pPr>
        <w:spacing w:after="0" w:line="96" w:lineRule="exact"/>
        <w:rPr>
          <w:sz w:val="24"/>
          <w:szCs w:val="24"/>
          <w:color w:val="auto"/>
        </w:rPr>
      </w:pPr>
    </w:p>
    <w:p>
      <w:pPr>
        <w:ind w:right="420" w:firstLine="313"/>
        <w:spacing w:after="0" w:line="286" w:lineRule="auto"/>
        <w:rPr>
          <w:sz w:val="20"/>
          <w:szCs w:val="20"/>
          <w:color w:val="auto"/>
        </w:rPr>
      </w:pPr>
      <w:r>
        <w:rPr>
          <w:rFonts w:ascii="Times New Roman" w:cs="Times New Roman" w:eastAsia="Times New Roman" w:hAnsi="Times New Roman"/>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47" w:lineRule="exact"/>
        <w:rPr>
          <w:sz w:val="24"/>
          <w:szCs w:val="24"/>
          <w:color w:val="auto"/>
        </w:rPr>
      </w:pPr>
    </w:p>
    <w:p>
      <w:pPr>
        <w:ind w:right="80" w:firstLine="313"/>
        <w:spacing w:after="0" w:line="286" w:lineRule="auto"/>
        <w:rPr>
          <w:sz w:val="20"/>
          <w:szCs w:val="20"/>
          <w:color w:val="auto"/>
        </w:rPr>
      </w:pPr>
      <w:r>
        <w:rPr>
          <w:rFonts w:ascii="Times New Roman" w:cs="Times New Roman" w:eastAsia="Times New Roman" w:hAnsi="Times New Roman"/>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47" w:lineRule="exact"/>
        <w:rPr>
          <w:sz w:val="24"/>
          <w:szCs w:val="24"/>
          <w:color w:val="auto"/>
        </w:rPr>
      </w:pPr>
    </w:p>
    <w:p>
      <w:pPr>
        <w:ind w:right="60" w:firstLine="313"/>
        <w:spacing w:after="0" w:line="286" w:lineRule="auto"/>
        <w:rPr>
          <w:sz w:val="20"/>
          <w:szCs w:val="20"/>
          <w:color w:val="auto"/>
        </w:rPr>
      </w:pPr>
      <w:r>
        <w:rPr>
          <w:rFonts w:ascii="Times New Roman" w:cs="Times New Roman" w:eastAsia="Times New Roman" w:hAnsi="Times New Roman"/>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47" w:lineRule="exact"/>
        <w:rPr>
          <w:sz w:val="24"/>
          <w:szCs w:val="24"/>
          <w:color w:val="auto"/>
        </w:rPr>
      </w:pPr>
    </w:p>
    <w:p>
      <w:pPr>
        <w:ind w:right="220" w:firstLine="313"/>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440"/>
          </w:cols>
          <w:pgMar w:left="680" w:top="203" w:right="779" w:bottom="1440" w:gutter="0" w:footer="0" w:header="0"/>
          <w:type w:val="continuous"/>
        </w:sectPr>
      </w:pP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Large accelerated filer 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ind w:left="68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 o</w:t>
      </w:r>
    </w:p>
    <w:p>
      <w:pPr>
        <w:spacing w:after="0" w:line="262" w:lineRule="exact"/>
        <w:rPr>
          <w:sz w:val="24"/>
          <w:szCs w:val="24"/>
          <w:color w:val="auto"/>
        </w:rPr>
      </w:pPr>
    </w:p>
    <w:p>
      <w:pPr>
        <w:sectPr>
          <w:pgSz w:w="11900" w:h="16838" w:orient="portrait"/>
          <w:cols w:equalWidth="0" w:num="4">
            <w:col w:w="2700" w:space="720"/>
            <w:col w:w="1060" w:space="720"/>
            <w:col w:w="2980" w:space="720"/>
            <w:col w:w="1540"/>
          </w:cols>
          <w:pgMar w:left="680" w:top="203" w:right="779" w:bottom="1440" w:gutter="0" w:footer="0" w:header="0"/>
          <w:type w:val="continuous"/>
        </w:sectPr>
      </w:pPr>
    </w:p>
    <w:p>
      <w:pPr>
        <w:jc w:val="both"/>
        <w:ind w:right="220" w:firstLine="313"/>
        <w:spacing w:after="0" w:line="271"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66287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8765" cy="24765"/>
                    </a:xfrm>
                    <a:prstGeom prst="rect">
                      <a:avLst/>
                    </a:prstGeom>
                    <a:noFill/>
                  </pic:spPr>
                </pic:pic>
              </a:graphicData>
            </a:graphic>
          </wp:anchor>
        </w:drawing>
        <w:drawing>
          <wp:anchor simplePos="0" relativeHeight="251657728" behindDoc="1" locked="0" layoutInCell="0" allowOverlap="1">
            <wp:simplePos x="0" y="0"/>
            <wp:positionH relativeFrom="column">
              <wp:posOffset>-295275</wp:posOffset>
            </wp:positionH>
            <wp:positionV relativeFrom="paragraph">
              <wp:posOffset>165100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40"/>
          </w:cols>
          <w:pgMar w:left="680" w:top="203" w:right="7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98" w:lineRule="exact"/>
        <w:rPr>
          <w:sz w:val="20"/>
          <w:szCs w:val="20"/>
          <w:color w:val="auto"/>
        </w:rPr>
      </w:pPr>
    </w:p>
    <w:p>
      <w:pPr>
        <w:ind w:right="240" w:firstLine="399"/>
        <w:spacing w:after="0" w:line="286" w:lineRule="auto"/>
        <w:rPr>
          <w:sz w:val="20"/>
          <w:szCs w:val="20"/>
          <w:color w:val="auto"/>
        </w:rPr>
      </w:pPr>
      <w:r>
        <w:rPr>
          <w:rFonts w:ascii="Times New Roman" w:cs="Times New Roman" w:eastAsia="Times New Roman" w:hAnsi="Times New Roman"/>
          <w:sz w:val="13"/>
          <w:szCs w:val="13"/>
          <w:color w:val="auto"/>
        </w:rPr>
        <w:t>This Amendment No. 2 to the Registrant’s Registration Statement on Form S-1 (File No. 333-161571) is being filed solely for the purpose of filing Exhibit 1.1, and no changes or additions are being made hereby to the prospectus that forms a part of the Registration Statement. Accordingly, the prospectus is being omitted from this filing</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 13.</w:t>
      </w:r>
      <w:r>
        <w:rPr>
          <w:sz w:val="20"/>
          <w:szCs w:val="20"/>
          <w:color w:val="auto"/>
        </w:rPr>
        <w:tab/>
      </w:r>
      <w:r>
        <w:rPr>
          <w:rFonts w:ascii="Times New Roman" w:cs="Times New Roman" w:eastAsia="Times New Roman" w:hAnsi="Times New Roman"/>
          <w:sz w:val="13"/>
          <w:szCs w:val="13"/>
          <w:b w:val="1"/>
          <w:bCs w:val="1"/>
          <w:i w:val="1"/>
          <w:iCs w:val="1"/>
          <w:color w:val="auto"/>
        </w:rPr>
        <w:t>Other Expenses of Issuance and Distribution.</w:t>
      </w:r>
    </w:p>
    <w:p>
      <w:pPr>
        <w:spacing w:after="0" w:line="61" w:lineRule="exact"/>
        <w:rPr>
          <w:sz w:val="20"/>
          <w:szCs w:val="20"/>
          <w:color w:val="auto"/>
        </w:rPr>
      </w:pPr>
    </w:p>
    <w:p>
      <w:pPr>
        <w:ind w:right="240" w:firstLine="399"/>
        <w:spacing w:after="0" w:line="269" w:lineRule="auto"/>
        <w:rPr>
          <w:sz w:val="20"/>
          <w:szCs w:val="20"/>
          <w:color w:val="auto"/>
        </w:rPr>
      </w:pPr>
      <w:r>
        <w:rPr>
          <w:rFonts w:ascii="Times New Roman" w:cs="Times New Roman" w:eastAsia="Times New Roman" w:hAnsi="Times New Roman"/>
          <w:sz w:val="13"/>
          <w:szCs w:val="13"/>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Authority, Inc. filing fee. The following expenses will be borne solely by the registrant.</w:t>
      </w:r>
    </w:p>
    <w:p>
      <w:pPr>
        <w:sectPr>
          <w:pgSz w:w="11900" w:h="16838" w:orient="portrait"/>
          <w:cols w:equalWidth="0" w:num="1">
            <w:col w:w="9980"/>
          </w:cols>
          <w:pgMar w:left="900" w:top="744" w:right="1019" w:bottom="1440" w:gutter="0" w:footer="0" w:header="0"/>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335395" cy="9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6335395" cy="99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Legal fees and expenses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6335395" cy="99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Printing expenses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6335395" cy="99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Miscellaneous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75565</wp:posOffset>
            </wp:positionV>
            <wp:extent cx="82359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3"/>
          <w:szCs w:val="13"/>
          <w:color w:val="auto"/>
        </w:rPr>
        <w:t>8,442</w:t>
      </w:r>
    </w:p>
    <w:p>
      <w:pPr>
        <w:spacing w:after="0" w:line="2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3"/>
          <w:szCs w:val="13"/>
          <w:color w:val="auto"/>
        </w:rPr>
        <w:t>15,628</w:t>
      </w:r>
    </w:p>
    <w:p>
      <w:pPr>
        <w:spacing w:after="0" w:line="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2"/>
          <w:szCs w:val="12"/>
          <w:color w:val="auto"/>
        </w:rPr>
        <w:t>417,000</w:t>
      </w:r>
    </w:p>
    <w:p>
      <w:pPr>
        <w:spacing w:after="0" w:line="1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3"/>
          <w:szCs w:val="13"/>
          <w:color w:val="auto"/>
        </w:rPr>
        <w:t>50,000</w:t>
      </w:r>
    </w:p>
    <w:p>
      <w:pPr>
        <w:spacing w:after="0" w:line="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3"/>
          <w:szCs w:val="13"/>
          <w:color w:val="auto"/>
        </w:rPr>
        <w:t>55,000</w:t>
      </w:r>
    </w:p>
    <w:p>
      <w:pPr>
        <w:spacing w:after="0" w:line="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3"/>
          <w:szCs w:val="13"/>
          <w:color w:val="auto"/>
        </w:rPr>
        <w:t>7,500</w:t>
      </w:r>
    </w:p>
    <w:p>
      <w:pPr>
        <w:spacing w:after="0" w:line="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2"/>
          <w:szCs w:val="12"/>
          <w:color w:val="auto"/>
        </w:rPr>
        <w:t>145,000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12065</wp:posOffset>
            </wp:positionV>
            <wp:extent cx="37465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4650" cy="6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698,570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20320</wp:posOffset>
            </wp:positionV>
            <wp:extent cx="3746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4650" cy="635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33020</wp:posOffset>
            </wp:positionV>
            <wp:extent cx="3746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4650" cy="63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740" w:space="720"/>
            <w:col w:w="520"/>
          </w:cols>
          <w:pgMar w:left="900" w:top="744" w:right="1019" w:bottom="1440" w:gutter="0" w:footer="0" w:header="0"/>
          <w:type w:val="continuous"/>
        </w:sectPr>
      </w:pP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  Estimate</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 14.</w:t>
      </w:r>
      <w:r>
        <w:rPr>
          <w:sz w:val="20"/>
          <w:szCs w:val="20"/>
          <w:color w:val="auto"/>
        </w:rPr>
        <w:tab/>
      </w:r>
      <w:r>
        <w:rPr>
          <w:rFonts w:ascii="Times New Roman" w:cs="Times New Roman" w:eastAsia="Times New Roman" w:hAnsi="Times New Roman"/>
          <w:sz w:val="13"/>
          <w:szCs w:val="13"/>
          <w:b w:val="1"/>
          <w:bCs w:val="1"/>
          <w:i w:val="1"/>
          <w:iCs w:val="1"/>
          <w:color w:val="auto"/>
        </w:rPr>
        <w:t>Indemnification of Directors and Officers.</w:t>
      </w:r>
    </w:p>
    <w:p>
      <w:pPr>
        <w:spacing w:after="0" w:line="61"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13"/>
          <w:szCs w:val="13"/>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25"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27" w:lineRule="exact"/>
        <w:rPr>
          <w:sz w:val="20"/>
          <w:szCs w:val="20"/>
          <w:color w:val="auto"/>
        </w:rPr>
      </w:pPr>
    </w:p>
    <w:p>
      <w:pPr>
        <w:ind w:right="300" w:firstLine="399"/>
        <w:spacing w:after="0" w:line="286" w:lineRule="auto"/>
        <w:rPr>
          <w:sz w:val="20"/>
          <w:szCs w:val="20"/>
          <w:color w:val="auto"/>
        </w:rPr>
      </w:pPr>
      <w:r>
        <w:rPr>
          <w:rFonts w:ascii="Times New Roman" w:cs="Times New Roman" w:eastAsia="Times New Roman" w:hAnsi="Times New Roman"/>
          <w:sz w:val="13"/>
          <w:szCs w:val="13"/>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type w:val="continuous"/>
        </w:sectPr>
      </w:pPr>
    </w:p>
    <w:bookmarkStart w:id="2" w:name="page3"/>
    <w:bookmarkEnd w:id="2"/>
    <w:p>
      <w:pPr>
        <w:ind w:right="100"/>
        <w:spacing w:after="0" w:line="286" w:lineRule="auto"/>
        <w:rPr>
          <w:sz w:val="20"/>
          <w:szCs w:val="20"/>
          <w:color w:val="auto"/>
        </w:rPr>
      </w:pPr>
      <w:r>
        <w:rPr>
          <w:rFonts w:ascii="Times New Roman" w:cs="Times New Roman" w:eastAsia="Times New Roman" w:hAnsi="Times New Roman"/>
          <w:sz w:val="13"/>
          <w:szCs w:val="13"/>
          <w:color w:val="auto"/>
        </w:rPr>
        <w:t>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7"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13"/>
          <w:szCs w:val="13"/>
          <w:color w:val="auto"/>
        </w:rPr>
        <w:t>Section 8.1 of our bylaws provides that we will indemnify, to the fullest extent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further provides for the advancement of expenses to each of our officers and directors.</w:t>
      </w:r>
    </w:p>
    <w:p>
      <w:pPr>
        <w:spacing w:after="0" w:line="23"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13"/>
          <w:szCs w:val="13"/>
          <w:color w:val="auto"/>
        </w:rPr>
        <w:t>Article VIII of our charter provides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23" w:lineRule="exact"/>
        <w:rPr>
          <w:sz w:val="20"/>
          <w:szCs w:val="20"/>
          <w:color w:val="auto"/>
        </w:rPr>
      </w:pPr>
    </w:p>
    <w:p>
      <w:pPr>
        <w:ind w:firstLine="399"/>
        <w:spacing w:after="0" w:line="286" w:lineRule="auto"/>
        <w:rPr>
          <w:sz w:val="20"/>
          <w:szCs w:val="20"/>
          <w:color w:val="auto"/>
        </w:rPr>
      </w:pPr>
      <w:r>
        <w:rPr>
          <w:rFonts w:ascii="Times New Roman" w:cs="Times New Roman" w:eastAsia="Times New Roman" w:hAnsi="Times New Roman"/>
          <w:sz w:val="13"/>
          <w:szCs w:val="13"/>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7" w:lineRule="exact"/>
        <w:rPr>
          <w:sz w:val="20"/>
          <w:szCs w:val="20"/>
          <w:color w:val="auto"/>
        </w:rPr>
      </w:pPr>
    </w:p>
    <w:p>
      <w:pPr>
        <w:ind w:right="200" w:firstLine="399"/>
        <w:spacing w:after="0" w:line="286" w:lineRule="auto"/>
        <w:rPr>
          <w:sz w:val="20"/>
          <w:szCs w:val="20"/>
          <w:color w:val="auto"/>
        </w:rPr>
      </w:pPr>
      <w:r>
        <w:rPr>
          <w:rFonts w:ascii="Times New Roman" w:cs="Times New Roman" w:eastAsia="Times New Roman" w:hAnsi="Times New Roman"/>
          <w:sz w:val="13"/>
          <w:szCs w:val="13"/>
          <w:color w:val="auto"/>
        </w:rPr>
        <w:t>We have entered into indemnification agreements with each of our directors and our executive officers. These agreements provide that we will indemnify each of our directors and such officers to the fullest extent permitted by law and by our charter and bylaws.</w:t>
      </w:r>
    </w:p>
    <w:p>
      <w:pPr>
        <w:spacing w:after="0" w:line="7" w:lineRule="exact"/>
        <w:rPr>
          <w:sz w:val="20"/>
          <w:szCs w:val="20"/>
          <w:color w:val="auto"/>
        </w:rPr>
      </w:pPr>
    </w:p>
    <w:p>
      <w:pPr>
        <w:ind w:right="80" w:firstLine="399"/>
        <w:spacing w:after="0" w:line="286" w:lineRule="auto"/>
        <w:rPr>
          <w:sz w:val="20"/>
          <w:szCs w:val="20"/>
          <w:color w:val="auto"/>
        </w:rPr>
      </w:pPr>
      <w:r>
        <w:rPr>
          <w:rFonts w:ascii="Times New Roman" w:cs="Times New Roman" w:eastAsia="Times New Roman" w:hAnsi="Times New Roman"/>
          <w:sz w:val="13"/>
          <w:szCs w:val="13"/>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4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 15.</w:t>
      </w:r>
      <w:r>
        <w:rPr>
          <w:sz w:val="20"/>
          <w:szCs w:val="20"/>
          <w:color w:val="auto"/>
        </w:rPr>
        <w:tab/>
      </w:r>
      <w:r>
        <w:rPr>
          <w:rFonts w:ascii="Times New Roman" w:cs="Times New Roman" w:eastAsia="Times New Roman" w:hAnsi="Times New Roman"/>
          <w:sz w:val="12"/>
          <w:szCs w:val="12"/>
          <w:b w:val="1"/>
          <w:bCs w:val="1"/>
          <w:i w:val="1"/>
          <w:iCs w:val="1"/>
          <w:color w:val="auto"/>
        </w:rPr>
        <w:t>Recent Sales of Unregistered Securities.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Since January 1, 2006, we have issued the following securities that were not registered under the Securities 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59" w:lineRule="exact"/>
        <w:rPr>
          <w:sz w:val="20"/>
          <w:szCs w:val="20"/>
          <w:color w:val="auto"/>
        </w:rPr>
      </w:pPr>
    </w:p>
    <w:p>
      <w:pPr>
        <w:ind w:right="20" w:firstLine="399"/>
        <w:spacing w:after="0" w:line="261" w:lineRule="auto"/>
        <w:rPr>
          <w:sz w:val="20"/>
          <w:szCs w:val="20"/>
          <w:color w:val="auto"/>
        </w:rPr>
      </w:pPr>
      <w:r>
        <w:rPr>
          <w:rFonts w:ascii="Times New Roman" w:cs="Times New Roman" w:eastAsia="Times New Roman" w:hAnsi="Times New Roman"/>
          <w:sz w:val="13"/>
          <w:szCs w:val="13"/>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 investment entity controlled by Brent D. Richardson, our Executive Chairman, and Christopher C. Richardson, our General Counsel and a director), and 935 shares were sold to 220 GCU, L.P. and its affiliates. The purchase price payable by Rich Crow Enterprises for its shares of Series C preferred stock was paid in part by the exchange of the 865 outstanding shares of Series B preferred stock it purchased in 2006. The sales were made in reliance on Rule 506 of Regulation D promulgated under the Securities 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59" w:lineRule="exact"/>
        <w:rPr>
          <w:sz w:val="20"/>
          <w:szCs w:val="20"/>
          <w:color w:val="auto"/>
        </w:rPr>
      </w:pPr>
    </w:p>
    <w:p>
      <w:pPr>
        <w:ind w:right="40" w:firstLine="399"/>
        <w:spacing w:after="0" w:line="286" w:lineRule="auto"/>
        <w:rPr>
          <w:sz w:val="20"/>
          <w:szCs w:val="20"/>
          <w:color w:val="auto"/>
        </w:rPr>
      </w:pPr>
      <w:r>
        <w:rPr>
          <w:rFonts w:ascii="Times New Roman" w:cs="Times New Roman" w:eastAsia="Times New Roman" w:hAnsi="Times New Roman"/>
          <w:sz w:val="13"/>
          <w:szCs w:val="13"/>
          <w:color w:val="auto"/>
        </w:rPr>
        <w:t>In November 2008, we issued, in reliance on Section 4(2) of the Securities Act, 909,348 shares of our common stock upon the exercise of a warrant that was issued in June 2004. The exercise price of the warrant was approximately $0.58 per share, or $526,316 of the aggregate.</w:t>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In November 2008, we granted, in reliance on Section 4(2) of the Securities Act, 109,329 shares of our common stock to our Chief Executive Officer.</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5"/>
        </w:trPr>
        <w:tc>
          <w:tcPr>
            <w:tcW w:w="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16.</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Exhibits and Financial Statement Schedules.</w:t>
            </w:r>
          </w:p>
        </w:tc>
      </w:tr>
      <w:tr>
        <w:trPr>
          <w:trHeight w:val="246"/>
        </w:trPr>
        <w:tc>
          <w:tcPr>
            <w:tcW w:w="52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(a) Exhibits</w:t>
            </w:r>
          </w:p>
        </w:tc>
      </w:tr>
      <w:tr>
        <w:trPr>
          <w:trHeight w:val="218"/>
        </w:trPr>
        <w:tc>
          <w:tcPr>
            <w:tcW w:w="84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380" w:type="dxa"/>
            <w:vAlign w:val="bottom"/>
          </w:tcPr>
          <w:p>
            <w:pPr>
              <w:ind w:left="2260"/>
              <w:spacing w:after="0"/>
              <w:rPr>
                <w:sz w:val="20"/>
                <w:szCs w:val="20"/>
                <w:color w:val="auto"/>
              </w:rPr>
            </w:pPr>
            <w:r>
              <w:rPr>
                <w:rFonts w:ascii="Times New Roman" w:cs="Times New Roman" w:eastAsia="Times New Roman" w:hAnsi="Times New Roman"/>
                <w:sz w:val="10"/>
                <w:szCs w:val="10"/>
                <w:b w:val="1"/>
                <w:bCs w:val="1"/>
                <w:u w:val="single" w:color="auto"/>
                <w:color w:val="auto"/>
              </w:rPr>
              <w:t>D</w:t>
            </w:r>
            <w:r>
              <w:rPr>
                <w:rFonts w:ascii="Times New Roman" w:cs="Times New Roman" w:eastAsia="Times New Roman" w:hAnsi="Times New Roman"/>
                <w:sz w:val="10"/>
                <w:szCs w:val="10"/>
                <w:b w:val="1"/>
                <w:bCs w:val="1"/>
                <w:color w:val="auto"/>
              </w:rPr>
              <w:t>escription</w:t>
            </w:r>
          </w:p>
        </w:tc>
      </w:tr>
      <w:tr>
        <w:trPr>
          <w:trHeight w:val="191"/>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1.1</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Form of Underwriting Agreement</w:t>
            </w:r>
          </w:p>
        </w:tc>
      </w:tr>
      <w:tr>
        <w:trPr>
          <w:trHeight w:val="171"/>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3.1</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Amended and Restated Certificate of Incorporation</w:t>
            </w:r>
          </w:p>
        </w:tc>
      </w:tr>
      <w:tr>
        <w:trPr>
          <w:trHeight w:val="315"/>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Amended and Restated Bylaws</w:t>
            </w:r>
          </w:p>
        </w:tc>
      </w:tr>
      <w:tr>
        <w:trPr>
          <w:trHeight w:val="315"/>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Specimen of Stock Certificate</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Amended and Restated Investor Rights Agreement, dated September 17, 2008, by</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and among Grand Canyon Education, Inc. and the other parties named therein</w:t>
            </w:r>
          </w:p>
        </w:tc>
      </w:tr>
      <w:tr>
        <w:trPr>
          <w:trHeight w:val="157"/>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5.1</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Opinion of DLA Piper LLP (US) regarding the validating of the common stock</w:t>
            </w:r>
          </w:p>
        </w:tc>
      </w:tr>
      <w:tr>
        <w:trPr>
          <w:trHeight w:val="157"/>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Amended and Restated Executive Employment Agreement, dated September 10,</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2008, by and between Grand Canyon Education, Inc. and Brent D. Richardson†</w:t>
            </w:r>
          </w:p>
        </w:tc>
      </w:tr>
      <w:tr>
        <w:trPr>
          <w:trHeight w:val="157"/>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Amended and Restated Executive Employment Agreement, dated September 10,</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2008, by and between Grand Canyon Education, Inc. and Christopher C.</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Richardson†</w:t>
            </w:r>
          </w:p>
        </w:tc>
      </w:tr>
      <w:tr>
        <w:trPr>
          <w:trHeight w:val="157"/>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Executive Employment Agreement, dated September 1, 2008, by and between</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Grand Canyon Education, Inc. and Kathy Player†</w:t>
            </w:r>
          </w:p>
        </w:tc>
      </w:tr>
      <w:tr>
        <w:trPr>
          <w:trHeight w:val="171"/>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2008 Equity Incentive Plan†</w:t>
            </w:r>
          </w:p>
        </w:tc>
      </w:tr>
      <w:tr>
        <w:trPr>
          <w:trHeight w:val="315"/>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2008 Employee Stock Purchase Plan†</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Lease Agreement, effective June 28, 2004, by and between Spirit Finance</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Acquisitions, LLC and Significant Education, LLC</w:t>
            </w:r>
          </w:p>
        </w:tc>
      </w:tr>
      <w:tr>
        <w:trPr>
          <w:trHeight w:val="157"/>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 Amendment to Lease Agreement, effective September 24, 2004, by and</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between Spirit Finance Acquisitions, LLC and Significant Education, LLC</w:t>
            </w:r>
          </w:p>
        </w:tc>
      </w:tr>
      <w:tr>
        <w:trPr>
          <w:trHeight w:val="157"/>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Second Amendment to Lease Agreement, effective August 23, 2005, by and</w:t>
            </w:r>
          </w:p>
        </w:tc>
      </w:tr>
      <w:tr>
        <w:trPr>
          <w:trHeight w:val="171"/>
        </w:trPr>
        <w:tc>
          <w:tcPr>
            <w:tcW w:w="84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between Spirit Master Funding, LLC and Significant Education,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-2727325</wp:posOffset>
            </wp:positionV>
            <wp:extent cx="635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13970</wp:posOffset>
            </wp:positionV>
            <wp:extent cx="2476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1"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3"/>
          <w:szCs w:val="13"/>
          <w:color w:val="auto"/>
        </w:rPr>
        <w:t>Incorporated by reference to Exhibit 3.1 to Amendment No. 6 to the Company’s Registration Statement on Form S-1 filed with the SEC on November 12, 2008. Incorporated by reference to Exhibit 3.2 to Amendment No. 6 to the Company’s Registration Statement on Form S-1 filed with the SEC on November 12, 2008. Incorporated by reference to Exhibit 4.1 to Amendment No. 2 to the Company’s Registration Statement on Form S-1 filed with the SEC on September 29, 2008. Incorporated by reference to Exhibit 4.2 to Amendment No. 2 to the Company’s Registration Statement on Form S-1 filed with the SEC on September 29, 2008. *</w:t>
      </w:r>
    </w:p>
    <w:p>
      <w:pPr>
        <w:spacing w:after="0" w:line="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3"/>
          <w:szCs w:val="13"/>
          <w:color w:val="auto"/>
        </w:rPr>
        <w:t>Incorporated by reference to Exhibit 10.1 to Amendment No. 2 to the Company’s Registration Statement on Form S-1 filed with the SEC on September 29, 2008. Incorporated by reference to Exhibit 10.2 to Amendment No. 2 to the Company’s Registration Statement on Form S-1 filed with the SEC on September 29, 2008.</w:t>
      </w:r>
    </w:p>
    <w:p>
      <w:pPr>
        <w:spacing w:after="0" w:line="135"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3"/>
          <w:szCs w:val="13"/>
          <w:color w:val="auto"/>
        </w:rPr>
        <w:t>Incorporated by reference to Exhibit 10.1 to the Company’s Current Report on Form 8-K filed with the SEC on March 25, 2009.</w:t>
      </w:r>
    </w:p>
    <w:p>
      <w:pPr>
        <w:spacing w:after="0" w:line="252" w:lineRule="auto"/>
        <w:rPr>
          <w:sz w:val="20"/>
          <w:szCs w:val="20"/>
          <w:color w:val="auto"/>
        </w:rPr>
      </w:pPr>
      <w:r>
        <w:rPr>
          <w:rFonts w:ascii="Times New Roman" w:cs="Times New Roman" w:eastAsia="Times New Roman" w:hAnsi="Times New Roman"/>
          <w:sz w:val="13"/>
          <w:szCs w:val="13"/>
          <w:color w:val="auto"/>
        </w:rPr>
        <w:t>Incorporated by reference to Exhibit 10.4 to Amendment No. 2 to the Company’s Registration Statement on Form S-1 filed with the SEC on September 29, 2008. Incorporated by reference to Exhibit 10.5 to Amendment No. 2 to the Company’s Registration Statement on Form S-1 filed with the SEC on September 29, 2008. Incorporated by reference to Exhibit 10.7 to the Company’s Registration Statement on Form S-1 filed with the SEC on May 13, 2008.</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3"/>
          <w:szCs w:val="13"/>
          <w:color w:val="auto"/>
        </w:rPr>
        <w:t>Incorporated by reference to Exhibit 10.8 to the Company’s Registration Statement on Form S-1 filed with the SEC on May 13, 2008.</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Incorporated by reference to Exhibit 10.9 to the Company’s Registration Statement on Form S-1 filed with the SEC on May 13, 2008.</w:t>
      </w:r>
    </w:p>
    <w:p>
      <w:pPr>
        <w:sectPr>
          <w:pgSz w:w="11900" w:h="16838" w:orient="portrait"/>
          <w:cols w:equalWidth="0" w:num="2">
            <w:col w:w="5220" w:space="380"/>
            <w:col w:w="4360"/>
          </w:cols>
          <w:pgMar w:left="900" w:top="712" w:right="10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39"/>
        </w:trPr>
        <w:tc>
          <w:tcPr>
            <w:tcW w:w="86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420" w:type="dxa"/>
            <w:vAlign w:val="bottom"/>
          </w:tcPr>
          <w:p>
            <w:pPr>
              <w:ind w:left="2240"/>
              <w:spacing w:after="0"/>
              <w:rPr>
                <w:sz w:val="20"/>
                <w:szCs w:val="20"/>
                <w:color w:val="auto"/>
              </w:rPr>
            </w:pPr>
            <w:r>
              <w:rPr>
                <w:rFonts w:ascii="Times New Roman" w:cs="Times New Roman" w:eastAsia="Times New Roman" w:hAnsi="Times New Roman"/>
                <w:sz w:val="10"/>
                <w:szCs w:val="10"/>
                <w:b w:val="1"/>
                <w:bCs w:val="1"/>
                <w:u w:val="single" w:color="auto"/>
                <w:color w:val="auto"/>
              </w:rPr>
              <w:t>D</w:t>
            </w:r>
            <w:r>
              <w:rPr>
                <w:rFonts w:ascii="Times New Roman" w:cs="Times New Roman" w:eastAsia="Times New Roman" w:hAnsi="Times New Roman"/>
                <w:sz w:val="10"/>
                <w:szCs w:val="10"/>
                <w:b w:val="1"/>
                <w:bCs w:val="1"/>
                <w:color w:val="auto"/>
              </w:rPr>
              <w:t>escription</w:t>
            </w:r>
          </w:p>
        </w:tc>
      </w:tr>
      <w:tr>
        <w:trPr>
          <w:trHeight w:val="19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Third Amendment to Lease Agreement, effective June 2006, by and between Spirit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Master Funding, LLC and Significant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10.10</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Fourth Amendment to Lease Agreement, effective August 9, 2006, by and between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Spirit Master Funding, LLC and Significant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Fifth Amendment to Lease Agreement, effective December 31, 2006,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Sixth Amendment to Lease Agreement, effective September 30, 2007,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Seventh Amendment to Lease Agreement, effective March 28, 2008,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License Agreement, dated June 30, 2004, by and between Blanchard Education,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LLC and Significant Education, LLC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Letter Agreement, dated February 6, 2006, by and between The Ken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Companies and Grand Canyon University</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Amendment to License Agreement, dated May 8, 2008, by and between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Education, LLC and Grand Canyon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Collaboration Agreement, dated July 11, 2005, by and between Mind Streams,</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LLC and Significant Education, LLC (as supplemented by Project One and Project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Two)</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10.18</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Canyon Education, Inc. and Daniel E. Bachus†</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10.19</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Canyon Education, Inc. and Brian E. Mueller†</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10.20</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Canyon Education, Inc. and W. Stan Meyer†</w:t>
            </w:r>
          </w:p>
        </w:tc>
      </w:tr>
      <w:tr>
        <w:trPr>
          <w:trHeight w:val="17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Form of Director and Officer Indemnity Agreement</w:t>
            </w:r>
          </w:p>
        </w:tc>
      </w:tr>
      <w:tr>
        <w:trPr>
          <w:trHeight w:val="30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10.22</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Purchase and Sale Agreement, dated April 27, 2009, by and among Grand Canyon</w:t>
            </w:r>
          </w:p>
        </w:tc>
      </w:tr>
      <w:tr>
        <w:trPr>
          <w:trHeight w:val="171"/>
        </w:trPr>
        <w:tc>
          <w:tcPr>
            <w:tcW w:w="860" w:type="dxa"/>
            <w:vAlign w:val="bottom"/>
          </w:tcPr>
          <w:p>
            <w:pPr>
              <w:spacing w:after="0"/>
              <w:rPr>
                <w:sz w:val="14"/>
                <w:szCs w:val="14"/>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Education, Inc., Spirit Master Funding, LLC, and Spirit Management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-2927350</wp:posOffset>
            </wp:positionV>
            <wp:extent cx="635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0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80"/>
        <w:spacing w:after="0"/>
        <w:rPr>
          <w:sz w:val="20"/>
          <w:szCs w:val="20"/>
          <w:color w:val="auto"/>
        </w:rPr>
      </w:pPr>
      <w:r>
        <w:rPr>
          <w:rFonts w:ascii="Times New Roman" w:cs="Times New Roman" w:eastAsia="Times New Roman" w:hAnsi="Times New Roman"/>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13970</wp:posOffset>
            </wp:positionV>
            <wp:extent cx="2476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38" w:lineRule="exact"/>
        <w:rPr>
          <w:sz w:val="20"/>
          <w:szCs w:val="20"/>
          <w:color w:val="auto"/>
        </w:rPr>
      </w:pPr>
    </w:p>
    <w:p>
      <w:pPr>
        <w:ind w:right="480"/>
        <w:spacing w:after="0" w:line="253" w:lineRule="auto"/>
        <w:rPr>
          <w:sz w:val="20"/>
          <w:szCs w:val="20"/>
          <w:color w:val="auto"/>
        </w:rPr>
      </w:pPr>
      <w:r>
        <w:rPr>
          <w:rFonts w:ascii="Times New Roman" w:cs="Times New Roman" w:eastAsia="Times New Roman" w:hAnsi="Times New Roman"/>
          <w:sz w:val="13"/>
          <w:szCs w:val="13"/>
          <w:color w:val="auto"/>
        </w:rPr>
        <w:t>Incorporated by reference to Exhibit 10.10 to the Company’s Registration Statement on Form S-1 filed with the SEC on May 13, 2008. Incorporated by reference to Exhibit 10.11 to the Company’s Registration Statement on Form S-1 filed with the SEC on May 13, 2008. Incorporated by reference to Exhibit 10.12 to the Company’s Registration Statement on Form S-1 filed with the SEC on May 13, 2008. Incorporated by reference to Exhibit 10.13 to the Company’s Registration Statement on Form S-1 filed with the SEC on May 13, 2008. Incorporated by reference to Exhibit 10.14 to the Company’s Registration Statement on Form S-1 filed with the SEC on May 13, 2008. Incorporated by reference to Exhibit 10.15 to the Company’s Registration Statement on Form S-1 filed with the SEC on May 13, 2008. Incorporated by reference to Exhibit 10.16 to the Company’s Registration Statement on Form S-1 filed with the SEC on May 13, 2008. Incorporated by reference to Exhibit 10.17 to the Company’s Registration Statement on Form S-1 filed with the SEC on May 13, 2008.</w:t>
      </w:r>
    </w:p>
    <w:p>
      <w:pPr>
        <w:spacing w:after="0" w:line="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Incorporated by reference to Exhibit 10.18 to Amendment No. 1 to the Company’s Registration Statement on Form S-1 filed with the SEC on August 13, 2008.</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Incorporated by reference to Exhibit 10.19 to Amendment No. 1 to the Company’s Registration Statement on Form S-1 filed with the SEC on August 13, 2008. Incorporated by reference to Exhibit 10.20 to Amendment No. 1 to the Company’s Registration Statement on Form S-1 filed with the SEC on August 13, 2008. Incorporated by reference to Exhibit 10.21 to Amendment No. 1 to the Company’s Registration Statement on Form S-1 filed with the SEC on August 13, 2008. Incorporated by reference to Exhibit 10.21 to Amendment No. 2 to the Company’s Registration Statement on Form S-1 filed with the SEC on September 29, 2008. Incorporated by reference to Exhibit 10.1 to the Company’s Quarterly Report on Form 10-Q filed with the SEC on August 3, 2009.</w:t>
      </w:r>
    </w:p>
    <w:p>
      <w:pPr>
        <w:sectPr>
          <w:pgSz w:w="11900" w:h="16838" w:orient="portrait"/>
          <w:cols w:equalWidth="0" w:num="2">
            <w:col w:w="5280" w:space="320"/>
            <w:col w:w="4340"/>
          </w:cols>
          <w:pgMar w:left="900" w:top="720" w:right="10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39"/>
        </w:trPr>
        <w:tc>
          <w:tcPr>
            <w:tcW w:w="86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560" w:type="dxa"/>
            <w:vAlign w:val="bottom"/>
          </w:tcPr>
          <w:p>
            <w:pPr>
              <w:ind w:left="2240"/>
              <w:spacing w:after="0"/>
              <w:rPr>
                <w:sz w:val="20"/>
                <w:szCs w:val="20"/>
                <w:color w:val="auto"/>
              </w:rPr>
            </w:pPr>
            <w:r>
              <w:rPr>
                <w:rFonts w:ascii="Times New Roman" w:cs="Times New Roman" w:eastAsia="Times New Roman" w:hAnsi="Times New Roman"/>
                <w:sz w:val="10"/>
                <w:szCs w:val="10"/>
                <w:b w:val="1"/>
                <w:bCs w:val="1"/>
                <w:u w:val="single" w:color="auto"/>
                <w:color w:val="auto"/>
              </w:rPr>
              <w:t>D</w:t>
            </w:r>
            <w:r>
              <w:rPr>
                <w:rFonts w:ascii="Times New Roman" w:cs="Times New Roman" w:eastAsia="Times New Roman" w:hAnsi="Times New Roman"/>
                <w:sz w:val="10"/>
                <w:szCs w:val="10"/>
                <w:b w:val="1"/>
                <w:bCs w:val="1"/>
                <w:color w:val="auto"/>
              </w:rPr>
              <w:t>escription</w:t>
            </w:r>
          </w:p>
        </w:tc>
        <w:tc>
          <w:tcPr>
            <w:tcW w:w="4400" w:type="dxa"/>
            <w:vAlign w:val="bottom"/>
          </w:tcPr>
          <w:p>
            <w:pPr>
              <w:ind w:left="2360"/>
              <w:spacing w:after="0"/>
              <w:rPr>
                <w:sz w:val="20"/>
                <w:szCs w:val="20"/>
                <w:color w:val="auto"/>
              </w:rPr>
            </w:pPr>
            <w:r>
              <w:rPr>
                <w:rFonts w:ascii="Times New Roman" w:cs="Times New Roman" w:eastAsia="Times New Roman" w:hAnsi="Times New Roman"/>
                <w:sz w:val="10"/>
                <w:szCs w:val="10"/>
                <w:b w:val="1"/>
                <w:bCs w:val="1"/>
                <w:color w:val="auto"/>
              </w:rPr>
              <w:t>Method of Filing</w:t>
            </w:r>
          </w:p>
        </w:tc>
      </w:tr>
      <w:tr>
        <w:trPr>
          <w:trHeight w:val="19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10.23</w:t>
            </w:r>
          </w:p>
        </w:tc>
        <w:tc>
          <w:tcPr>
            <w:tcW w:w="4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Loan Agreement, dated April 27, 2009, by and between Grand Canyon Education,</w:t>
            </w:r>
          </w:p>
        </w:tc>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Incorporated by reference to Exhibit 10.2 to the Company’s Quarterly Report on</w:t>
            </w:r>
          </w:p>
        </w:tc>
      </w:tr>
      <w:tr>
        <w:trPr>
          <w:trHeight w:val="157"/>
        </w:trPr>
        <w:tc>
          <w:tcPr>
            <w:tcW w:w="860" w:type="dxa"/>
            <w:vAlign w:val="bottom"/>
          </w:tcPr>
          <w:p>
            <w:pPr>
              <w:spacing w:after="0"/>
              <w:rPr>
                <w:sz w:val="13"/>
                <w:szCs w:val="13"/>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 and Bank of America, N.A.</w:t>
            </w:r>
          </w:p>
        </w:tc>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10-Q filed with the SEC on August 3, 2009.</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4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Consent of Independent Registered Public Accounting Firm</w:t>
            </w:r>
          </w:p>
        </w:tc>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23.2</w:t>
            </w:r>
          </w:p>
        </w:tc>
        <w:tc>
          <w:tcPr>
            <w:tcW w:w="4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Consent of DLA Piper LLP (US)</w:t>
            </w:r>
          </w:p>
        </w:tc>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24.1</w:t>
            </w:r>
          </w:p>
        </w:tc>
        <w:tc>
          <w:tcPr>
            <w:tcW w:w="4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Power of Attorney</w:t>
            </w:r>
          </w:p>
        </w:tc>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-530225</wp:posOffset>
            </wp:positionV>
            <wp:extent cx="635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-530225</wp:posOffset>
            </wp:positionV>
            <wp:extent cx="2476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62230</wp:posOffset>
            </wp:positionV>
            <wp:extent cx="82359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220" w:hanging="213"/>
        <w:spacing w:after="0"/>
        <w:tabs>
          <w:tab w:leader="none" w:pos="2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filed</w:t>
      </w:r>
    </w:p>
    <w:p>
      <w:pPr>
        <w:spacing w:after="0" w:line="47" w:lineRule="exact"/>
        <w:rPr>
          <w:sz w:val="20"/>
          <w:szCs w:val="20"/>
          <w:color w:val="auto"/>
        </w:rPr>
      </w:pPr>
    </w:p>
    <w:p>
      <w:pPr>
        <w:ind w:left="220" w:hanging="213"/>
        <w:spacing w:after="0"/>
        <w:tabs>
          <w:tab w:leader="none" w:pos="2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a management contract or any compensatory plan, contract or arrangement.</w:t>
      </w:r>
    </w:p>
    <w:p>
      <w:pPr>
        <w:spacing w:after="0" w:line="96" w:lineRule="exact"/>
        <w:rPr>
          <w:rFonts w:ascii="Times New Roman" w:cs="Times New Roman" w:eastAsia="Times New Roman" w:hAnsi="Times New Roman"/>
          <w:sz w:val="13"/>
          <w:szCs w:val="13"/>
          <w:color w:val="auto"/>
        </w:rPr>
      </w:pPr>
    </w:p>
    <w:p>
      <w:pPr>
        <w:ind w:left="600" w:hanging="194"/>
        <w:spacing w:after="0"/>
        <w:tabs>
          <w:tab w:leader="none" w:pos="60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Statement Schedules</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All schedules are omitted because they are not required, are not applicable or, the information is included in the financial statements or the notes thereto.</w:t>
      </w:r>
    </w:p>
    <w:p>
      <w:pPr>
        <w:spacing w:after="0" w:line="17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 17.</w:t>
      </w:r>
      <w:r>
        <w:rPr>
          <w:sz w:val="20"/>
          <w:szCs w:val="20"/>
          <w:color w:val="auto"/>
        </w:rPr>
        <w:tab/>
      </w:r>
      <w:r>
        <w:rPr>
          <w:rFonts w:ascii="Times New Roman" w:cs="Times New Roman" w:eastAsia="Times New Roman" w:hAnsi="Times New Roman"/>
          <w:sz w:val="12"/>
          <w:szCs w:val="12"/>
          <w:b w:val="1"/>
          <w:bCs w:val="1"/>
          <w:i w:val="1"/>
          <w:iCs w:val="1"/>
          <w:color w:val="auto"/>
        </w:rPr>
        <w:t>Undertakings.</w:t>
      </w:r>
    </w:p>
    <w:p>
      <w:pPr>
        <w:spacing w:after="0" w:line="100" w:lineRule="exact"/>
        <w:rPr>
          <w:sz w:val="20"/>
          <w:szCs w:val="20"/>
          <w:color w:val="auto"/>
        </w:rPr>
      </w:pPr>
    </w:p>
    <w:p>
      <w:pPr>
        <w:ind w:right="100" w:firstLine="399"/>
        <w:spacing w:after="0" w:line="259"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64" w:lineRule="exact"/>
        <w:rPr>
          <w:sz w:val="20"/>
          <w:szCs w:val="20"/>
          <w:color w:val="auto"/>
        </w:rPr>
      </w:pPr>
    </w:p>
    <w:p>
      <w:pPr>
        <w:ind w:right="100" w:firstLine="399"/>
        <w:spacing w:after="0" w:line="286" w:lineRule="auto"/>
        <w:rPr>
          <w:sz w:val="20"/>
          <w:szCs w:val="20"/>
          <w:color w:val="auto"/>
        </w:rPr>
      </w:pPr>
      <w:r>
        <w:rPr>
          <w:rFonts w:ascii="Times New Roman" w:cs="Times New Roman" w:eastAsia="Times New Roman" w:hAnsi="Times New Roman"/>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We hereby undertake that:</w:t>
      </w:r>
    </w:p>
    <w:p>
      <w:pPr>
        <w:spacing w:after="0" w:line="96" w:lineRule="exact"/>
        <w:rPr>
          <w:sz w:val="20"/>
          <w:szCs w:val="20"/>
          <w:color w:val="auto"/>
        </w:rPr>
      </w:pPr>
    </w:p>
    <w:p>
      <w:pPr>
        <w:ind w:firstLine="805"/>
        <w:spacing w:after="0" w:line="269" w:lineRule="auto"/>
        <w:tabs>
          <w:tab w:leader="none" w:pos="955"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7" w:lineRule="exact"/>
        <w:rPr>
          <w:rFonts w:ascii="Times New Roman" w:cs="Times New Roman" w:eastAsia="Times New Roman" w:hAnsi="Times New Roman"/>
          <w:sz w:val="13"/>
          <w:szCs w:val="13"/>
          <w:color w:val="auto"/>
        </w:rPr>
      </w:pPr>
    </w:p>
    <w:p>
      <w:pPr>
        <w:ind w:right="520" w:firstLine="805"/>
        <w:spacing w:after="0" w:line="286" w:lineRule="auto"/>
        <w:tabs>
          <w:tab w:leader="none" w:pos="99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79" w:lineRule="exact"/>
        <w:rPr>
          <w:sz w:val="20"/>
          <w:szCs w:val="20"/>
          <w:color w:val="auto"/>
        </w:rPr>
      </w:pPr>
    </w:p>
    <w:p>
      <w:pPr>
        <w:ind w:right="240" w:firstLine="399"/>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has duly caused this registration statement to be signed on its behalf by the undersigned, thereunto duly authorized, in the City of Phoenix, State of Arizona on September 9, 2009.</w:t>
      </w:r>
    </w:p>
    <w:p>
      <w:pPr>
        <w:spacing w:after="0" w:line="2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b w:val="1"/>
          <w:bCs w:val="1"/>
          <w:color w:val="auto"/>
        </w:rPr>
        <w:t>GRAND CANYON EDUCATION, INC.</w:t>
      </w:r>
    </w:p>
    <w:p>
      <w:pPr>
        <w:spacing w:after="0" w:line="305" w:lineRule="exact"/>
        <w:rPr>
          <w:sz w:val="20"/>
          <w:szCs w:val="20"/>
          <w:color w:val="auto"/>
        </w:rPr>
      </w:pPr>
    </w:p>
    <w:p>
      <w:pPr>
        <w:ind w:left="4900"/>
        <w:spacing w:after="0"/>
        <w:tabs>
          <w:tab w:leader="none" w:pos="5280" w:val="left"/>
        </w:tabs>
        <w:rPr>
          <w:sz w:val="20"/>
          <w:szCs w:val="20"/>
          <w:color w:val="auto"/>
        </w:rPr>
      </w:pPr>
      <w:r>
        <w:rPr>
          <w:rFonts w:ascii="Times New Roman" w:cs="Times New Roman" w:eastAsia="Times New Roman" w:hAnsi="Times New Roman"/>
          <w:sz w:val="13"/>
          <w:szCs w:val="13"/>
          <w:color w:val="auto"/>
        </w:rPr>
        <w:t>By:</w:t>
        <w:tab/>
        <w:t>/s/ Brian E. Mueller</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-92710</wp:posOffset>
            </wp:positionV>
            <wp:extent cx="353377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Title: Chief Executive Officer and Director</w:t>
      </w:r>
    </w:p>
    <w:p>
      <w:pPr>
        <w:spacing w:after="0" w:line="220" w:lineRule="exact"/>
        <w:rPr>
          <w:sz w:val="20"/>
          <w:szCs w:val="20"/>
          <w:color w:val="auto"/>
        </w:rPr>
      </w:pPr>
    </w:p>
    <w:p>
      <w:pPr>
        <w:ind w:firstLine="399"/>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below by the following persons on behalf of the registrant and in the capacities and on the dates indicated.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20" w:type="dxa"/>
            <w:vAlign w:val="bottom"/>
          </w:tcPr>
          <w:p>
            <w:pPr>
              <w:spacing w:after="0"/>
              <w:rPr>
                <w:sz w:val="12"/>
                <w:szCs w:val="12"/>
                <w:color w:val="auto"/>
              </w:rPr>
            </w:pPr>
          </w:p>
        </w:tc>
        <w:tc>
          <w:tcPr>
            <w:tcW w:w="3780" w:type="dxa"/>
            <w:vAlign w:val="bottom"/>
          </w:tcPr>
          <w:p>
            <w:pPr>
              <w:ind w:left="1520"/>
              <w:spacing w:after="0"/>
              <w:rPr>
                <w:sz w:val="20"/>
                <w:szCs w:val="20"/>
                <w:color w:val="auto"/>
              </w:rPr>
            </w:pPr>
            <w:r>
              <w:rPr>
                <w:rFonts w:ascii="Times New Roman" w:cs="Times New Roman" w:eastAsia="Times New Roman" w:hAnsi="Times New Roman"/>
                <w:sz w:val="10"/>
                <w:szCs w:val="10"/>
                <w:b w:val="1"/>
                <w:bCs w:val="1"/>
                <w:u w:val="single" w:color="auto"/>
                <w:color w:val="auto"/>
              </w:rPr>
              <w:t>S</w:t>
            </w:r>
            <w:r>
              <w:rPr>
                <w:rFonts w:ascii="Times New Roman" w:cs="Times New Roman" w:eastAsia="Times New Roman" w:hAnsi="Times New Roman"/>
                <w:sz w:val="10"/>
                <w:szCs w:val="10"/>
                <w:b w:val="1"/>
                <w:bCs w:val="1"/>
                <w:color w:val="auto"/>
              </w:rPr>
              <w:t>ignature</w:t>
            </w:r>
          </w:p>
        </w:tc>
        <w:tc>
          <w:tcPr>
            <w:tcW w:w="3840" w:type="dxa"/>
            <w:vAlign w:val="bottom"/>
          </w:tcPr>
          <w:p>
            <w:pPr>
              <w:ind w:left="194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134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Date</w:t>
            </w:r>
          </w:p>
        </w:tc>
        <w:tc>
          <w:tcPr>
            <w:tcW w:w="0" w:type="dxa"/>
            <w:vAlign w:val="bottom"/>
          </w:tcPr>
          <w:p>
            <w:pPr>
              <w:spacing w:after="0"/>
              <w:rPr>
                <w:sz w:val="1"/>
                <w:szCs w:val="1"/>
                <w:color w:val="auto"/>
              </w:rPr>
            </w:pPr>
          </w:p>
        </w:tc>
      </w:tr>
      <w:tr>
        <w:trPr>
          <w:trHeight w:val="386"/>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3780" w:type="dxa"/>
            <w:vAlign w:val="bottom"/>
            <w:tcBorders>
              <w:bottom w:val="single" w:sz="8" w:color="auto"/>
            </w:tcBorders>
          </w:tcPr>
          <w:p>
            <w:pPr>
              <w:spacing w:after="0"/>
              <w:rPr>
                <w:sz w:val="24"/>
                <w:szCs w:val="24"/>
                <w:color w:val="auto"/>
              </w:rPr>
            </w:pPr>
          </w:p>
        </w:tc>
        <w:tc>
          <w:tcPr>
            <w:tcW w:w="384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Executive Chairman</w:t>
            </w:r>
          </w:p>
        </w:tc>
        <w:tc>
          <w:tcPr>
            <w:tcW w:w="13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8"/>
              </w:rPr>
              <w:t>September 9, 2009</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Brent D. Richardson</w:t>
            </w:r>
          </w:p>
        </w:tc>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Brian E. Mueller</w:t>
            </w:r>
          </w:p>
        </w:tc>
        <w:tc>
          <w:tcPr>
            <w:tcW w:w="3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Chief Executive Officer and Director (Principal Executive</w:t>
            </w:r>
          </w:p>
        </w:tc>
        <w:tc>
          <w:tcPr>
            <w:tcW w:w="13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8"/>
              </w:rPr>
              <w:t>September 9, 2009</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gridSpan w:val="2"/>
          </w:tcPr>
          <w:p>
            <w:pPr>
              <w:spacing w:after="0" w:line="20" w:lineRule="exact"/>
              <w:rPr>
                <w:sz w:val="1"/>
                <w:szCs w:val="1"/>
                <w:color w:val="auto"/>
              </w:rPr>
            </w:pP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Officer)</w:t>
            </w: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Brian E. Mueller</w:t>
            </w:r>
          </w:p>
        </w:tc>
        <w:tc>
          <w:tcPr>
            <w:tcW w:w="384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Daniel E. Bachus</w:t>
            </w:r>
          </w:p>
        </w:tc>
        <w:tc>
          <w:tcPr>
            <w:tcW w:w="3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Chief Financial Officer</w:t>
            </w:r>
          </w:p>
        </w:tc>
        <w:tc>
          <w:tcPr>
            <w:tcW w:w="13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8"/>
              </w:rPr>
              <w:t>September 9, 2009</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gridSpan w:val="2"/>
          </w:tcPr>
          <w:p>
            <w:pPr>
              <w:spacing w:after="0" w:line="20" w:lineRule="exact"/>
              <w:rPr>
                <w:sz w:val="1"/>
                <w:szCs w:val="1"/>
                <w:color w:val="auto"/>
              </w:rPr>
            </w:pP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(Principal Financial Officer and Principal</w:t>
            </w: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50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color w:val="auto"/>
              </w:rPr>
              <w:t>Daniel E. Bachus</w:t>
            </w:r>
          </w:p>
        </w:tc>
        <w:tc>
          <w:tcPr>
            <w:tcW w:w="38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Accounting Officer)</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Christopher C. Richardson</w:t>
            </w:r>
          </w:p>
        </w:tc>
        <w:tc>
          <w:tcPr>
            <w:tcW w:w="384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General Counsel and Director</w:t>
            </w:r>
          </w:p>
        </w:tc>
        <w:tc>
          <w:tcPr>
            <w:tcW w:w="13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8"/>
              </w:rPr>
              <w:t>September 9, 2009</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Christopher C. Richardson</w:t>
            </w:r>
          </w:p>
        </w:tc>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3780" w:type="dxa"/>
            <w:vAlign w:val="bottom"/>
            <w:tcBorders>
              <w:bottom w:val="single" w:sz="8" w:color="auto"/>
            </w:tcBorders>
          </w:tcPr>
          <w:p>
            <w:pPr>
              <w:spacing w:after="0"/>
              <w:rPr>
                <w:sz w:val="22"/>
                <w:szCs w:val="22"/>
                <w:color w:val="auto"/>
              </w:rPr>
            </w:pPr>
          </w:p>
        </w:tc>
        <w:tc>
          <w:tcPr>
            <w:tcW w:w="384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Director</w:t>
            </w:r>
          </w:p>
        </w:tc>
        <w:tc>
          <w:tcPr>
            <w:tcW w:w="13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8"/>
              </w:rPr>
              <w:t>September 9, 2009</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David J. Johnson</w:t>
            </w:r>
          </w:p>
        </w:tc>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3780" w:type="dxa"/>
            <w:vAlign w:val="bottom"/>
            <w:tcBorders>
              <w:bottom w:val="single" w:sz="8" w:color="auto"/>
            </w:tcBorders>
          </w:tcPr>
          <w:p>
            <w:pPr>
              <w:spacing w:after="0"/>
              <w:rPr>
                <w:sz w:val="22"/>
                <w:szCs w:val="22"/>
                <w:color w:val="auto"/>
              </w:rPr>
            </w:pPr>
          </w:p>
        </w:tc>
        <w:tc>
          <w:tcPr>
            <w:tcW w:w="384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Director</w:t>
            </w:r>
          </w:p>
        </w:tc>
        <w:tc>
          <w:tcPr>
            <w:tcW w:w="13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8"/>
              </w:rPr>
              <w:t>September 9, 2009</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Jack A. Henry</w:t>
            </w:r>
          </w:p>
        </w:tc>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3780" w:type="dxa"/>
            <w:vAlign w:val="bottom"/>
            <w:tcBorders>
              <w:bottom w:val="single" w:sz="8" w:color="auto"/>
            </w:tcBorders>
          </w:tcPr>
          <w:p>
            <w:pPr>
              <w:spacing w:after="0"/>
              <w:rPr>
                <w:sz w:val="22"/>
                <w:szCs w:val="22"/>
                <w:color w:val="auto"/>
              </w:rPr>
            </w:pPr>
          </w:p>
        </w:tc>
        <w:tc>
          <w:tcPr>
            <w:tcW w:w="384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Director</w:t>
            </w:r>
          </w:p>
        </w:tc>
        <w:tc>
          <w:tcPr>
            <w:tcW w:w="13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8"/>
              </w:rPr>
              <w:t>September 9, 2009</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Mark Dorman</w:t>
            </w:r>
          </w:p>
        </w:tc>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3780" w:type="dxa"/>
            <w:vAlign w:val="bottom"/>
            <w:tcBorders>
              <w:bottom w:val="single" w:sz="8" w:color="auto"/>
            </w:tcBorders>
          </w:tcPr>
          <w:p>
            <w:pPr>
              <w:spacing w:after="0"/>
              <w:rPr>
                <w:sz w:val="22"/>
                <w:szCs w:val="22"/>
                <w:color w:val="auto"/>
              </w:rPr>
            </w:pPr>
          </w:p>
        </w:tc>
        <w:tc>
          <w:tcPr>
            <w:tcW w:w="384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rPr>
              <w:t>Director</w:t>
            </w:r>
          </w:p>
        </w:tc>
        <w:tc>
          <w:tcPr>
            <w:tcW w:w="13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8"/>
              </w:rPr>
              <w:t>September 9, 2009</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Chad N. Heath</w:t>
            </w:r>
          </w:p>
        </w:tc>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Christopher C. Richardson</w:t>
            </w:r>
          </w:p>
        </w:tc>
        <w:tc>
          <w:tcPr>
            <w:tcW w:w="3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37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Christopher C. Richardson</w:t>
            </w:r>
          </w:p>
        </w:tc>
        <w:tc>
          <w:tcPr>
            <w:tcW w:w="3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Attorney-in-fact</w:t>
            </w:r>
          </w:p>
        </w:tc>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-2795905</wp:posOffset>
            </wp:positionV>
            <wp:extent cx="2476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-2795905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24" w:right="10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EXHIBIT INDEX</w:t>
      </w:r>
    </w:p>
    <w:p>
      <w:pPr>
        <w:sectPr>
          <w:pgSz w:w="11900" w:h="16838" w:orient="portrait"/>
          <w:cols w:equalWidth="0" w:num="1">
            <w:col w:w="9960"/>
          </w:cols>
          <w:pgMar w:left="900" w:top="744" w:right="1039" w:bottom="1440" w:gutter="0" w:footer="0" w:header="0"/>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6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360" w:type="dxa"/>
            <w:vAlign w:val="bottom"/>
          </w:tcPr>
          <w:p>
            <w:pPr>
              <w:ind w:left="2240"/>
              <w:spacing w:after="0"/>
              <w:rPr>
                <w:sz w:val="20"/>
                <w:szCs w:val="20"/>
                <w:color w:val="auto"/>
              </w:rPr>
            </w:pPr>
            <w:r>
              <w:rPr>
                <w:rFonts w:ascii="Times New Roman" w:cs="Times New Roman" w:eastAsia="Times New Roman" w:hAnsi="Times New Roman"/>
                <w:sz w:val="10"/>
                <w:szCs w:val="10"/>
                <w:b w:val="1"/>
                <w:bCs w:val="1"/>
                <w:u w:val="single" w:color="auto"/>
                <w:color w:val="auto"/>
              </w:rPr>
              <w:t>D</w:t>
            </w:r>
            <w:r>
              <w:rPr>
                <w:rFonts w:ascii="Times New Roman" w:cs="Times New Roman" w:eastAsia="Times New Roman" w:hAnsi="Times New Roman"/>
                <w:sz w:val="10"/>
                <w:szCs w:val="10"/>
                <w:b w:val="1"/>
                <w:bCs w:val="1"/>
                <w:color w:val="auto"/>
              </w:rPr>
              <w:t>escription</w:t>
            </w:r>
          </w:p>
        </w:tc>
      </w:tr>
      <w:tr>
        <w:trPr>
          <w:trHeight w:val="19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1.1</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Form of Underwriting Agreement</w:t>
            </w:r>
          </w:p>
        </w:tc>
      </w:tr>
      <w:tr>
        <w:trPr>
          <w:trHeight w:val="17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3.1</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Amended and Restated Certificate of Incorporation</w:t>
            </w:r>
          </w:p>
        </w:tc>
      </w:tr>
      <w:tr>
        <w:trPr>
          <w:trHeight w:val="315"/>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Amended and Restated Bylaws</w:t>
            </w:r>
          </w:p>
        </w:tc>
      </w:tr>
      <w:tr>
        <w:trPr>
          <w:trHeight w:val="315"/>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Specimen of Stock Certificate</w:t>
            </w:r>
          </w:p>
        </w:tc>
      </w:tr>
      <w:tr>
        <w:trPr>
          <w:trHeight w:val="30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Amended and Restated Investor Rights Agreement, dated September 17, 2008, by</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and among Grand Canyon Education, Inc. and the other parties named therein</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5.1</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Opinion of DLA Piper LLP (US) regarding the validity of the common stock</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Amended and Restated Executive Employment Agreement, dated September 10,</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2008, by and between Grand Canyon Education, Inc. and Brent D. Richardson†</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Amended and Restated Executive Employment Agreement, dated September 10,</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2008, by and between Grand Canyon Education, Inc. and Christopher C.</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Richardson†</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Executive Employment Agreement, dated September 1, 2008, by and between</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Grand Canyon Education, Inc. and Kathy Player†</w:t>
            </w:r>
          </w:p>
        </w:tc>
      </w:tr>
      <w:tr>
        <w:trPr>
          <w:trHeight w:val="17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2008 Equity Incentive Plan†</w:t>
            </w:r>
          </w:p>
        </w:tc>
      </w:tr>
      <w:tr>
        <w:trPr>
          <w:trHeight w:val="315"/>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2008 Employee Stock Purchase Plan†</w:t>
            </w:r>
          </w:p>
        </w:tc>
      </w:tr>
      <w:tr>
        <w:trPr>
          <w:trHeight w:val="30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Lease Agreement, effective June 28, 2004, by and between Spirit Finance</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Acquisitions, LLC and Significant Education, LLC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First Amendment to Lease Agreement, effective September 24, 2004, by and</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between Spirit Finance Acquisitions, LLC and Significant Education, LLC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Second Amendment to Lease Agreement, effective August 23, 2005, by and</w:t>
            </w:r>
          </w:p>
        </w:tc>
      </w:tr>
      <w:tr>
        <w:trPr>
          <w:trHeight w:val="171"/>
        </w:trPr>
        <w:tc>
          <w:tcPr>
            <w:tcW w:w="8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between Spirit Master Funding, LLC and Significant Education,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-2727325</wp:posOffset>
            </wp:positionV>
            <wp:extent cx="635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96520</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13970</wp:posOffset>
            </wp:positionV>
            <wp:extent cx="2476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1"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3"/>
          <w:szCs w:val="13"/>
          <w:color w:val="auto"/>
        </w:rPr>
        <w:t>Incorporated by reference to Exhibit 3.1 to Amendment No. 6 to the Company’s Registration Statement on Form S-1 filed with the SEC on November 12, 2008. Incorporated by reference to Exhibit 3.2 to Amendment No. 6 to the Company’s Registration Statement on Form S-1 filed with the SEC on November 12, 2008. Incorporated by reference to Exhibit 4.1 to Amendment No. 2 to the Company’s Registration Statement on Form S-1 filed with the SEC on September 29, 2008. Incorporated by reference to Exhibit 4.2 to Amendment No. 2 to the Company’s Registration Statement on Form S-1 filed with the SEC on September 29, 2008. *</w:t>
      </w:r>
    </w:p>
    <w:p>
      <w:pPr>
        <w:spacing w:after="0" w:line="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3"/>
          <w:szCs w:val="13"/>
          <w:color w:val="auto"/>
        </w:rPr>
        <w:t>Incorporated by reference to Exhibit 10.1 to Amendment No. 2 to the Company’s Registration Statement on Form S-1 filed with the SEC on September 29, 2008. Incorporated by reference to Exhibit 10.2 to Amendment No. 2 to the Company’s Registration Statement on Form S-1 filed with the SEC on September 29, 2008.</w:t>
      </w:r>
    </w:p>
    <w:p>
      <w:pPr>
        <w:spacing w:after="0" w:line="135"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3"/>
          <w:szCs w:val="13"/>
          <w:color w:val="auto"/>
        </w:rPr>
        <w:t>Incorporated by reference to Exhibit 10.1 to the Company’s Current Report on Form 8-K filed with the SEC on March 25, 2009.</w:t>
      </w:r>
    </w:p>
    <w:p>
      <w:pPr>
        <w:spacing w:after="0" w:line="252" w:lineRule="auto"/>
        <w:rPr>
          <w:sz w:val="20"/>
          <w:szCs w:val="20"/>
          <w:color w:val="auto"/>
        </w:rPr>
      </w:pPr>
      <w:r>
        <w:rPr>
          <w:rFonts w:ascii="Times New Roman" w:cs="Times New Roman" w:eastAsia="Times New Roman" w:hAnsi="Times New Roman"/>
          <w:sz w:val="13"/>
          <w:szCs w:val="13"/>
          <w:color w:val="auto"/>
        </w:rPr>
        <w:t>Incorporated by reference to Exhibit 10.4 to Amendment No. 2 to the Company’s Registration Statement on Form S-1 filed with the SEC on September 29, 2008. Incorporated by reference to Exhibit 10.5 to Amendment No. 2 to the Company’s Registration Statement on Form S-1 filed with the SEC on September 29, 2008. Incorporated by reference to Exhibit 10.7 to the Company’s Registration Statement on Form S-1 filed with the SEC on May 13, 2008.</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3"/>
          <w:szCs w:val="13"/>
          <w:color w:val="auto"/>
        </w:rPr>
        <w:t>Incorporated by reference to Exhibit 10.8 to the Company’s Registration Statement on Form S-1 filed with the SEC on May 13, 2008.</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Incorporated by reference to Exhibit 10.9 to the Company’s Registration Statement on Form S-1 filed with the SEC on May 13, 2008.</w:t>
      </w:r>
    </w:p>
    <w:p>
      <w:pPr>
        <w:sectPr>
          <w:pgSz w:w="11900" w:h="16838" w:orient="portrait"/>
          <w:cols w:equalWidth="0" w:num="2">
            <w:col w:w="5220" w:space="380"/>
            <w:col w:w="4360"/>
          </w:cols>
          <w:pgMar w:left="900" w:top="744" w:right="10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39"/>
        </w:trPr>
        <w:tc>
          <w:tcPr>
            <w:tcW w:w="86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420" w:type="dxa"/>
            <w:vAlign w:val="bottom"/>
          </w:tcPr>
          <w:p>
            <w:pPr>
              <w:ind w:left="2240"/>
              <w:spacing w:after="0"/>
              <w:rPr>
                <w:sz w:val="20"/>
                <w:szCs w:val="20"/>
                <w:color w:val="auto"/>
              </w:rPr>
            </w:pPr>
            <w:r>
              <w:rPr>
                <w:rFonts w:ascii="Times New Roman" w:cs="Times New Roman" w:eastAsia="Times New Roman" w:hAnsi="Times New Roman"/>
                <w:sz w:val="10"/>
                <w:szCs w:val="10"/>
                <w:b w:val="1"/>
                <w:bCs w:val="1"/>
                <w:u w:val="single" w:color="auto"/>
                <w:color w:val="auto"/>
              </w:rPr>
              <w:t>D</w:t>
            </w:r>
            <w:r>
              <w:rPr>
                <w:rFonts w:ascii="Times New Roman" w:cs="Times New Roman" w:eastAsia="Times New Roman" w:hAnsi="Times New Roman"/>
                <w:sz w:val="10"/>
                <w:szCs w:val="10"/>
                <w:b w:val="1"/>
                <w:bCs w:val="1"/>
                <w:color w:val="auto"/>
              </w:rPr>
              <w:t>escription</w:t>
            </w:r>
          </w:p>
        </w:tc>
      </w:tr>
      <w:tr>
        <w:trPr>
          <w:trHeight w:val="19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Third Amendment to Lease Agreement, effective June 2006, by and between Spirit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Master Funding, LLC and Significant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10.10</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Fourth Amendment to Lease Agreement, effective August 9, 2006, by and between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Spirit Master Funding, LLC and Significant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Fifth Amendment to Lease Agreement, effective December 31, 2006,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Sixth Amendment to Lease Agreement, effective September 30, 2007,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Seventh Amendment to Lease Agreement, effective March 28, 2008,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License Agreement, dated June 30, 2004, by and between Blanchard Education,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LLC and Significant Education, LLC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Letter Agreement, dated February 6, 2006, by and between The Ken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Companies and Grand Canyon University</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Amendment to License Agreement, dated May 8, 2008, by and between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Education, LLC and Grand Canyon Education, Inc.</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Collaboration Agreement, dated July 11, 2005, by and between Mind Streams,</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LLC and Significant Education, LLC (as supplemented by Project One and Project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Two)</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10.18</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Canyon Education, Inc. and Daniel E. Bachus†</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10.19</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Canyon Education, Inc. and Brian E. Mueller†</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10.20</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Canyon Education, Inc. and W. Stan Meyer†</w:t>
            </w:r>
          </w:p>
        </w:tc>
      </w:tr>
      <w:tr>
        <w:trPr>
          <w:trHeight w:val="17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Form of Director and Officer Indemnity Agreement</w:t>
            </w:r>
          </w:p>
        </w:tc>
      </w:tr>
      <w:tr>
        <w:trPr>
          <w:trHeight w:val="30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10.22</w:t>
            </w: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Purchase and Sale Agreement, dated April 27, 2009, by and among Grand Canyon</w:t>
            </w:r>
          </w:p>
        </w:tc>
      </w:tr>
      <w:tr>
        <w:trPr>
          <w:trHeight w:val="171"/>
        </w:trPr>
        <w:tc>
          <w:tcPr>
            <w:tcW w:w="860" w:type="dxa"/>
            <w:vAlign w:val="bottom"/>
          </w:tcPr>
          <w:p>
            <w:pPr>
              <w:spacing w:after="0"/>
              <w:rPr>
                <w:sz w:val="14"/>
                <w:szCs w:val="14"/>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Education, Inc., Spirit Master Funding, LLC, and Spirit Management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-2927350</wp:posOffset>
            </wp:positionV>
            <wp:extent cx="635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96520</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80"/>
        <w:spacing w:after="0"/>
        <w:rPr>
          <w:sz w:val="20"/>
          <w:szCs w:val="20"/>
          <w:color w:val="auto"/>
        </w:rPr>
      </w:pPr>
      <w:r>
        <w:rPr>
          <w:rFonts w:ascii="Times New Roman" w:cs="Times New Roman" w:eastAsia="Times New Roman" w:hAnsi="Times New Roman"/>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13970</wp:posOffset>
            </wp:positionV>
            <wp:extent cx="2476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38" w:lineRule="exact"/>
        <w:rPr>
          <w:sz w:val="20"/>
          <w:szCs w:val="20"/>
          <w:color w:val="auto"/>
        </w:rPr>
      </w:pPr>
    </w:p>
    <w:p>
      <w:pPr>
        <w:ind w:right="480"/>
        <w:spacing w:after="0" w:line="253" w:lineRule="auto"/>
        <w:rPr>
          <w:sz w:val="20"/>
          <w:szCs w:val="20"/>
          <w:color w:val="auto"/>
        </w:rPr>
      </w:pPr>
      <w:r>
        <w:rPr>
          <w:rFonts w:ascii="Times New Roman" w:cs="Times New Roman" w:eastAsia="Times New Roman" w:hAnsi="Times New Roman"/>
          <w:sz w:val="13"/>
          <w:szCs w:val="13"/>
          <w:color w:val="auto"/>
        </w:rPr>
        <w:t>Incorporated by reference to Exhibit 10.10 to the Company’s Registration Statement on Form S-1 filed with the SEC on May 13, 2008. Incorporated by reference to Exhibit 10.11 to the Company’s Registration Statement on Form S-1 filed with the SEC on May 13, 2008. Incorporated by reference to Exhibit 10.12 to the Company’s Registration Statement on Form S-1 filed with the SEC on May 13, 2008. Incorporated by reference to Exhibit 10.13 to the Company’s Registration Statement on Form S-1 filed with the SEC on May 13, 2008. Incorporated by reference to Exhibit 10.14 to the Company’s Registration Statement on Form S-1 filed with the SEC on May 13, 2008. Incorporated by reference to Exhibit 10.15 to the Company’s Registration Statement on Form S-1 filed with the SEC on May 13, 2008. Incorporated by reference to Exhibit 10.16 to the Company’s Registration Statement on Form S-1 filed with the SEC on May 13, 2008. Incorporated by reference to Exhibit 10.17 to the Company’s Registration Statement on Form S-1 filed with the SEC on May 13, 2008.</w:t>
      </w:r>
    </w:p>
    <w:p>
      <w:pPr>
        <w:spacing w:after="0" w:line="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Incorporated by reference to Exhibit 10.18 to Amendment No. 1 to the Company’s Registration Statement on Form S-1 filed with the SEC on August 13, 2008.</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Incorporated by reference to Exhibit 10.19 to Amendment No. 1 to the Company’s Registration Statement on Form S-1 filed with the SEC on August 13, 2008. Incorporated by reference to Exhibit 10.20 to Amendment No. 1 to the Company’s Registration Statement on Form S-1 filed with the SEC on August 13, 2008. Incorporated by reference to Exhibit 10.21 to Amendment No. 1 to the Company’s Registration Statement on Form S-1 filed with the SEC on August 13, 2008. Incorporated by reference to Exhibit 10.21 to Amendment No. 2 to the Company’s Registration Statement on Form S-1 filed with the SEC on September 29, 2008. Incorporated by reference to Exhibit 10.1 to the Company’s Quarterly Report on Form 10-Q filed with the SEC on August 3, 2009.</w:t>
      </w:r>
    </w:p>
    <w:p>
      <w:pPr>
        <w:sectPr>
          <w:pgSz w:w="11900" w:h="16838" w:orient="portrait"/>
          <w:cols w:equalWidth="0" w:num="2">
            <w:col w:w="5280" w:space="320"/>
            <w:col w:w="4340"/>
          </w:cols>
          <w:pgMar w:left="900" w:top="720" w:right="10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39"/>
        </w:trPr>
        <w:tc>
          <w:tcPr>
            <w:tcW w:w="86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560" w:type="dxa"/>
            <w:vAlign w:val="bottom"/>
          </w:tcPr>
          <w:p>
            <w:pPr>
              <w:ind w:left="2240"/>
              <w:spacing w:after="0"/>
              <w:rPr>
                <w:sz w:val="20"/>
                <w:szCs w:val="20"/>
                <w:color w:val="auto"/>
              </w:rPr>
            </w:pPr>
            <w:r>
              <w:rPr>
                <w:rFonts w:ascii="Times New Roman" w:cs="Times New Roman" w:eastAsia="Times New Roman" w:hAnsi="Times New Roman"/>
                <w:sz w:val="10"/>
                <w:szCs w:val="10"/>
                <w:b w:val="1"/>
                <w:bCs w:val="1"/>
                <w:u w:val="single" w:color="auto"/>
                <w:color w:val="auto"/>
              </w:rPr>
              <w:t>D</w:t>
            </w:r>
            <w:r>
              <w:rPr>
                <w:rFonts w:ascii="Times New Roman" w:cs="Times New Roman" w:eastAsia="Times New Roman" w:hAnsi="Times New Roman"/>
                <w:sz w:val="10"/>
                <w:szCs w:val="10"/>
                <w:b w:val="1"/>
                <w:bCs w:val="1"/>
                <w:color w:val="auto"/>
              </w:rPr>
              <w:t>escription</w:t>
            </w:r>
          </w:p>
        </w:tc>
        <w:tc>
          <w:tcPr>
            <w:tcW w:w="4400" w:type="dxa"/>
            <w:vAlign w:val="bottom"/>
          </w:tcPr>
          <w:p>
            <w:pPr>
              <w:ind w:left="2360"/>
              <w:spacing w:after="0"/>
              <w:rPr>
                <w:sz w:val="20"/>
                <w:szCs w:val="20"/>
                <w:color w:val="auto"/>
              </w:rPr>
            </w:pPr>
            <w:r>
              <w:rPr>
                <w:rFonts w:ascii="Times New Roman" w:cs="Times New Roman" w:eastAsia="Times New Roman" w:hAnsi="Times New Roman"/>
                <w:sz w:val="10"/>
                <w:szCs w:val="10"/>
                <w:b w:val="1"/>
                <w:bCs w:val="1"/>
                <w:color w:val="auto"/>
              </w:rPr>
              <w:t>Method of Filing</w:t>
            </w:r>
          </w:p>
        </w:tc>
      </w:tr>
      <w:tr>
        <w:trPr>
          <w:trHeight w:val="19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10.23</w:t>
            </w:r>
          </w:p>
        </w:tc>
        <w:tc>
          <w:tcPr>
            <w:tcW w:w="4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Loan Agreement, dated April 27, 2009, by and between Grand Canyon Education,</w:t>
            </w:r>
          </w:p>
        </w:tc>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Incorporated by reference to Exhibit 10.2 to the Company’s Quarterly Report on</w:t>
            </w:r>
          </w:p>
        </w:tc>
      </w:tr>
      <w:tr>
        <w:trPr>
          <w:trHeight w:val="157"/>
        </w:trPr>
        <w:tc>
          <w:tcPr>
            <w:tcW w:w="860" w:type="dxa"/>
            <w:vAlign w:val="bottom"/>
          </w:tcPr>
          <w:p>
            <w:pPr>
              <w:spacing w:after="0"/>
              <w:rPr>
                <w:sz w:val="13"/>
                <w:szCs w:val="13"/>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 and Bank of America, N.A.</w:t>
            </w:r>
          </w:p>
        </w:tc>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10-Q filed with the SEC on August 3, 2009.</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4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Consent of Independent Registered Public Accounting Firm</w:t>
            </w:r>
          </w:p>
        </w:tc>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23.2</w:t>
            </w:r>
          </w:p>
        </w:tc>
        <w:tc>
          <w:tcPr>
            <w:tcW w:w="4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Consent of DLA Piper LLP (US)</w:t>
            </w:r>
          </w:p>
        </w:tc>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24.1</w:t>
            </w:r>
          </w:p>
        </w:tc>
        <w:tc>
          <w:tcPr>
            <w:tcW w:w="4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Power of Attorney</w:t>
            </w:r>
          </w:p>
        </w:tc>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-530225</wp:posOffset>
            </wp:positionV>
            <wp:extent cx="635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-530225</wp:posOffset>
            </wp:positionV>
            <wp:extent cx="2476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62230</wp:posOffset>
            </wp:positionV>
            <wp:extent cx="82359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220" w:hanging="213"/>
        <w:spacing w:after="0"/>
        <w:tabs>
          <w:tab w:leader="none" w:pos="2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filed.</w:t>
      </w:r>
    </w:p>
    <w:p>
      <w:pPr>
        <w:spacing w:after="0" w:line="47" w:lineRule="exact"/>
        <w:rPr>
          <w:sz w:val="20"/>
          <w:szCs w:val="20"/>
          <w:color w:val="auto"/>
        </w:rPr>
      </w:pPr>
    </w:p>
    <w:p>
      <w:pPr>
        <w:ind w:left="220" w:hanging="213"/>
        <w:spacing w:after="0"/>
        <w:tabs>
          <w:tab w:leader="none" w:pos="2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a management contract or any compensatory plan, contract or arrangement.</w:t>
      </w:r>
    </w:p>
    <w:p>
      <w:pPr>
        <w:sectPr>
          <w:pgSz w:w="11900" w:h="16838" w:orient="portrait"/>
          <w:cols w:equalWidth="0" w:num="1">
            <w:col w:w="9820"/>
          </w:cols>
          <w:pgMar w:left="900" w:top="720" w:right="11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3"/>
          <w:szCs w:val="13"/>
          <w:b w:val="1"/>
          <w:bCs w:val="1"/>
          <w:color w:val="auto"/>
        </w:rPr>
        <w:t>Exhibit 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6,000,000 Shares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GRAND CANYON EDUCATION,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UNDERWRITING AGREEMENT</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September [__], 2009</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8"/>
          <w:szCs w:val="8"/>
          <w:color w:val="auto"/>
        </w:rPr>
        <w:t>REDIT</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UISSE</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ECURITIES</w:t>
      </w:r>
      <w:r>
        <w:rPr>
          <w:rFonts w:ascii="Times New Roman" w:cs="Times New Roman" w:eastAsia="Times New Roman" w:hAnsi="Times New Roman"/>
          <w:sz w:val="13"/>
          <w:szCs w:val="13"/>
          <w:color w:val="auto"/>
        </w:rPr>
        <w:t xml:space="preserve"> (USA)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Eleven Madison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N.Y. 10010-3629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8"/>
          <w:szCs w:val="8"/>
          <w:color w:val="auto"/>
        </w:rPr>
        <w:t>ERRILL</w:t>
      </w:r>
      <w:r>
        <w:rPr>
          <w:rFonts w:ascii="Times New Roman" w:cs="Times New Roman" w:eastAsia="Times New Roman" w:hAnsi="Times New Roman"/>
          <w:sz w:val="13"/>
          <w:szCs w:val="13"/>
          <w:color w:val="auto"/>
        </w:rPr>
        <w:t xml:space="preserve"> L</w:t>
      </w:r>
      <w:r>
        <w:rPr>
          <w:rFonts w:ascii="Times New Roman" w:cs="Times New Roman" w:eastAsia="Times New Roman" w:hAnsi="Times New Roman"/>
          <w:sz w:val="8"/>
          <w:szCs w:val="8"/>
          <w:color w:val="auto"/>
        </w:rPr>
        <w:t>YNCH</w:t>
      </w:r>
      <w:r>
        <w:rPr>
          <w:rFonts w:ascii="Times New Roman" w:cs="Times New Roman" w:eastAsia="Times New Roman" w:hAnsi="Times New Roman"/>
          <w:sz w:val="13"/>
          <w:szCs w:val="13"/>
          <w:color w:val="auto"/>
        </w:rPr>
        <w:t>, P</w:t>
      </w:r>
      <w:r>
        <w:rPr>
          <w:rFonts w:ascii="Times New Roman" w:cs="Times New Roman" w:eastAsia="Times New Roman" w:hAnsi="Times New Roman"/>
          <w:sz w:val="8"/>
          <w:szCs w:val="8"/>
          <w:color w:val="auto"/>
        </w:rPr>
        <w:t>IERCE</w:t>
      </w:r>
      <w:r>
        <w:rPr>
          <w:rFonts w:ascii="Times New Roman" w:cs="Times New Roman" w:eastAsia="Times New Roman" w:hAnsi="Times New Roman"/>
          <w:sz w:val="13"/>
          <w:szCs w:val="13"/>
          <w:color w:val="auto"/>
        </w:rPr>
        <w:t>, F</w:t>
      </w:r>
      <w:r>
        <w:rPr>
          <w:rFonts w:ascii="Times New Roman" w:cs="Times New Roman" w:eastAsia="Times New Roman" w:hAnsi="Times New Roman"/>
          <w:sz w:val="8"/>
          <w:szCs w:val="8"/>
          <w:color w:val="auto"/>
        </w:rPr>
        <w:t>ENNER</w:t>
      </w:r>
      <w:r>
        <w:rPr>
          <w:rFonts w:ascii="Times New Roman" w:cs="Times New Roman" w:eastAsia="Times New Roman" w:hAnsi="Times New Roman"/>
          <w:sz w:val="13"/>
          <w:szCs w:val="13"/>
          <w:color w:val="auto"/>
        </w:rPr>
        <w:t xml:space="preserve"> &amp; S</w:t>
      </w:r>
      <w:r>
        <w:rPr>
          <w:rFonts w:ascii="Times New Roman" w:cs="Times New Roman" w:eastAsia="Times New Roman" w:hAnsi="Times New Roman"/>
          <w:sz w:val="8"/>
          <w:szCs w:val="8"/>
          <w:color w:val="auto"/>
        </w:rPr>
        <w:t>MITH</w:t>
      </w:r>
      <w:r>
        <w:rPr>
          <w:rFonts w:ascii="Times New Roman" w:cs="Times New Roman" w:eastAsia="Times New Roman" w:hAnsi="Times New Roman"/>
          <w:sz w:val="13"/>
          <w:szCs w:val="13"/>
          <w:color w:val="auto"/>
        </w:rPr>
        <w:t xml:space="preserve"> I</w:t>
      </w:r>
      <w:r>
        <w:rPr>
          <w:rFonts w:ascii="Times New Roman" w:cs="Times New Roman" w:eastAsia="Times New Roman" w:hAnsi="Times New Roman"/>
          <w:sz w:val="8"/>
          <w:szCs w:val="8"/>
          <w:color w:val="auto"/>
        </w:rPr>
        <w:t>NCORPORATED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One Bryant Park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N.Y. 10036</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As Representatives of the Several Underwriters (the “</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Sirs and Mesdames:</w:t>
      </w:r>
    </w:p>
    <w:p>
      <w:pPr>
        <w:spacing w:after="0" w:line="84" w:lineRule="exact"/>
        <w:rPr>
          <w:sz w:val="20"/>
          <w:szCs w:val="20"/>
          <w:color w:val="auto"/>
        </w:rPr>
      </w:pPr>
    </w:p>
    <w:p>
      <w:pPr>
        <w:ind w:firstLine="162"/>
        <w:spacing w:after="0" w:line="261" w:lineRule="auto"/>
        <w:tabs>
          <w:tab w:leader="none" w:pos="295"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Introductory</w:t>
      </w:r>
      <w:r>
        <w:rPr>
          <w:rFonts w:ascii="Times New Roman" w:cs="Times New Roman" w:eastAsia="Times New Roman" w:hAnsi="Times New Roman"/>
          <w:sz w:val="13"/>
          <w:szCs w:val="13"/>
          <w:color w:val="auto"/>
        </w:rPr>
        <w:t>. Grand Canyon Education, Inc., a Delaware corporation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agrees with the several Underwriters named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hereto (“</w:t>
      </w:r>
      <w:r>
        <w:rPr>
          <w:rFonts w:ascii="Times New Roman" w:cs="Times New Roman" w:eastAsia="Times New Roman" w:hAnsi="Times New Roman"/>
          <w:sz w:val="13"/>
          <w:szCs w:val="13"/>
          <w:b w:val="1"/>
          <w:bCs w:val="1"/>
          <w:color w:val="auto"/>
        </w:rPr>
        <w:t>Underwriters</w:t>
      </w:r>
      <w:r>
        <w:rPr>
          <w:rFonts w:ascii="Times New Roman" w:cs="Times New Roman" w:eastAsia="Times New Roman" w:hAnsi="Times New Roman"/>
          <w:sz w:val="13"/>
          <w:szCs w:val="13"/>
          <w:color w:val="auto"/>
        </w:rPr>
        <w:t>”) to issue and sell to the several Underwriters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1,000,000 shares of its Common Stock, $0.01 par value per share (“</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 xml:space="preserve">”) and the stockholders listed in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color w:val="auto"/>
        </w:rPr>
        <w:t>Selling Stockholders</w:t>
      </w:r>
      <w:r>
        <w:rPr>
          <w:rFonts w:ascii="Times New Roman" w:cs="Times New Roman" w:eastAsia="Times New Roman" w:hAnsi="Times New Roman"/>
          <w:sz w:val="13"/>
          <w:szCs w:val="13"/>
          <w:color w:val="auto"/>
        </w:rPr>
        <w:t>”) agree severally with the Underwriters to sell to the several Underwriters an aggregate of 5,000,000 outstanding shares of the Securities (such 6,000,000 shares of Securities being hereinafter referred to as the “</w:t>
      </w:r>
      <w:r>
        <w:rPr>
          <w:rFonts w:ascii="Times New Roman" w:cs="Times New Roman" w:eastAsia="Times New Roman" w:hAnsi="Times New Roman"/>
          <w:sz w:val="13"/>
          <w:szCs w:val="13"/>
          <w:b w:val="1"/>
          <w:bCs w:val="1"/>
          <w:color w:val="auto"/>
        </w:rPr>
        <w:t>Firm Securities</w:t>
      </w:r>
      <w:r>
        <w:rPr>
          <w:rFonts w:ascii="Times New Roman" w:cs="Times New Roman" w:eastAsia="Times New Roman" w:hAnsi="Times New Roman"/>
          <w:sz w:val="13"/>
          <w:szCs w:val="13"/>
          <w:color w:val="auto"/>
        </w:rPr>
        <w:t>”). The Selling Stockholders also agree with the Underwriters to sell to the Underwriters, at the option of the Underwriters, an aggregate of not more than 900,000 additional outstanding shares of the Securities (such 900,000 shares of Securities being herein referred to as the “</w:t>
      </w:r>
      <w:r>
        <w:rPr>
          <w:rFonts w:ascii="Times New Roman" w:cs="Times New Roman" w:eastAsia="Times New Roman" w:hAnsi="Times New Roman"/>
          <w:sz w:val="13"/>
          <w:szCs w:val="13"/>
          <w:b w:val="1"/>
          <w:bCs w:val="1"/>
          <w:color w:val="auto"/>
        </w:rPr>
        <w:t>Optional Securities</w:t>
      </w:r>
      <w:r>
        <w:rPr>
          <w:rFonts w:ascii="Times New Roman" w:cs="Times New Roman" w:eastAsia="Times New Roman" w:hAnsi="Times New Roman"/>
          <w:sz w:val="13"/>
          <w:szCs w:val="13"/>
          <w:color w:val="auto"/>
        </w:rPr>
        <w:t>”), as set forth below. The Firm Securities and the Optional Securities are herein collectively called the “</w:t>
      </w:r>
      <w:r>
        <w:rPr>
          <w:rFonts w:ascii="Times New Roman" w:cs="Times New Roman" w:eastAsia="Times New Roman" w:hAnsi="Times New Roman"/>
          <w:sz w:val="13"/>
          <w:szCs w:val="13"/>
          <w:b w:val="1"/>
          <w:bCs w:val="1"/>
          <w:color w:val="auto"/>
        </w:rPr>
        <w:t>Offered Securities</w:t>
      </w:r>
      <w:r>
        <w:rPr>
          <w:rFonts w:ascii="Times New Roman" w:cs="Times New Roman" w:eastAsia="Times New Roman" w:hAnsi="Times New Roman"/>
          <w:sz w:val="13"/>
          <w:szCs w:val="13"/>
          <w:color w:val="auto"/>
        </w:rPr>
        <w:t>”.</w:t>
      </w:r>
    </w:p>
    <w:p>
      <w:pPr>
        <w:spacing w:after="0" w:line="52" w:lineRule="exact"/>
        <w:rPr>
          <w:rFonts w:ascii="Times New Roman" w:cs="Times New Roman" w:eastAsia="Times New Roman" w:hAnsi="Times New Roman"/>
          <w:sz w:val="13"/>
          <w:szCs w:val="13"/>
          <w:color w:val="auto"/>
        </w:rPr>
      </w:pPr>
    </w:p>
    <w:p>
      <w:pPr>
        <w:ind w:left="300" w:hanging="138"/>
        <w:spacing w:after="0"/>
        <w:tabs>
          <w:tab w:leader="none" w:pos="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Representations and Warranties of the Company and the Selling Stockholders.</w:t>
      </w:r>
    </w:p>
    <w:p>
      <w:pPr>
        <w:spacing w:after="0" w:line="88" w:lineRule="exact"/>
        <w:rPr>
          <w:rFonts w:ascii="Times New Roman" w:cs="Times New Roman" w:eastAsia="Times New Roman" w:hAnsi="Times New Roman"/>
          <w:sz w:val="13"/>
          <w:szCs w:val="13"/>
          <w:color w:val="auto"/>
        </w:rPr>
      </w:pPr>
    </w:p>
    <w:p>
      <w:pPr>
        <w:ind w:left="640" w:hanging="183"/>
        <w:spacing w:after="0"/>
        <w:tabs>
          <w:tab w:leader="none" w:pos="64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represents and warrants to, and agrees with, the several Underwriters that as of the date hereof, as of the Applicable Time (as defined below) and as of each Closing Date (as defined below):</w:t>
      </w:r>
    </w:p>
    <w:p>
      <w:pPr>
        <w:spacing w:after="0" w:line="86" w:lineRule="exact"/>
        <w:rPr>
          <w:sz w:val="20"/>
          <w:szCs w:val="20"/>
          <w:color w:val="auto"/>
        </w:rPr>
      </w:pPr>
    </w:p>
    <w:p>
      <w:pPr>
        <w:ind w:left="680" w:firstLine="7"/>
        <w:spacing w:after="0" w:line="259" w:lineRule="auto"/>
        <w:tabs>
          <w:tab w:leader="none" w:pos="834"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filed with the Commission a registration statement on Form S-1 (No. 333-161571) covering the registration of the Offered Securities under the Act, including a related preliminary prospectus or prospectuses. At any particular time, this initial registration statement, in the form then on file with the Commission, including all material then incorporated by reference therein, all information contained in the registration statement (if any) pursuant to Rule 462(b) and then deemed to be a part of the initial registration statement, and all 430A Information, that in any case has not then been superseded or modified, shall be referred to as the “</w:t>
      </w:r>
      <w:r>
        <w:rPr>
          <w:rFonts w:ascii="Times New Roman" w:cs="Times New Roman" w:eastAsia="Times New Roman" w:hAnsi="Times New Roman"/>
          <w:sz w:val="13"/>
          <w:szCs w:val="13"/>
          <w:b w:val="1"/>
          <w:bCs w:val="1"/>
          <w:color w:val="auto"/>
        </w:rPr>
        <w:t>Initial Registration Statement</w:t>
      </w:r>
      <w:r>
        <w:rPr>
          <w:rFonts w:ascii="Times New Roman" w:cs="Times New Roman" w:eastAsia="Times New Roman" w:hAnsi="Times New Roman"/>
          <w:sz w:val="13"/>
          <w:szCs w:val="13"/>
          <w:color w:val="auto"/>
        </w:rPr>
        <w:t>”. The Company may also have filed, or may file with the Commission, a Rule 462(b) registration statement covering the registration of Offered Securities. At any particular time, this Rule 462(b) registration statement, in the form then on file with the Commission, including the contents of the Initial Registration Statement incorporated by reference therein and including all 430A Information, that in any case has not then been superseded or modified, shall be referred to as the “</w:t>
      </w:r>
      <w:r>
        <w:rPr>
          <w:rFonts w:ascii="Times New Roman" w:cs="Times New Roman" w:eastAsia="Times New Roman" w:hAnsi="Times New Roman"/>
          <w:sz w:val="13"/>
          <w:szCs w:val="13"/>
          <w:b w:val="1"/>
          <w:bCs w:val="1"/>
          <w:color w:val="auto"/>
        </w:rPr>
        <w:t>Additional Registration Statement</w:t>
      </w:r>
      <w:r>
        <w:rPr>
          <w:rFonts w:ascii="Times New Roman" w:cs="Times New Roman" w:eastAsia="Times New Roman" w:hAnsi="Times New Roman"/>
          <w:sz w:val="13"/>
          <w:szCs w:val="13"/>
          <w:color w:val="auto"/>
        </w:rPr>
        <w:t>”.</w:t>
      </w:r>
    </w:p>
    <w:p>
      <w:pPr>
        <w:spacing w:after="0" w:line="54" w:lineRule="exact"/>
        <w:rPr>
          <w:sz w:val="20"/>
          <w:szCs w:val="20"/>
          <w:color w:val="auto"/>
        </w:rPr>
      </w:pPr>
    </w:p>
    <w:p>
      <w:pPr>
        <w:jc w:val="center"/>
        <w:ind w:left="580" w:right="20"/>
        <w:spacing w:after="0" w:line="491" w:lineRule="auto"/>
        <w:rPr>
          <w:sz w:val="20"/>
          <w:szCs w:val="20"/>
          <w:color w:val="auto"/>
        </w:rPr>
      </w:pPr>
      <w:r>
        <w:rPr>
          <w:rFonts w:ascii="Times New Roman" w:cs="Times New Roman" w:eastAsia="Times New Roman" w:hAnsi="Times New Roman"/>
          <w:sz w:val="13"/>
          <w:szCs w:val="13"/>
          <w:color w:val="auto"/>
        </w:rPr>
        <w:t>As of the time of execution and delivery of this Agreement, the Initial Registration Statement has been declared effective under the Act and is not proposed to be amended. Any Additional Registration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 w:name="page12"/>
    <w:bookmarkEnd w:id="11"/>
    <w:p>
      <w:pPr>
        <w:ind w:right="60"/>
        <w:spacing w:after="0" w:line="286" w:lineRule="auto"/>
        <w:rPr>
          <w:sz w:val="20"/>
          <w:szCs w:val="20"/>
          <w:color w:val="auto"/>
        </w:rPr>
      </w:pPr>
      <w:r>
        <w:rPr>
          <w:rFonts w:ascii="Times New Roman" w:cs="Times New Roman" w:eastAsia="Times New Roman" w:hAnsi="Times New Roman"/>
          <w:sz w:val="13"/>
          <w:szCs w:val="13"/>
          <w:color w:val="auto"/>
        </w:rPr>
        <w:t>has or will become effective upon filing with the Commission pursuant to Rule 462(b) and is not proposed to be amended. The Offered Securities all have been or will be duly registered under the Act pursuant to the Initial Registration Statement and, if applicable, the Additional Registration Statement.</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For purposes of this Agreement:</w:t>
      </w:r>
    </w:p>
    <w:p>
      <w:pPr>
        <w:spacing w:after="0" w:line="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430A Information</w:t>
      </w:r>
      <w:r>
        <w:rPr>
          <w:rFonts w:ascii="Times New Roman" w:cs="Times New Roman" w:eastAsia="Times New Roman" w:hAnsi="Times New Roman"/>
          <w:sz w:val="13"/>
          <w:szCs w:val="13"/>
          <w:color w:val="auto"/>
        </w:rPr>
        <w:t>”, with respect to any registration statement, means information included in a prospectus and retroactively deemed to be a part of such registration statement pursuant to Rule 430A(b).</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Act</w:t>
      </w:r>
      <w:r>
        <w:rPr>
          <w:rFonts w:ascii="Times New Roman" w:cs="Times New Roman" w:eastAsia="Times New Roman" w:hAnsi="Times New Roman"/>
          <w:sz w:val="13"/>
          <w:szCs w:val="13"/>
          <w:color w:val="auto"/>
        </w:rPr>
        <w:t>” means the Securities Act of 1933, as amended.</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Applicable Time</w:t>
      </w:r>
      <w:r>
        <w:rPr>
          <w:rFonts w:ascii="Times New Roman" w:cs="Times New Roman" w:eastAsia="Times New Roman" w:hAnsi="Times New Roman"/>
          <w:sz w:val="13"/>
          <w:szCs w:val="13"/>
          <w:color w:val="auto"/>
        </w:rPr>
        <w:t>” means 5:30 P.M. (Eastern time) on the date of this Agreement.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has the meaning defined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Commission</w:t>
      </w:r>
      <w:r>
        <w:rPr>
          <w:rFonts w:ascii="Times New Roman" w:cs="Times New Roman" w:eastAsia="Times New Roman" w:hAnsi="Times New Roman"/>
          <w:sz w:val="13"/>
          <w:szCs w:val="13"/>
          <w:color w:val="auto"/>
        </w:rPr>
        <w:t>” means the Securities and Exchange Commission.</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 with respect to the Initial Registration Statement or the Additional Registration Statement (if any) means the date of the Effective Time thereof.</w:t>
      </w:r>
    </w:p>
    <w:p>
      <w:pPr>
        <w:spacing w:after="0" w:line="86" w:lineRule="exact"/>
        <w:rPr>
          <w:sz w:val="20"/>
          <w:szCs w:val="20"/>
          <w:color w:val="auto"/>
        </w:rPr>
      </w:pPr>
    </w:p>
    <w:p>
      <w:pPr>
        <w:ind w:firstLine="164"/>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 with respect to the Initial Registration Statement or, if filed prior to the execution and delivery of this Agreement, the Additional Registration Statement means the date and time as of which such Registration Statement was declared effective by the Commission or has become effective upon filing pursuant to Rule 462(c). If an Additional Registration Statement has not been filed prior to the execution and delivery of this Agreement but the Company has advised the Representatives that it proposes to file one, “</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 with respect to such Additional Registration Statement means the date and time as of which such Registration Statement is filed and becomes effective pursuant to Rule 462(b).</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Final Prospectus</w:t>
      </w:r>
      <w:r>
        <w:rPr>
          <w:rFonts w:ascii="Times New Roman" w:cs="Times New Roman" w:eastAsia="Times New Roman" w:hAnsi="Times New Roman"/>
          <w:sz w:val="13"/>
          <w:szCs w:val="13"/>
          <w:color w:val="auto"/>
        </w:rPr>
        <w:t>” means the Statutory Prospectus that discloses the public offering price and other 430A Information with respect to the Offered Securities and otherwise satisfies Section 10(a) of the Act.</w:t>
      </w:r>
    </w:p>
    <w:p>
      <w:pPr>
        <w:spacing w:after="0" w:line="86" w:lineRule="exact"/>
        <w:rPr>
          <w:sz w:val="20"/>
          <w:szCs w:val="20"/>
          <w:color w:val="auto"/>
        </w:rPr>
      </w:pPr>
    </w:p>
    <w:p>
      <w:pPr>
        <w:ind w:firstLine="164"/>
        <w:spacing w:after="0" w:line="28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General Use Issuer Free Writing Prospectus</w:t>
      </w:r>
      <w:r>
        <w:rPr>
          <w:rFonts w:ascii="Times New Roman" w:cs="Times New Roman" w:eastAsia="Times New Roman" w:hAnsi="Times New Roman"/>
          <w:sz w:val="13"/>
          <w:szCs w:val="13"/>
          <w:color w:val="auto"/>
        </w:rPr>
        <w:t xml:space="preserve">” means any Issuer Free Writing Prospectus that is intended for general distribution to prospective investors, as evidenced by its being so specified in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hereto.</w:t>
      </w:r>
    </w:p>
    <w:p>
      <w:pPr>
        <w:spacing w:after="0" w:line="33" w:lineRule="exact"/>
        <w:rPr>
          <w:sz w:val="20"/>
          <w:szCs w:val="20"/>
          <w:color w:val="auto"/>
        </w:rPr>
      </w:pPr>
    </w:p>
    <w:p>
      <w:pPr>
        <w:ind w:right="100" w:firstLine="164"/>
        <w:spacing w:after="0" w:line="28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Issuer Free Writing Prospectus</w:t>
      </w:r>
      <w:r>
        <w:rPr>
          <w:rFonts w:ascii="Times New Roman" w:cs="Times New Roman" w:eastAsia="Times New Roman" w:hAnsi="Times New Roman"/>
          <w:sz w:val="13"/>
          <w:szCs w:val="13"/>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Limited Use Issuer Free Writing Prospectus</w:t>
      </w:r>
      <w:r>
        <w:rPr>
          <w:rFonts w:ascii="Times New Roman" w:cs="Times New Roman" w:eastAsia="Times New Roman" w:hAnsi="Times New Roman"/>
          <w:sz w:val="13"/>
          <w:szCs w:val="13"/>
          <w:color w:val="auto"/>
        </w:rPr>
        <w:t>” means any Issuer Free Writing Prospectus that is not a General Use Issuer Free Writing Prospectus.</w:t>
      </w:r>
    </w:p>
    <w:p>
      <w:pPr>
        <w:spacing w:after="0" w:line="86" w:lineRule="exact"/>
        <w:rPr>
          <w:sz w:val="20"/>
          <w:szCs w:val="20"/>
          <w:color w:val="auto"/>
        </w:rPr>
      </w:pPr>
    </w:p>
    <w:p>
      <w:pPr>
        <w:ind w:right="60" w:firstLine="161"/>
        <w:spacing w:after="0" w:line="264" w:lineRule="auto"/>
        <w:rPr>
          <w:sz w:val="20"/>
          <w:szCs w:val="20"/>
          <w:color w:val="auto"/>
        </w:rPr>
      </w:pPr>
      <w:r>
        <w:rPr>
          <w:rFonts w:ascii="Times New Roman" w:cs="Times New Roman" w:eastAsia="Times New Roman" w:hAnsi="Times New Roman"/>
          <w:sz w:val="13"/>
          <w:szCs w:val="13"/>
          <w:color w:val="auto"/>
        </w:rPr>
        <w:t>The Initial Registration Statement and the Additional Registration Statement are referred to collectively as the “</w:t>
      </w:r>
      <w:r>
        <w:rPr>
          <w:rFonts w:ascii="Times New Roman" w:cs="Times New Roman" w:eastAsia="Times New Roman" w:hAnsi="Times New Roman"/>
          <w:sz w:val="13"/>
          <w:szCs w:val="13"/>
          <w:b w:val="1"/>
          <w:bCs w:val="1"/>
          <w:color w:val="auto"/>
        </w:rPr>
        <w:t>Registration Statements</w:t>
      </w:r>
      <w:r>
        <w:rPr>
          <w:rFonts w:ascii="Times New Roman" w:cs="Times New Roman" w:eastAsia="Times New Roman" w:hAnsi="Times New Roman"/>
          <w:sz w:val="13"/>
          <w:szCs w:val="13"/>
          <w:color w:val="auto"/>
        </w:rPr>
        <w:t>” and individually as a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A “</w:t>
      </w:r>
      <w:r>
        <w:rPr>
          <w:rFonts w:ascii="Times New Roman" w:cs="Times New Roman" w:eastAsia="Times New Roman" w:hAnsi="Times New Roman"/>
          <w:sz w:val="13"/>
          <w:szCs w:val="13"/>
          <w:b w:val="1"/>
          <w:bCs w:val="1"/>
          <w:color w:val="auto"/>
        </w:rPr>
        <w:t>Registration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Statement</w:t>
      </w:r>
      <w:r>
        <w:rPr>
          <w:rFonts w:ascii="Times New Roman" w:cs="Times New Roman" w:eastAsia="Times New Roman" w:hAnsi="Times New Roman"/>
          <w:sz w:val="13"/>
          <w:szCs w:val="13"/>
          <w:color w:val="auto"/>
        </w:rPr>
        <w:t>” with reference to a particular time means the Initial Registration Statement and any Additional Registration Statement as of such time. A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without reference to a time means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such Registration Statement as of its Effective Time. For purposes of the foregoing definitions, 430A Information with respect to a Registration Statement shall be considered to be included in such Registration Statement as of the time specified in Rule 430A.</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Rules and Regulations</w:t>
      </w:r>
      <w:r>
        <w:rPr>
          <w:rFonts w:ascii="Times New Roman" w:cs="Times New Roman" w:eastAsia="Times New Roman" w:hAnsi="Times New Roman"/>
          <w:sz w:val="13"/>
          <w:szCs w:val="13"/>
          <w:color w:val="auto"/>
        </w:rPr>
        <w:t>” means the rules and regulations of the Commission.</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Laws</w:t>
      </w:r>
      <w:r>
        <w:rPr>
          <w:rFonts w:ascii="Times New Roman" w:cs="Times New Roman" w:eastAsia="Times New Roman" w:hAnsi="Times New Roman"/>
          <w:sz w:val="13"/>
          <w:szCs w:val="13"/>
          <w:color w:val="auto"/>
        </w:rPr>
        <w:t>” means, collectively, the Sarbanes-Oxley Act of 2002 (“</w:t>
      </w:r>
      <w:r>
        <w:rPr>
          <w:rFonts w:ascii="Times New Roman" w:cs="Times New Roman" w:eastAsia="Times New Roman" w:hAnsi="Times New Roman"/>
          <w:sz w:val="13"/>
          <w:szCs w:val="13"/>
          <w:b w:val="1"/>
          <w:bCs w:val="1"/>
          <w:color w:val="auto"/>
        </w:rPr>
        <w:t>Sarbanes-Oxley</w:t>
      </w:r>
      <w:r>
        <w:rPr>
          <w:rFonts w:ascii="Times New Roman" w:cs="Times New Roman" w:eastAsia="Times New Roman" w:hAnsi="Times New Roman"/>
          <w:sz w:val="13"/>
          <w:szCs w:val="13"/>
          <w:color w:val="auto"/>
        </w:rPr>
        <w:t>”), the Act,</w:t>
      </w:r>
    </w:p>
    <w:p>
      <w:pPr>
        <w:spacing w:after="0" w:line="1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109855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40"/>
          </w:cols>
          <w:pgMar w:left="440" w:top="716" w:right="319" w:bottom="1440" w:gutter="0" w:footer="0" w:header="0"/>
        </w:sectPr>
      </w:pPr>
    </w:p>
    <w:bookmarkStart w:id="12" w:name="page13"/>
    <w:bookmarkEnd w:id="12"/>
    <w:p>
      <w:pPr>
        <w:ind w:right="480"/>
        <w:spacing w:after="0" w:line="286" w:lineRule="auto"/>
        <w:rPr>
          <w:sz w:val="20"/>
          <w:szCs w:val="20"/>
          <w:color w:val="auto"/>
        </w:rPr>
      </w:pPr>
      <w:r>
        <w:rPr>
          <w:rFonts w:ascii="Times New Roman" w:cs="Times New Roman" w:eastAsia="Times New Roman" w:hAnsi="Times New Roman"/>
          <w:sz w:val="13"/>
          <w:szCs w:val="13"/>
          <w:color w:val="auto"/>
        </w:rPr>
        <w:t>the Exchange Act, the Rules and Regulations, the auditing principles, rules, standards and practices applicable to auditors of “issuers” (as defined in Sarbanes-Oxley) promulgated or approved by the Public Company Accounting Oversight Board and, as applicable, the rules of the New York Stock Exchange and the NASDAQ Stock Market (“</w:t>
      </w:r>
      <w:r>
        <w:rPr>
          <w:rFonts w:ascii="Times New Roman" w:cs="Times New Roman" w:eastAsia="Times New Roman" w:hAnsi="Times New Roman"/>
          <w:sz w:val="13"/>
          <w:szCs w:val="13"/>
          <w:b w:val="1"/>
          <w:bCs w:val="1"/>
          <w:color w:val="auto"/>
        </w:rPr>
        <w:t>Exchange Rules</w:t>
      </w:r>
      <w:r>
        <w:rPr>
          <w:rFonts w:ascii="Times New Roman" w:cs="Times New Roman" w:eastAsia="Times New Roman" w:hAnsi="Times New Roman"/>
          <w:sz w:val="13"/>
          <w:szCs w:val="13"/>
          <w:color w:val="auto"/>
        </w:rPr>
        <w:t>”).</w:t>
      </w:r>
    </w:p>
    <w:p>
      <w:pPr>
        <w:spacing w:after="0" w:line="35" w:lineRule="exact"/>
        <w:rPr>
          <w:sz w:val="20"/>
          <w:szCs w:val="20"/>
          <w:color w:val="auto"/>
        </w:rPr>
      </w:pPr>
    </w:p>
    <w:p>
      <w:pPr>
        <w:ind w:right="60" w:firstLine="164"/>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Statutory Prospectus</w:t>
      </w:r>
      <w:r>
        <w:rPr>
          <w:rFonts w:ascii="Times New Roman" w:cs="Times New Roman" w:eastAsia="Times New Roman" w:hAnsi="Times New Roman"/>
          <w:sz w:val="13"/>
          <w:szCs w:val="13"/>
          <w:color w:val="auto"/>
        </w:rPr>
        <w:t>” with reference to a particular time means the prospectus included in a Registration Statement immediately prior to that time, including any document incorporated by reference therein and, if applicable, any 430A Information with respect to such Registration Statement. For purposes of the foregoing definition, 430A Information shall be considered to be included in the Statutory Prospectus as of the actual time that form of prospectus is filed with the Commission pursuant to Rule 424(b) or Rule 462(c) and not retroactively.</w:t>
      </w:r>
    </w:p>
    <w:p>
      <w:pPr>
        <w:spacing w:after="0" w:line="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Unless otherwise specified, a reference to a “rule” is to the indicated rule under the Act.</w:t>
      </w:r>
    </w:p>
    <w:p>
      <w:pPr>
        <w:spacing w:after="0" w:line="86" w:lineRule="exact"/>
        <w:rPr>
          <w:sz w:val="20"/>
          <w:szCs w:val="20"/>
          <w:color w:val="auto"/>
        </w:rPr>
      </w:pPr>
    </w:p>
    <w:p>
      <w:pPr>
        <w:ind w:left="460" w:right="100" w:firstLine="7"/>
        <w:spacing w:after="0" w:line="259" w:lineRule="auto"/>
        <w:tabs>
          <w:tab w:leader="none" w:pos="653"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(1) At their respective Effective Times, (2) on the date of this Agreement and (3) on each Closing Date, each of the Initial Registration Statement and the Additional Registration Statement (if any) conformed and will conform in all respects to the requirements of the Act and (B) (1) on its date, (2) at the time of filing of the Final Prospectus pursuant to Rule 424(b) or (if no such filing is required) at the Effective Time of the Additional Registration Statement in which the Final Prospectus is included and (3) on each Closing Date, the Final Prospectus will conform in all respects to the requirements of the Act and the Rules and Regulations and will not include any untrue statement of a material fact or omit to state any material fact required to be stated therein or necessary to make the statements therein not misleading. The preceding sentence does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w:t>
      </w:r>
      <w:r>
        <w:rPr>
          <w:rFonts w:ascii="Times New Roman" w:cs="Times New Roman" w:eastAsia="Times New Roman" w:hAnsi="Times New Roman"/>
          <w:sz w:val="13"/>
          <w:szCs w:val="13"/>
          <w:u w:val="single" w:color="auto"/>
          <w:color w:val="auto"/>
        </w:rPr>
        <w:t>Section 8(d)</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color w:val="auto"/>
        </w:rPr>
      </w:pPr>
    </w:p>
    <w:p>
      <w:pPr>
        <w:ind w:left="700" w:hanging="233"/>
        <w:spacing w:after="0"/>
        <w:tabs>
          <w:tab w:leader="none" w:pos="7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At the time of the initial filing of the Initial Registration Statement and (B) at the date of this Agreement, the Company was not and is not an “ineligible issuer,” as defined in Rule 405, including</w:t>
      </w:r>
    </w:p>
    <w:p>
      <w:pPr>
        <w:spacing w:after="0" w:line="21" w:lineRule="exact"/>
        <w:rPr>
          <w:rFonts w:ascii="Times New Roman" w:cs="Times New Roman" w:eastAsia="Times New Roman" w:hAnsi="Times New Roman"/>
          <w:sz w:val="13"/>
          <w:szCs w:val="13"/>
          <w:color w:val="auto"/>
        </w:rPr>
      </w:pPr>
    </w:p>
    <w:p>
      <w:pPr>
        <w:ind w:left="460"/>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 the Company or any other subsidiary in the preceding three years not having been convicted of a felony or misdemeanor or having been made the subject of a judicial or administrative decree or order as described in Rule 405 and (z) the Company in the preceding three years not having been the subject of a bankruptcy petition or insolvency or similar proceeding, not having had a registration statement be the subject of a proceeding under Section 8 of the Act and not being the subject of a proceeding under Section 8A of the Act in connection with the offering of the Offered Securities, all as described in Rule 405.</w:t>
      </w:r>
    </w:p>
    <w:p>
      <w:pPr>
        <w:spacing w:after="0" w:line="212" w:lineRule="exact"/>
        <w:rPr>
          <w:rFonts w:ascii="Times New Roman" w:cs="Times New Roman" w:eastAsia="Times New Roman" w:hAnsi="Times New Roman"/>
          <w:sz w:val="13"/>
          <w:szCs w:val="13"/>
          <w:color w:val="auto"/>
        </w:rPr>
      </w:pPr>
    </w:p>
    <w:p>
      <w:pPr>
        <w:ind w:left="460" w:firstLine="7"/>
        <w:spacing w:after="0" w:line="258" w:lineRule="auto"/>
        <w:tabs>
          <w:tab w:leader="none" w:pos="675"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of the Applicable Time, neither (A) the General Use Issuer Free Writing Prospectus(es) issued at or prior to the Applicable Time, the preliminary prospectus, dated September [___], 2009 (which is the most recent Statutory Prospectus distributed to investors generally) and the other information, if any, stated in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hereto to be included in the General Disclosure Package, all considered together (collectively, the “</w:t>
      </w:r>
      <w:r>
        <w:rPr>
          <w:rFonts w:ascii="Times New Roman" w:cs="Times New Roman" w:eastAsia="Times New Roman" w:hAnsi="Times New Roman"/>
          <w:sz w:val="13"/>
          <w:szCs w:val="13"/>
          <w:b w:val="1"/>
          <w:bCs w:val="1"/>
          <w:color w:val="auto"/>
        </w:rPr>
        <w:t>General Disclosure Package</w:t>
      </w:r>
      <w:r>
        <w:rPr>
          <w:rFonts w:ascii="Times New Roman" w:cs="Times New Roman" w:eastAsia="Times New Roman" w:hAnsi="Times New Roman"/>
          <w:sz w:val="13"/>
          <w:szCs w:val="13"/>
          <w:color w:val="auto"/>
        </w:rPr>
        <w:t xml:space="preserve">”), nor (B)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w:t>
      </w:r>
      <w:r>
        <w:rPr>
          <w:rFonts w:ascii="Times New Roman" w:cs="Times New Roman" w:eastAsia="Times New Roman" w:hAnsi="Times New Roman"/>
          <w:sz w:val="13"/>
          <w:szCs w:val="13"/>
          <w:u w:val="single" w:color="auto"/>
          <w:color w:val="auto"/>
        </w:rPr>
        <w:t>Section 8(d)</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color w:val="auto"/>
        </w:rPr>
      </w:pPr>
    </w:p>
    <w:p>
      <w:pPr>
        <w:ind w:left="460" w:right="340" w:firstLine="7"/>
        <w:spacing w:after="0" w:line="286" w:lineRule="auto"/>
        <w:tabs>
          <w:tab w:leader="none" w:pos="646"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Issuer Free Writing Prospectus, as of its issue date and at all subsequent times through the completion of the public offer and sale of the Offered Securities or, if earlier, the date the Company notified or notifies the Representatives as described in the next sentence, did not,</w:t>
      </w:r>
    </w:p>
    <w:p>
      <w:pPr>
        <w:spacing w:after="0" w:line="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109855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16" w:right="219" w:bottom="1440" w:gutter="0" w:footer="0" w:header="0"/>
        </w:sectPr>
      </w:pPr>
    </w:p>
    <w:bookmarkStart w:id="13" w:name="page14"/>
    <w:bookmarkEnd w:id="13"/>
    <w:p>
      <w:pPr>
        <w:spacing w:after="0" w:line="259" w:lineRule="auto"/>
        <w:rPr>
          <w:sz w:val="20"/>
          <w:szCs w:val="20"/>
          <w:color w:val="auto"/>
        </w:rPr>
      </w:pPr>
      <w:r>
        <w:rPr>
          <w:rFonts w:ascii="Times New Roman" w:cs="Times New Roman" w:eastAsia="Times New Roman" w:hAnsi="Times New Roman"/>
          <w:sz w:val="13"/>
          <w:szCs w:val="13"/>
          <w:color w:val="auto"/>
        </w:rPr>
        <w:t>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(A) the Company has promptly notified or will promptly notify the Representatives and (B) the Company has promptly amended or will promptly amend or supplement such Issuer Free Writing Prospectus to eliminate or correct such conflict, untrue statement or omission.</w:t>
      </w:r>
    </w:p>
    <w:p>
      <w:pPr>
        <w:spacing w:after="0" w:line="54" w:lineRule="exact"/>
        <w:rPr>
          <w:sz w:val="20"/>
          <w:szCs w:val="20"/>
          <w:color w:val="auto"/>
        </w:rPr>
      </w:pPr>
    </w:p>
    <w:p>
      <w:pPr>
        <w:ind w:right="100" w:firstLine="7"/>
        <w:spacing w:after="0" w:line="259" w:lineRule="auto"/>
        <w:tabs>
          <w:tab w:leader="none" w:pos="222"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Company meets the requirements to incorporate documents by reference into the Registration Statement pursuant to General Instruction VII to Form S-1 under the Act and the Rules and Regulations; and (B) the documents incorporated by reference in the Registration Statement, the General Disclosure Package and the Final Prospectus, when they became effective or at the time they were filed with the Commission, conformed and will conform in all respects with the requirements of the Act and the Exchange Act and the Rules and Regulations, and, when read together with the other information in the Final Prospectus, (1) at the Effective Time of the Registration Statement, (2) on the date of this Agreement, (3) at the time of filing of the Final Prospectus pursuant to Rule 424(b) or (if no such filing is required) at the Effective Time of the Additional Registration Statement in which the Final Prospectus is included and (4) on each Closing Date, did not and will not contain an untrue statement of a material fact or omit to state a material fact required to be stated therein or necessary to make the statements therein not misleading.</w:t>
      </w:r>
    </w:p>
    <w:p>
      <w:pPr>
        <w:spacing w:after="0" w:line="54" w:lineRule="exact"/>
        <w:rPr>
          <w:rFonts w:ascii="Times New Roman" w:cs="Times New Roman" w:eastAsia="Times New Roman" w:hAnsi="Times New Roman"/>
          <w:sz w:val="13"/>
          <w:szCs w:val="13"/>
          <w:color w:val="auto"/>
        </w:rPr>
      </w:pPr>
    </w:p>
    <w:p>
      <w:pPr>
        <w:ind w:firstLine="7"/>
        <w:spacing w:after="0" w:line="261" w:lineRule="auto"/>
        <w:tabs>
          <w:tab w:leader="none" w:pos="256"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been duly incorporated and is existing and in good standing under the laws of the State of Delaware, with power and authority (corporate and other) to own its properties and conduct its business as described in the General Disclosure Package; and the Company is duly qualified to do business as a foreign corporation in good standing in all other jurisdictions in which its ownership or lease of property or the conduct of its business requires such qualification, except, in each case, where the failure to be in good standing or to be so qualified would not, individually or in the aggregate, result in a material adverse effect on the condition (financial or otherwise), results of operations, business, properties or prospects of the Company and its subsidiaries taken as a whole (“</w:t>
      </w:r>
      <w:r>
        <w:rPr>
          <w:rFonts w:ascii="Times New Roman" w:cs="Times New Roman" w:eastAsia="Times New Roman" w:hAnsi="Times New Roman"/>
          <w:sz w:val="13"/>
          <w:szCs w:val="13"/>
          <w:b w:val="1"/>
          <w:bCs w:val="1"/>
          <w:color w:val="auto"/>
        </w:rPr>
        <w:t>Material Adverse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Effect</w:t>
      </w:r>
      <w:r>
        <w:rPr>
          <w:rFonts w:ascii="Times New Roman" w:cs="Times New Roman" w:eastAsia="Times New Roman" w:hAnsi="Times New Roman"/>
          <w:sz w:val="13"/>
          <w:szCs w:val="13"/>
          <w:color w:val="auto"/>
        </w:rPr>
        <w:t>”).</w:t>
      </w:r>
    </w:p>
    <w:p>
      <w:pPr>
        <w:spacing w:after="0" w:line="52" w:lineRule="exact"/>
        <w:rPr>
          <w:rFonts w:ascii="Times New Roman" w:cs="Times New Roman" w:eastAsia="Times New Roman" w:hAnsi="Times New Roman"/>
          <w:sz w:val="13"/>
          <w:szCs w:val="13"/>
          <w:color w:val="auto"/>
        </w:rPr>
      </w:pPr>
    </w:p>
    <w:p>
      <w:pPr>
        <w:ind w:firstLine="7"/>
        <w:spacing w:after="0" w:line="261" w:lineRule="auto"/>
        <w:tabs>
          <w:tab w:leader="none" w:pos="29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subsidiary of the Company has been duly incorporated and is existing and in good standing under the laws of the jurisdiction of its incorporation, with power and authority (corporate and other) to own its properties and conduct its business as described in the General Disclosure Package; and each subsidiary of the Company is duly qualified to do business as a foreign corporation in good standing in all other jurisdictions in which its ownership or lease of property or the conduct of its business requires such qualification, except where the failure to be in good standing or to be so qualified would not, individually or in the aggregate, result in a Material Adverse Effect; all of the issued and outstanding capital stock of each subsidiary of the Company has been duly authorized and validly issued and is fully paid and nonassessable; and the capital stock of each subsidiary owned by the Company, directly or through subsidiaries, is owned free from liens, encumbrances and defects.</w:t>
      </w:r>
    </w:p>
    <w:p>
      <w:pPr>
        <w:spacing w:after="0" w:line="52" w:lineRule="exact"/>
        <w:rPr>
          <w:rFonts w:ascii="Times New Roman" w:cs="Times New Roman" w:eastAsia="Times New Roman" w:hAnsi="Times New Roman"/>
          <w:sz w:val="13"/>
          <w:szCs w:val="13"/>
          <w:color w:val="auto"/>
        </w:rPr>
      </w:pPr>
    </w:p>
    <w:p>
      <w:pPr>
        <w:ind w:right="60" w:firstLine="7"/>
        <w:spacing w:after="0" w:line="263" w:lineRule="auto"/>
        <w:tabs>
          <w:tab w:leader="none" w:pos="2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Offered Securities and all other outstanding shares of capital stock of the Company have been duly authorized; the authorized equity capitalization of the Company is as set forth in the General Disclosure Package; all outstanding shares of capital stock of the Company are, and, when the Offered Securities have been delivered and paid for in accordance with this Agreement on each Closing Date, such Offered Securities will have been, validly issued, fully paid and nonassessable, will conform to the information in the General Disclosure Package and to the description of such Offered Securities contained in the Final Prospectus; the stockholders of the</w:t>
      </w:r>
    </w:p>
    <w:p>
      <w:pPr>
        <w:spacing w:after="0" w:line="1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900" w:top="716" w:right="219" w:bottom="1440" w:gutter="0" w:footer="0" w:header="0"/>
        </w:sectPr>
      </w:pPr>
    </w:p>
    <w:bookmarkStart w:id="14" w:name="page15"/>
    <w:bookmarkEnd w:id="14"/>
    <w:p>
      <w:pPr>
        <w:ind w:right="220"/>
        <w:spacing w:after="0" w:line="286" w:lineRule="auto"/>
        <w:rPr>
          <w:sz w:val="20"/>
          <w:szCs w:val="20"/>
          <w:color w:val="auto"/>
        </w:rPr>
      </w:pPr>
      <w:r>
        <w:rPr>
          <w:rFonts w:ascii="Times New Roman" w:cs="Times New Roman" w:eastAsia="Times New Roman" w:hAnsi="Times New Roman"/>
          <w:sz w:val="13"/>
          <w:szCs w:val="13"/>
          <w:color w:val="auto"/>
        </w:rPr>
        <w:t>Company have no preemptive rights with respect to the Offered Securities; and none of the outstanding shares of capital stock of the Company have been issued in violation of any preemptive or similar rights of any security holder.</w:t>
      </w:r>
    </w:p>
    <w:p>
      <w:pPr>
        <w:spacing w:after="0" w:line="37" w:lineRule="exact"/>
        <w:rPr>
          <w:sz w:val="20"/>
          <w:szCs w:val="20"/>
          <w:color w:val="auto"/>
        </w:rPr>
      </w:pPr>
    </w:p>
    <w:p>
      <w:pPr>
        <w:ind w:right="360" w:firstLine="7"/>
        <w:spacing w:after="0" w:line="286" w:lineRule="auto"/>
        <w:tabs>
          <w:tab w:leader="none" w:pos="186"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in the General Disclosure Package, there are no contracts, agreements or understandings between the Company and any person that would give rise to a valid claim against the Company or any Underwriter for a brokerage commission, finder’s fee or other like payment in connection with this offering.</w:t>
      </w:r>
    </w:p>
    <w:p>
      <w:pPr>
        <w:spacing w:after="0" w:line="36" w:lineRule="exact"/>
        <w:rPr>
          <w:rFonts w:ascii="Times New Roman" w:cs="Times New Roman" w:eastAsia="Times New Roman" w:hAnsi="Times New Roman"/>
          <w:sz w:val="13"/>
          <w:szCs w:val="13"/>
          <w:color w:val="auto"/>
        </w:rPr>
      </w:pPr>
    </w:p>
    <w:p>
      <w:pPr>
        <w:ind w:right="280" w:firstLine="7"/>
        <w:spacing w:after="0" w:line="263" w:lineRule="auto"/>
        <w:tabs>
          <w:tab w:leader="none" w:pos="222"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in the General Disclosure Package,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offering registered pursuant to a Registration Statement or in any securities being registered pursuant to any other registration statement filed by the Company under the Act (collectively, “</w:t>
      </w:r>
      <w:r>
        <w:rPr>
          <w:rFonts w:ascii="Times New Roman" w:cs="Times New Roman" w:eastAsia="Times New Roman" w:hAnsi="Times New Roman"/>
          <w:sz w:val="13"/>
          <w:szCs w:val="13"/>
          <w:b w:val="1"/>
          <w:bCs w:val="1"/>
          <w:color w:val="auto"/>
        </w:rPr>
        <w:t>registration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rights</w:t>
      </w:r>
      <w:r>
        <w:rPr>
          <w:rFonts w:ascii="Times New Roman" w:cs="Times New Roman" w:eastAsia="Times New Roman" w:hAnsi="Times New Roman"/>
          <w:sz w:val="13"/>
          <w:szCs w:val="13"/>
          <w:color w:val="auto"/>
        </w:rPr>
        <w:t>”), and any person to whom the Company has granted registration rights has agreed not to exercise such rights until after the expiration of the Lock-Up Period referred to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5(k)</w:t>
      </w:r>
      <w:r>
        <w:rPr>
          <w:rFonts w:ascii="Times New Roman" w:cs="Times New Roman" w:eastAsia="Times New Roman" w:hAnsi="Times New Roman"/>
          <w:sz w:val="13"/>
          <w:szCs w:val="13"/>
          <w:color w:val="auto"/>
        </w:rPr>
        <w:t>.</w:t>
      </w:r>
    </w:p>
    <w:p>
      <w:pPr>
        <w:spacing w:after="0" w:line="52" w:lineRule="exact"/>
        <w:rPr>
          <w:rFonts w:ascii="Times New Roman" w:cs="Times New Roman" w:eastAsia="Times New Roman" w:hAnsi="Times New Roman"/>
          <w:sz w:val="13"/>
          <w:szCs w:val="13"/>
          <w:color w:val="auto"/>
        </w:rPr>
      </w:pPr>
    </w:p>
    <w:p>
      <w:pPr>
        <w:ind w:left="260" w:hanging="253"/>
        <w:spacing w:after="0"/>
        <w:tabs>
          <w:tab w:leader="none" w:pos="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Offered Securities are listed or have been approved for listing on the NASDAQ Stock Market, subject to notice of issuance.</w:t>
      </w:r>
    </w:p>
    <w:p>
      <w:pPr>
        <w:spacing w:after="0" w:line="86" w:lineRule="exact"/>
        <w:rPr>
          <w:rFonts w:ascii="Times New Roman" w:cs="Times New Roman" w:eastAsia="Times New Roman" w:hAnsi="Times New Roman"/>
          <w:sz w:val="13"/>
          <w:szCs w:val="13"/>
          <w:color w:val="auto"/>
        </w:rPr>
      </w:pPr>
    </w:p>
    <w:p>
      <w:pPr>
        <w:ind w:firstLine="7"/>
        <w:spacing w:after="0" w:line="269" w:lineRule="auto"/>
        <w:tabs>
          <w:tab w:leader="none" w:pos="29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consent, approval, authorization, or order of, or filing or registration with, any person (including any governmental agency or body or any court) is required to be obtained or made by the Company for the consummation of the transactions contemplated by this Agreement in connection with the sale of the Offered Securities, except such as have been obtained or made and such as may be required under state securities laws.</w:t>
      </w:r>
    </w:p>
    <w:p>
      <w:pPr>
        <w:spacing w:after="0" w:line="47" w:lineRule="exact"/>
        <w:rPr>
          <w:rFonts w:ascii="Times New Roman" w:cs="Times New Roman" w:eastAsia="Times New Roman" w:hAnsi="Times New Roman"/>
          <w:sz w:val="13"/>
          <w:szCs w:val="13"/>
          <w:color w:val="auto"/>
        </w:rPr>
      </w:pPr>
    </w:p>
    <w:p>
      <w:pPr>
        <w:ind w:firstLine="7"/>
        <w:spacing w:after="0" w:line="263" w:lineRule="auto"/>
        <w:tabs>
          <w:tab w:leader="none" w:pos="28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in the General Disclosure Package, the Company and its subsidiaries have good and marketable title to all real properties and all other properties and assets owned by them, in each case free from liens, charge, encumbrances and defects that would materially affect the value thereof or materially interfere with the use made or to be made thereof by them and, except as disclosed in the General Disclosure Package, the Company and its subsidiaries hold any leased real or personal property under valid and enforceable leases with no terms or provisions that would materially interfere with the use made or to be made thereof by them.</w:t>
      </w:r>
    </w:p>
    <w:p>
      <w:pPr>
        <w:spacing w:after="0" w:line="52" w:lineRule="exact"/>
        <w:rPr>
          <w:rFonts w:ascii="Times New Roman" w:cs="Times New Roman" w:eastAsia="Times New Roman" w:hAnsi="Times New Roman"/>
          <w:sz w:val="13"/>
          <w:szCs w:val="13"/>
          <w:color w:val="auto"/>
        </w:rPr>
      </w:pPr>
    </w:p>
    <w:p>
      <w:pPr>
        <w:ind w:right="20" w:firstLine="7"/>
        <w:spacing w:after="0" w:line="257" w:lineRule="auto"/>
        <w:tabs>
          <w:tab w:leader="none" w:pos="249"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of this Agreement, and the issuance and sale of the Offered Securities,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(A) the charter or by-laws of the Company or any of its subsidiaries, (B) any statute, rule, regulation or order of any governmental agency or body or any court, domestic or foreign, having jurisdiction over the Company or any of its subsidiaries or any of their properties, including, without limitation, the Higher Education Act of 1965 (the “</w:t>
      </w:r>
      <w:r>
        <w:rPr>
          <w:rFonts w:ascii="Times New Roman" w:cs="Times New Roman" w:eastAsia="Times New Roman" w:hAnsi="Times New Roman"/>
          <w:sz w:val="13"/>
          <w:szCs w:val="13"/>
          <w:b w:val="1"/>
          <w:bCs w:val="1"/>
          <w:color w:val="auto"/>
        </w:rPr>
        <w:t>HEA</w:t>
      </w:r>
      <w:r>
        <w:rPr>
          <w:rFonts w:ascii="Times New Roman" w:cs="Times New Roman" w:eastAsia="Times New Roman" w:hAnsi="Times New Roman"/>
          <w:sz w:val="13"/>
          <w:szCs w:val="13"/>
          <w:color w:val="auto"/>
        </w:rPr>
        <w:t>”), or (C) any agreement or instrument to which the Company or any of its subsidiaries is a party or by which the Company or any of its subsidiaries is bound or to which any of the properties of the Company or any of its subsidiaries is subject except, in the cases of clauses (B) and (C) such breaches, defaults or impositions that would not, individually or in the aggregate, result in a Material Adverse Effect. A “</w:t>
      </w:r>
      <w:r>
        <w:rPr>
          <w:rFonts w:ascii="Times New Roman" w:cs="Times New Roman" w:eastAsia="Times New Roman" w:hAnsi="Times New Roman"/>
          <w:sz w:val="13"/>
          <w:szCs w:val="13"/>
          <w:b w:val="1"/>
          <w:bCs w:val="1"/>
          <w:color w:val="auto"/>
        </w:rPr>
        <w:t>Debt Repayment Triggering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Event</w:t>
      </w:r>
      <w:r>
        <w:rPr>
          <w:rFonts w:ascii="Times New Roman" w:cs="Times New Roman" w:eastAsia="Times New Roman" w:hAnsi="Times New Roman"/>
          <w:sz w:val="13"/>
          <w:szCs w:val="13"/>
          <w:color w:val="auto"/>
        </w:rPr>
        <w:t>” means any event or condition that gives, or with the giving of notice or lapse of time would give, the holder of any note, debenture, or other evidence of indebtedness (or any person acting on such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holder’s behalf) the right to require the repurchase, redemption or repayment of all or a portion of such indebtedness by the Company or any of its subsidiaries.</w:t>
      </w:r>
    </w:p>
    <w:p>
      <w:pPr>
        <w:spacing w:after="0" w:line="56" w:lineRule="exact"/>
        <w:rPr>
          <w:rFonts w:ascii="Times New Roman" w:cs="Times New Roman" w:eastAsia="Times New Roman" w:hAnsi="Times New Roman"/>
          <w:sz w:val="13"/>
          <w:szCs w:val="13"/>
          <w:color w:val="auto"/>
        </w:rPr>
      </w:pPr>
    </w:p>
    <w:p>
      <w:pPr>
        <w:ind w:left="300" w:hanging="293"/>
        <w:spacing w:after="0"/>
        <w:tabs>
          <w:tab w:leader="none" w:pos="3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in violation of its respective charter or by-laws, or (B) in default (or with the giving of notice or lapse of time would be in</w:t>
      </w:r>
    </w:p>
    <w:p>
      <w:pPr>
        <w:spacing w:after="0" w:line="14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900" w:top="716" w:right="219" w:bottom="1440" w:gutter="0" w:footer="0" w:header="0"/>
        </w:sectPr>
      </w:pPr>
    </w:p>
    <w:bookmarkStart w:id="15" w:name="page16"/>
    <w:bookmarkEnd w:id="15"/>
    <w:p>
      <w:pPr>
        <w:ind w:right="80"/>
        <w:spacing w:after="0" w:line="286" w:lineRule="auto"/>
        <w:rPr>
          <w:sz w:val="20"/>
          <w:szCs w:val="20"/>
          <w:color w:val="auto"/>
        </w:rPr>
      </w:pPr>
      <w:r>
        <w:rPr>
          <w:rFonts w:ascii="Times New Roman" w:cs="Times New Roman" w:eastAsia="Times New Roman" w:hAnsi="Times New Roman"/>
          <w:sz w:val="13"/>
          <w:szCs w:val="13"/>
          <w:color w:val="auto"/>
        </w:rPr>
        <w:t>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individually or in the aggregate, result in a Material Adverse Effect.</w:t>
      </w:r>
    </w:p>
    <w:p>
      <w:pPr>
        <w:spacing w:after="0" w:line="37"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has been duly authorized, executed and delivered by the Company.</w:t>
      </w:r>
    </w:p>
    <w:p>
      <w:pPr>
        <w:spacing w:after="0" w:line="84" w:lineRule="exact"/>
        <w:rPr>
          <w:rFonts w:ascii="Times New Roman" w:cs="Times New Roman" w:eastAsia="Times New Roman" w:hAnsi="Times New Roman"/>
          <w:sz w:val="13"/>
          <w:szCs w:val="13"/>
          <w:color w:val="auto"/>
        </w:rPr>
      </w:pPr>
    </w:p>
    <w:p>
      <w:pPr>
        <w:ind w:right="60" w:firstLine="7"/>
        <w:spacing w:after="0" w:line="264" w:lineRule="auto"/>
        <w:tabs>
          <w:tab w:leader="none" w:pos="35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possess, and are in compliance, in all material respects, with the terms of all certificates, authorizations, franchises, licenses and permits (“</w:t>
      </w:r>
      <w:r>
        <w:rPr>
          <w:rFonts w:ascii="Times New Roman" w:cs="Times New Roman" w:eastAsia="Times New Roman" w:hAnsi="Times New Roman"/>
          <w:sz w:val="13"/>
          <w:szCs w:val="13"/>
          <w:b w:val="1"/>
          <w:bCs w:val="1"/>
          <w:color w:val="auto"/>
        </w:rPr>
        <w:t>Licenses</w:t>
      </w:r>
      <w:r>
        <w:rPr>
          <w:rFonts w:ascii="Times New Roman" w:cs="Times New Roman" w:eastAsia="Times New Roman" w:hAnsi="Times New Roman"/>
          <w:sz w:val="13"/>
          <w:szCs w:val="13"/>
          <w:color w:val="auto"/>
        </w:rPr>
        <w:t>”) necessary to the conduct of the business now conducted by them, including, without limitation, all authorizations required to participate in federal financial aid programs under Title IV of the HEA, and have not received any notice of proceedings relating to the revocation or modification of any Licenses that, if determined adversely to the Company or any of its subsidiaries, would, individually or in the aggregate, result in a Material Adverse Effect.</w:t>
      </w:r>
    </w:p>
    <w:p>
      <w:pPr>
        <w:spacing w:after="0" w:line="51" w:lineRule="exact"/>
        <w:rPr>
          <w:rFonts w:ascii="Times New Roman" w:cs="Times New Roman" w:eastAsia="Times New Roman" w:hAnsi="Times New Roman"/>
          <w:sz w:val="13"/>
          <w:szCs w:val="13"/>
          <w:color w:val="auto"/>
        </w:rPr>
      </w:pPr>
    </w:p>
    <w:p>
      <w:pPr>
        <w:ind w:right="80" w:firstLine="7"/>
        <w:spacing w:after="0" w:line="286" w:lineRule="auto"/>
        <w:tabs>
          <w:tab w:leader="none" w:pos="287"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labor dispute with the employees of the Company or any of its subsidiaries exists or, to the knowledge of the Company, is imminent that would reasonably be expected to have a Material Adverse Effect.</w:t>
      </w:r>
    </w:p>
    <w:p>
      <w:pPr>
        <w:spacing w:after="0" w:line="36" w:lineRule="exact"/>
        <w:rPr>
          <w:rFonts w:ascii="Times New Roman" w:cs="Times New Roman" w:eastAsia="Times New Roman" w:hAnsi="Times New Roman"/>
          <w:sz w:val="13"/>
          <w:szCs w:val="13"/>
          <w:color w:val="auto"/>
        </w:rPr>
      </w:pPr>
    </w:p>
    <w:p>
      <w:pPr>
        <w:ind w:left="260" w:hanging="253"/>
        <w:spacing w:after="0"/>
        <w:tabs>
          <w:tab w:leader="none" w:pos="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following events has occurred or exists: (A) a failure by the Company or any of its subsidiaries to fulfill the material obligations, if any, under the minimum funding standards of</w:t>
      </w:r>
    </w:p>
    <w:p>
      <w:pPr>
        <w:spacing w:after="0" w:line="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3"/>
          <w:szCs w:val="13"/>
          <w:color w:val="auto"/>
        </w:rPr>
        <w:t>Section 302 of the United States Employee Retirement Income Security Act of 1974, as amended, and the regulations and published interpretations thereunder (“</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with respect to a Plan (as defined below), determined without regard to any waiver of such obligations or extension of any amortization period; (B) an audit or investigation by the Internal Revenue Service, the U.S. Department of Labor, the Pension Benefit Guaranty Corporation or any other federal or state governmental agency or any foreign regulatory agency with respect to the employment or compensation of employees by the Company that individually or in the aggregate would reasonably be expected to have a Material Adverse Effect; or (C) any breach of any contractual obligation, or any violation of law or applicable qualification standards, with respect to the employment or compensation of employees by the Company or any of its subsidiaries that, to the knowledge of the Company, would individually or in the aggregate reasonably be expected to have a Material Adverse Effect. None of the following events has occurred or, to the knowledge of the Company, is expected to occur: (w)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(x)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(y) any event or condition giving rise to a liability for the Company or any of its subsidiaries under Title IV of ERISA that would individually or in the aggregate have a Material Adverse Effect; or (z) the filing of a claim by one or more employees or former employees of the Company or any of its subsidiaries related to their employment that individually or in the aggregate have a Material Adverse Effect. For purposes of this paragraph, the term “</w:t>
      </w:r>
      <w:r>
        <w:rPr>
          <w:rFonts w:ascii="Times New Roman" w:cs="Times New Roman" w:eastAsia="Times New Roman" w:hAnsi="Times New Roman"/>
          <w:sz w:val="13"/>
          <w:szCs w:val="13"/>
          <w:b w:val="1"/>
          <w:bCs w:val="1"/>
          <w:color w:val="auto"/>
        </w:rPr>
        <w:t>Plan</w:t>
      </w:r>
      <w:r>
        <w:rPr>
          <w:rFonts w:ascii="Times New Roman" w:cs="Times New Roman" w:eastAsia="Times New Roman" w:hAnsi="Times New Roman"/>
          <w:sz w:val="13"/>
          <w:szCs w:val="13"/>
          <w:color w:val="auto"/>
        </w:rPr>
        <w:t>” means a plan (within the meaning of Section 3(3) of ERISA) subject to Title IV of ERISA with respect to which the Company or any of its subsidiaries may have any liability.</w:t>
      </w:r>
    </w:p>
    <w:p>
      <w:pPr>
        <w:spacing w:after="0" w:line="61" w:lineRule="exact"/>
        <w:rPr>
          <w:sz w:val="20"/>
          <w:szCs w:val="20"/>
          <w:color w:val="auto"/>
        </w:rPr>
      </w:pPr>
    </w:p>
    <w:p>
      <w:pPr>
        <w:ind w:firstLine="7"/>
        <w:spacing w:after="0" w:line="263" w:lineRule="auto"/>
        <w:tabs>
          <w:tab w:leader="none" w:pos="285"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own, possess or can acquire on reasonable terms, adequate trademarks, trade names and other rights to inventions, know-how, patents, copyrights, confidential information and other intellectual property (collectively, “</w:t>
      </w:r>
      <w:r>
        <w:rPr>
          <w:rFonts w:ascii="Times New Roman" w:cs="Times New Roman" w:eastAsia="Times New Roman" w:hAnsi="Times New Roman"/>
          <w:sz w:val="13"/>
          <w:szCs w:val="13"/>
          <w:b w:val="1"/>
          <w:bCs w:val="1"/>
          <w:color w:val="auto"/>
        </w:rPr>
        <w:t>intellectual property rights</w:t>
      </w:r>
      <w:r>
        <w:rPr>
          <w:rFonts w:ascii="Times New Roman" w:cs="Times New Roman" w:eastAsia="Times New Roman" w:hAnsi="Times New Roman"/>
          <w:sz w:val="13"/>
          <w:szCs w:val="13"/>
          <w:color w:val="auto"/>
        </w:rPr>
        <w:t>”) necessary to conduct the business now operated by them, or presently employed by them, and have not received any notice of infringement of or conflict with asserted rights of others with respect to any intellectual property rights that, if determined adversely to the Company or any of its subsidiaries, would individually or in the aggregate have a Material Adverse Effect.</w:t>
      </w:r>
    </w:p>
    <w:p>
      <w:pPr>
        <w:spacing w:after="0" w:line="1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900" w:top="716" w:right="219" w:bottom="1440" w:gutter="0" w:footer="0" w:header="0"/>
        </w:sectPr>
      </w:pPr>
    </w:p>
    <w:bookmarkStart w:id="16" w:name="page17"/>
    <w:bookmarkEnd w:id="16"/>
    <w:p>
      <w:pPr>
        <w:ind w:firstLine="7"/>
        <w:spacing w:after="0" w:line="261" w:lineRule="auto"/>
        <w:tabs>
          <w:tab w:leader="none" w:pos="324"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in the General Disclosure Package, neither the Company nor any of its subsidiaries (A)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(B) owns or operates any real property that is contaminated with any substance that is subject to any environmental laws, (C) is liable for any off-site disposal or contamination pursuant to any environmental laws, or (D)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52" w:lineRule="exact"/>
        <w:rPr>
          <w:rFonts w:ascii="Times New Roman" w:cs="Times New Roman" w:eastAsia="Times New Roman" w:hAnsi="Times New Roman"/>
          <w:sz w:val="13"/>
          <w:szCs w:val="13"/>
          <w:color w:val="auto"/>
        </w:rPr>
      </w:pPr>
    </w:p>
    <w:p>
      <w:pPr>
        <w:ind w:right="20" w:firstLine="7"/>
        <w:spacing w:after="0" w:line="269" w:lineRule="auto"/>
        <w:tabs>
          <w:tab w:leader="none" w:pos="35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statements included in the General Disclosure Package and the Final Prospectus under the headings “U.S. Federal Tax Considerations”, “Description of Capital Stock” and “Regulation,” insofar as such statements summarize legal matters, agreements, documents or proceedings discussed therein, are accurate and fair summaries of such legal matters, agreements, documents or proceedings and present the information required to be shown.</w:t>
      </w:r>
    </w:p>
    <w:p>
      <w:pPr>
        <w:spacing w:after="0" w:line="47" w:lineRule="exact"/>
        <w:rPr>
          <w:rFonts w:ascii="Times New Roman" w:cs="Times New Roman" w:eastAsia="Times New Roman" w:hAnsi="Times New Roman"/>
          <w:sz w:val="13"/>
          <w:szCs w:val="13"/>
          <w:color w:val="auto"/>
        </w:rPr>
      </w:pPr>
    </w:p>
    <w:p>
      <w:pPr>
        <w:ind w:right="80" w:firstLine="7"/>
        <w:spacing w:after="0" w:line="286" w:lineRule="auto"/>
        <w:tabs>
          <w:tab w:leader="none" w:pos="35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taken, directly or indirectly, any action that is designed to or that has constituted or that would reasonably be expected to cause or result in the stabilization or manipulation of the price of any security of the Company to facilitate the sale or resale of the Offered Securities.</w:t>
      </w:r>
    </w:p>
    <w:p>
      <w:pPr>
        <w:spacing w:after="0" w:line="36" w:lineRule="exact"/>
        <w:rPr>
          <w:rFonts w:ascii="Times New Roman" w:cs="Times New Roman" w:eastAsia="Times New Roman" w:hAnsi="Times New Roman"/>
          <w:sz w:val="13"/>
          <w:szCs w:val="13"/>
          <w:color w:val="auto"/>
        </w:rPr>
      </w:pPr>
    </w:p>
    <w:p>
      <w:pPr>
        <w:ind w:right="20" w:firstLine="7"/>
        <w:spacing w:after="0" w:line="286" w:lineRule="auto"/>
        <w:tabs>
          <w:tab w:leader="none" w:pos="30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third-party statistical and market-related data included or incorporated by reference in a Registration Statement, a Statutory Prospectus or the General Disclosure Package are based on or derived from sources that the Company believes to be reliable and accurate.</w:t>
      </w:r>
    </w:p>
    <w:p>
      <w:pPr>
        <w:spacing w:after="0" w:line="36" w:lineRule="exact"/>
        <w:rPr>
          <w:rFonts w:ascii="Times New Roman" w:cs="Times New Roman" w:eastAsia="Times New Roman" w:hAnsi="Times New Roman"/>
          <w:sz w:val="13"/>
          <w:szCs w:val="13"/>
          <w:color w:val="auto"/>
        </w:rPr>
      </w:pPr>
    </w:p>
    <w:p>
      <w:pPr>
        <w:ind w:right="140" w:firstLine="7"/>
        <w:spacing w:after="0" w:line="263" w:lineRule="auto"/>
        <w:tabs>
          <w:tab w:leader="none" w:pos="35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maintains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w:t>
      </w:r>
    </w:p>
    <w:p>
      <w:pPr>
        <w:ind w:right="20"/>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 access to assets is permitted only in accordance with management’s general or specific authorization, and (D) the recorded accountability for assets is compared with the existing assets at reasonable intervals and appropriate action is taken with respect to any differences. To the extent required by the applicable Rules and Regulations, the Company maintains disclosure controls and procedures (as such term is defined in Rule 13a-14 under the Exchange Act) that are effective in ensuring that information required to be disclosed by the Company in the reports that it files or submits under the Exchange Act is recorded, processed, summarized and reported, within the time periods specified in the rules and forms of the Commission,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or officers and its principal financial officer or officers, as appropriate to allow timely decisions regarding required disclosure.</w:t>
      </w:r>
    </w:p>
    <w:p>
      <w:pPr>
        <w:spacing w:after="0" w:line="57" w:lineRule="exact"/>
        <w:rPr>
          <w:rFonts w:ascii="Times New Roman" w:cs="Times New Roman" w:eastAsia="Times New Roman" w:hAnsi="Times New Roman"/>
          <w:sz w:val="13"/>
          <w:szCs w:val="13"/>
          <w:color w:val="auto"/>
        </w:rPr>
      </w:pPr>
    </w:p>
    <w:p>
      <w:pPr>
        <w:ind w:right="80" w:firstLine="7"/>
        <w:spacing w:after="0" w:line="259" w:lineRule="auto"/>
        <w:tabs>
          <w:tab w:leader="none" w:pos="382"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member of the Company’s audit committee (the “</w:t>
      </w:r>
      <w:r>
        <w:rPr>
          <w:rFonts w:ascii="Times New Roman" w:cs="Times New Roman" w:eastAsia="Times New Roman" w:hAnsi="Times New Roman"/>
          <w:sz w:val="13"/>
          <w:szCs w:val="13"/>
          <w:b w:val="1"/>
          <w:bCs w:val="1"/>
          <w:color w:val="auto"/>
        </w:rPr>
        <w:t>Audit Committee</w:t>
      </w:r>
      <w:r>
        <w:rPr>
          <w:rFonts w:ascii="Times New Roman" w:cs="Times New Roman" w:eastAsia="Times New Roman" w:hAnsi="Times New Roman"/>
          <w:sz w:val="13"/>
          <w:szCs w:val="13"/>
          <w:color w:val="auto"/>
        </w:rPr>
        <w:t>”) of the Company’s Board of Directors has confirmed to the Chief Executive Officer, Chief Financial Officer or General Counsel that, except as set forth in the General Disclosure Package, the Audit Committee is not reviewing or investigating, and neither the Company’s independent auditors nor its internal auditors have recommended that the Audit Committee review or investigate, (A) adding to, deleting, changing the application of, or changing the Company’s disclosure with respect to, any of the Company’s material accounting policies; (B) any matter which could result in a restatement of the Company’s financial statements for any annual or interim period during the current or prior three fiscal years; or (C) a significant deficiency, material weakness, change in internal controls, including, but not limited to, disclosure controls and procedures, internal controls over accounting matters and financial reporting, an internal audit function and legal and</w:t>
      </w:r>
    </w:p>
    <w:p>
      <w:pPr>
        <w:spacing w:after="0" w:line="11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40"/>
          </w:cols>
          <w:pgMar w:left="900" w:top="716"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color w:val="auto"/>
        </w:rPr>
        <w:t>regulatory compliance controls, or fraud involving management or other employees who have a significant role in internal controls.</w:t>
      </w:r>
    </w:p>
    <w:p>
      <w:pPr>
        <w:spacing w:after="0" w:line="86" w:lineRule="exact"/>
        <w:rPr>
          <w:sz w:val="20"/>
          <w:szCs w:val="20"/>
          <w:color w:val="auto"/>
        </w:rPr>
      </w:pPr>
    </w:p>
    <w:p>
      <w:pPr>
        <w:ind w:left="440" w:hanging="433"/>
        <w:spacing w:after="0"/>
        <w:tabs>
          <w:tab w:leader="none" w:pos="4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in compliance with all applicable provisions of Sarbanes-Oxley and the applicable rules and regulations thereunder.</w:t>
      </w:r>
    </w:p>
    <w:p>
      <w:pPr>
        <w:spacing w:after="0" w:line="86" w:lineRule="exact"/>
        <w:rPr>
          <w:rFonts w:ascii="Times New Roman" w:cs="Times New Roman" w:eastAsia="Times New Roman" w:hAnsi="Times New Roman"/>
          <w:sz w:val="13"/>
          <w:szCs w:val="13"/>
          <w:color w:val="auto"/>
        </w:rPr>
      </w:pPr>
    </w:p>
    <w:p>
      <w:pPr>
        <w:ind w:right="100" w:firstLine="7"/>
        <w:spacing w:after="0" w:line="261" w:lineRule="auto"/>
        <w:tabs>
          <w:tab w:leader="none" w:pos="353"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in the General Disclosure Package, there are no pending actions, suits or proceedings (including any inquiries or investigations by any court or governmental agency or body, domestic or foreign) against or affecting the Company, any of its subsidiaries or any of their respective properties that, (A) if determined adversely to the Company or any of its subsidiaries, would individually or in the aggregate have a Material Adverse Effect, or would materially and adversely affect the ability of the Company to perform its obligations under this Agreement, or (B) are required to be disclosed in the Registration Statement and the General Disclosure Package; and no such actions, suits or proceedings (including any inquiries or investigations by any court or governmental agency or body, domestic or foreign) are, to the Company’s knowledge, threatened or contemplated.</w:t>
      </w:r>
    </w:p>
    <w:p>
      <w:pPr>
        <w:spacing w:after="0" w:line="52" w:lineRule="exact"/>
        <w:rPr>
          <w:rFonts w:ascii="Times New Roman" w:cs="Times New Roman" w:eastAsia="Times New Roman" w:hAnsi="Times New Roman"/>
          <w:sz w:val="13"/>
          <w:szCs w:val="13"/>
          <w:color w:val="auto"/>
        </w:rPr>
      </w:pPr>
    </w:p>
    <w:p>
      <w:pPr>
        <w:ind w:firstLine="7"/>
        <w:spacing w:after="0" w:line="258" w:lineRule="auto"/>
        <w:tabs>
          <w:tab w:leader="none" w:pos="314"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statements included or incorporated by reference in each Registration Statement and the General Disclosure Package present fairly the financial position of the Company and its consolidated subsidiaries as of the dates shown and their results of operations and cash flows for the periods shown, and such financial statements have been prepared in conformity with the generally accepted accounting principles in the United States (“</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applied on a consistent basis; all non-GAAP financial information included or incorporated by reference in the Registration Statement and the General Disclosure Package complies with the requirements of Regulation G and Item 10 of Regulation S-K under the Act; the schedules included or incorporated by reference in each Registration Statement present fairly the information required to be stated therein; and, except as disclosed in the General Disclosure Package, there are no material off-balance sheet arrangements (as defined in Regulation S-K under the Act, Item 303(a)(4)(ii)) that would reasonably be expected to have a material current or future effect on the Company’s financial condition, results of operation, liquidity, capital expenditures or capital resources of the Company and its subsidiaries, taken as a whole.</w:t>
      </w:r>
    </w:p>
    <w:p>
      <w:pPr>
        <w:spacing w:after="0" w:line="54" w:lineRule="exact"/>
        <w:rPr>
          <w:rFonts w:ascii="Times New Roman" w:cs="Times New Roman" w:eastAsia="Times New Roman" w:hAnsi="Times New Roman"/>
          <w:sz w:val="13"/>
          <w:szCs w:val="13"/>
          <w:color w:val="auto"/>
        </w:rPr>
      </w:pPr>
    </w:p>
    <w:p>
      <w:pPr>
        <w:ind w:right="80" w:firstLine="7"/>
        <w:spacing w:after="0" w:line="263" w:lineRule="auto"/>
        <w:tabs>
          <w:tab w:leader="none" w:pos="35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filed all federal, state, local and non-U.S. tax returns that are required to be filed or have requested extensions thereof (except in any case in which the failure so to file would not have a Material Adverse Effect); and, except as set forth in the General Disclosure Package, the Company and its subsidiaries have paid all taxes (including any assessments, fines or penalties) required to be paid by them, except for any such taxes, assessments, fines or penalties currently being contested in good faith or as would not, individually or in the aggregate, have a Material Adverse Effect.</w:t>
      </w:r>
    </w:p>
    <w:p>
      <w:pPr>
        <w:spacing w:after="0" w:line="52" w:lineRule="exact"/>
        <w:rPr>
          <w:rFonts w:ascii="Times New Roman" w:cs="Times New Roman" w:eastAsia="Times New Roman" w:hAnsi="Times New Roman"/>
          <w:sz w:val="13"/>
          <w:szCs w:val="13"/>
          <w:color w:val="auto"/>
        </w:rPr>
      </w:pPr>
    </w:p>
    <w:p>
      <w:pPr>
        <w:ind w:right="60" w:firstLine="7"/>
        <w:spacing w:after="0" w:line="258" w:lineRule="auto"/>
        <w:tabs>
          <w:tab w:leader="none" w:pos="38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are insured by insurers with appropriately rated claims paying abilities against such losses and risks and in such amounts as are prudent and customary for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neither the Company nor any such subsidiary has any reason to believe that it will not be able to renew its existing insurance coverage as and when such coverage expires or to obtain similar coverage from similar insurers as may be necessary at a cost that would not have a Material Adverse Effect, except as set forth in or contemplated in the General Disclosure Package; and the Company currently has or will obtain directors’ and officer’s insurance in such amounts as is appropriate for a public company in its industry of comparable size.</w:t>
      </w:r>
    </w:p>
    <w:p>
      <w:pPr>
        <w:spacing w:after="0" w:line="1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900" w:top="716" w:right="239" w:bottom="1440" w:gutter="0" w:footer="0" w:header="0"/>
        </w:sectPr>
      </w:pPr>
    </w:p>
    <w:bookmarkStart w:id="18" w:name="page19"/>
    <w:bookmarkEnd w:id="18"/>
    <w:p>
      <w:pPr>
        <w:ind w:left="223" w:right="80" w:firstLine="7"/>
        <w:spacing w:after="0" w:line="259" w:lineRule="auto"/>
        <w:tabs>
          <w:tab w:leader="none" w:pos="648"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in the General Disclosure Package, since the end of the period covered by the latest audited financial statements included in the General Disclosure Package (A) there has been no change, nor any development or event involving a prospective change, in the condition (financial or otherwise), results of operations, business, properties or prospects of the Company and its subsidiaries, taken as a whole, that is material and adverse, (B) except as disclosed in or contemplated by the General Disclosure Package, there has been no dividend or distribution of any kind declared, paid or made by the Company on any class of its capital stock and (C) except as disclosed in or contemplated by the General Disclosure Package, there has been no change in the capital stock, short-term indebtedness, long-term indebtedness, net current assets or net assets of the Company and its subsidiaries that has had, or that would reasonably be expected to have, individually or in the aggregate, a Material Adverse Effect.</w:t>
      </w:r>
    </w:p>
    <w:p>
      <w:pPr>
        <w:spacing w:after="0" w:line="54" w:lineRule="exact"/>
        <w:rPr>
          <w:rFonts w:ascii="Times New Roman" w:cs="Times New Roman" w:eastAsia="Times New Roman" w:hAnsi="Times New Roman"/>
          <w:sz w:val="13"/>
          <w:szCs w:val="13"/>
          <w:color w:val="auto"/>
        </w:rPr>
      </w:pPr>
    </w:p>
    <w:p>
      <w:pPr>
        <w:ind w:left="223" w:firstLine="7"/>
        <w:spacing w:after="0" w:line="256" w:lineRule="auto"/>
        <w:tabs>
          <w:tab w:leader="none" w:pos="639"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section entitled “Part I. Item 7. Management’s Discussion and Analysis of Financial Condition and Results of Operation—Critical Accounting Policies and Estimates” in the Company’s Annual Report on Form 10-K for they year ended December 31, 2008 filed with the Commission on February 20, 2009 (the “</w:t>
      </w:r>
      <w:r>
        <w:rPr>
          <w:rFonts w:ascii="Times New Roman" w:cs="Times New Roman" w:eastAsia="Times New Roman" w:hAnsi="Times New Roman"/>
          <w:sz w:val="13"/>
          <w:szCs w:val="13"/>
          <w:b w:val="1"/>
          <w:bCs w:val="1"/>
          <w:color w:val="auto"/>
        </w:rPr>
        <w:t>10-K</w:t>
      </w:r>
      <w:r>
        <w:rPr>
          <w:rFonts w:ascii="Times New Roman" w:cs="Times New Roman" w:eastAsia="Times New Roman" w:hAnsi="Times New Roman"/>
          <w:sz w:val="13"/>
          <w:szCs w:val="13"/>
          <w:color w:val="auto"/>
        </w:rPr>
        <w:t>”), the section entitled “Part I. Item 2. Management’s Discussion and Analysis of Financial Condition and Results of Operation—Critical Accounting Policies and Estimates” in the Company’s Quarterly Report on Form 10-Q for the quarter ended March 31, 2009 filed with the Commission on April 28, 2009 (the “</w:t>
      </w:r>
      <w:r>
        <w:rPr>
          <w:rFonts w:ascii="Times New Roman" w:cs="Times New Roman" w:eastAsia="Times New Roman" w:hAnsi="Times New Roman"/>
          <w:sz w:val="13"/>
          <w:szCs w:val="13"/>
          <w:b w:val="1"/>
          <w:bCs w:val="1"/>
          <w:color w:val="auto"/>
        </w:rPr>
        <w:t>First Quarter 10-Q</w:t>
      </w:r>
      <w:r>
        <w:rPr>
          <w:rFonts w:ascii="Times New Roman" w:cs="Times New Roman" w:eastAsia="Times New Roman" w:hAnsi="Times New Roman"/>
          <w:sz w:val="13"/>
          <w:szCs w:val="13"/>
          <w:color w:val="auto"/>
        </w:rPr>
        <w:t>”) and the section entitled “Part I. Item 2. Management’s Discussion and Analysis of Financial Condition and Results of Operation—Critical Accounting Policies and Estimates” in the Company’s Quarterly Report on Form 10-Q for the quarter ended June 30, 2009 filed with the Commission on August 3, 2009 (the “</w:t>
      </w:r>
      <w:r>
        <w:rPr>
          <w:rFonts w:ascii="Times New Roman" w:cs="Times New Roman" w:eastAsia="Times New Roman" w:hAnsi="Times New Roman"/>
          <w:sz w:val="13"/>
          <w:szCs w:val="13"/>
          <w:b w:val="1"/>
          <w:bCs w:val="1"/>
          <w:color w:val="auto"/>
        </w:rPr>
        <w:t>Second Quarter 10-Q</w:t>
      </w:r>
      <w:r>
        <w:rPr>
          <w:rFonts w:ascii="Times New Roman" w:cs="Times New Roman" w:eastAsia="Times New Roman" w:hAnsi="Times New Roman"/>
          <w:sz w:val="13"/>
          <w:szCs w:val="13"/>
          <w:color w:val="auto"/>
        </w:rPr>
        <w:t>,” and, together with the First Quarter 10-Q, the “</w:t>
      </w:r>
      <w:r>
        <w:rPr>
          <w:rFonts w:ascii="Times New Roman" w:cs="Times New Roman" w:eastAsia="Times New Roman" w:hAnsi="Times New Roman"/>
          <w:sz w:val="13"/>
          <w:szCs w:val="13"/>
          <w:b w:val="1"/>
          <w:bCs w:val="1"/>
          <w:color w:val="auto"/>
        </w:rPr>
        <w:t>10-Qs</w:t>
      </w:r>
      <w:r>
        <w:rPr>
          <w:rFonts w:ascii="Times New Roman" w:cs="Times New Roman" w:eastAsia="Times New Roman" w:hAnsi="Times New Roman"/>
          <w:sz w:val="13"/>
          <w:szCs w:val="13"/>
          <w:color w:val="auto"/>
        </w:rPr>
        <w:t>”) incorporated by reference into the Registration Statement and the General Disclosure Package accurately and fully describe (A) accounting policies which the Company believes are the most important in the portrayal of the financial condition and results of operations of the Company and its consolidated subsidiaries and which require management’s most difficult, subjective or complex judgments (“</w:t>
      </w:r>
      <w:r>
        <w:rPr>
          <w:rFonts w:ascii="Times New Roman" w:cs="Times New Roman" w:eastAsia="Times New Roman" w:hAnsi="Times New Roman"/>
          <w:sz w:val="13"/>
          <w:szCs w:val="13"/>
          <w:b w:val="1"/>
          <w:bCs w:val="1"/>
          <w:color w:val="auto"/>
        </w:rPr>
        <w:t>Critical Accounting Policies</w:t>
      </w:r>
      <w:r>
        <w:rPr>
          <w:rFonts w:ascii="Times New Roman" w:cs="Times New Roman" w:eastAsia="Times New Roman" w:hAnsi="Times New Roman"/>
          <w:sz w:val="13"/>
          <w:szCs w:val="13"/>
          <w:color w:val="auto"/>
        </w:rPr>
        <w:t>”), (B) judgments and uncertainties affecting the application of Critical Accounting Policies, and (C) to the extent required by the Rules and Regulations, explanations of the likelihood that materially different amounts would be reported under different conditions or using different assumptions.</w:t>
      </w:r>
    </w:p>
    <w:p>
      <w:pPr>
        <w:spacing w:after="0" w:line="58" w:lineRule="exact"/>
        <w:rPr>
          <w:rFonts w:ascii="Times New Roman" w:cs="Times New Roman" w:eastAsia="Times New Roman" w:hAnsi="Times New Roman"/>
          <w:sz w:val="13"/>
          <w:szCs w:val="13"/>
          <w:color w:val="auto"/>
        </w:rPr>
      </w:pPr>
    </w:p>
    <w:p>
      <w:pPr>
        <w:ind w:left="223" w:firstLine="7"/>
        <w:spacing w:after="0" w:line="263" w:lineRule="auto"/>
        <w:tabs>
          <w:tab w:leader="none" w:pos="602"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required by the Rules and Regulations, the section entitled “Part I. Item 7. Management’s Discussion and Analysis of Financial Condition and Results of Operations—Liquidity, Capital Resources, and Financial Position” in the 10-K and the sections entitled “Part I. Item 2. Management’s Discussion and Analysis of Financial Condition and Results of Operations—Liquidity and Capital Resources” in the 10-Qs incorporated by reference into the Registration Statement and the General Disclosure Package accurately and fairly describe material trends, demands, commitments, events, uncertainties and risks, and the potential effects thereof, that the Company believes would materially affect its liquidity and are reasonably likely to occur.</w:t>
      </w:r>
    </w:p>
    <w:p>
      <w:pPr>
        <w:spacing w:after="0" w:line="52" w:lineRule="exact"/>
        <w:rPr>
          <w:rFonts w:ascii="Times New Roman" w:cs="Times New Roman" w:eastAsia="Times New Roman" w:hAnsi="Times New Roman"/>
          <w:sz w:val="13"/>
          <w:szCs w:val="13"/>
          <w:color w:val="auto"/>
        </w:rPr>
      </w:pPr>
    </w:p>
    <w:p>
      <w:pPr>
        <w:ind w:left="223" w:right="80" w:firstLine="7"/>
        <w:spacing w:after="0" w:line="286" w:lineRule="auto"/>
        <w:tabs>
          <w:tab w:leader="none" w:pos="639"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and, after giving effect to the offering and sale of the Offered Securities and the application of the proceeds thereof as described in the General Disclosure Package, will not be required to register as an “investment company” under the Investment Company Act of 1940, as amended (the “</w:t>
      </w:r>
      <w:r>
        <w:rPr>
          <w:rFonts w:ascii="Times New Roman" w:cs="Times New Roman" w:eastAsia="Times New Roman" w:hAnsi="Times New Roman"/>
          <w:sz w:val="13"/>
          <w:szCs w:val="13"/>
          <w:b w:val="1"/>
          <w:bCs w:val="1"/>
          <w:color w:val="auto"/>
        </w:rPr>
        <w:t>Investment Company Act</w:t>
      </w:r>
      <w:r>
        <w:rPr>
          <w:rFonts w:ascii="Times New Roman" w:cs="Times New Roman" w:eastAsia="Times New Roman" w:hAnsi="Times New Roman"/>
          <w:sz w:val="13"/>
          <w:szCs w:val="13"/>
          <w:color w:val="auto"/>
        </w:rPr>
        <w:t>”).</w:t>
      </w:r>
    </w:p>
    <w:p>
      <w:pPr>
        <w:spacing w:after="0" w:line="36" w:lineRule="exact"/>
        <w:rPr>
          <w:rFonts w:ascii="Times New Roman" w:cs="Times New Roman" w:eastAsia="Times New Roman" w:hAnsi="Times New Roman"/>
          <w:sz w:val="13"/>
          <w:szCs w:val="13"/>
          <w:color w:val="auto"/>
        </w:rPr>
      </w:pPr>
    </w:p>
    <w:p>
      <w:pPr>
        <w:ind w:left="223" w:right="420" w:firstLine="7"/>
        <w:spacing w:after="0" w:line="286" w:lineRule="auto"/>
        <w:tabs>
          <w:tab w:leader="none" w:pos="675"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the execution, delivery and performance of this Agreement, and the issuance and sale of the Offered Securities, will not constitute a change in ownership resulting in a “change of control” of the Company pursuant to the applicable regulations promulgated under the HEA or any applicable statute or regulation.</w:t>
      </w:r>
    </w:p>
    <w:p>
      <w:pPr>
        <w:spacing w:after="0" w:line="36" w:lineRule="exact"/>
        <w:rPr>
          <w:rFonts w:ascii="Times New Roman" w:cs="Times New Roman" w:eastAsia="Times New Roman" w:hAnsi="Times New Roman"/>
          <w:sz w:val="13"/>
          <w:szCs w:val="13"/>
          <w:color w:val="auto"/>
        </w:rPr>
      </w:pPr>
    </w:p>
    <w:p>
      <w:pPr>
        <w:ind w:left="183" w:hanging="183"/>
        <w:spacing w:after="0"/>
        <w:tabs>
          <w:tab w:leader="none" w:pos="183"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Selling Stockholder severally represents and warrants to, and agrees with, the several Underwriters that as of the date hereof, as of the Applicable Time and as of each Closing Date:</w:t>
      </w:r>
    </w:p>
    <w:p>
      <w:pPr>
        <w:spacing w:after="0" w:line="86" w:lineRule="exact"/>
        <w:rPr>
          <w:rFonts w:ascii="Times New Roman" w:cs="Times New Roman" w:eastAsia="Times New Roman" w:hAnsi="Times New Roman"/>
          <w:sz w:val="13"/>
          <w:szCs w:val="13"/>
          <w:color w:val="auto"/>
        </w:rPr>
      </w:pPr>
    </w:p>
    <w:p>
      <w:pPr>
        <w:ind w:left="383" w:hanging="153"/>
        <w:spacing w:after="0"/>
        <w:tabs>
          <w:tab w:leader="none" w:pos="383"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Selling Stockholder has, and on each Closing Date hereinafter mentioned will have, valid and unencumbered title to the Offered Securities to be delivered by such Selling Stockholder</w:t>
      </w:r>
    </w:p>
    <w:p>
      <w:pPr>
        <w:spacing w:after="0" w:line="145" w:lineRule="exact"/>
        <w:rPr>
          <w:sz w:val="20"/>
          <w:szCs w:val="20"/>
          <w:color w:val="auto"/>
        </w:rPr>
      </w:pPr>
    </w:p>
    <w:p>
      <w:pPr>
        <w:jc w:val="center"/>
        <w:ind w:right="417"/>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109855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83"/>
          </w:cols>
          <w:pgMar w:left="677" w:top="716" w:right="239" w:bottom="1440" w:gutter="0" w:footer="0" w:header="0"/>
        </w:sectPr>
      </w:pPr>
    </w:p>
    <w:bookmarkStart w:id="19" w:name="page20"/>
    <w:bookmarkEnd w:id="19"/>
    <w:p>
      <w:pPr>
        <w:ind w:left="223"/>
        <w:spacing w:after="0" w:line="269" w:lineRule="auto"/>
        <w:rPr>
          <w:sz w:val="20"/>
          <w:szCs w:val="20"/>
          <w:color w:val="auto"/>
        </w:rPr>
      </w:pPr>
      <w:r>
        <w:rPr>
          <w:rFonts w:ascii="Times New Roman" w:cs="Times New Roman" w:eastAsia="Times New Roman" w:hAnsi="Times New Roman"/>
          <w:sz w:val="13"/>
          <w:szCs w:val="13"/>
          <w:color w:val="auto"/>
        </w:rPr>
        <w:t>on such Closing Date and full right, power and authority to enter into this Agreement and to sell, assign, transfer and deliver the Offered Securities to be delivered by such Selling Stockholder on such Closing Date hereunder; and upon the delivery of and payment for the Offered Securities on each Closing Date hereunder the several Underwriters will acquire valid and unencumbered title to the Offered Securities to be delivered by such Selling Stockholder on such Closing Date.</w:t>
      </w:r>
    </w:p>
    <w:p>
      <w:pPr>
        <w:spacing w:after="0" w:line="48" w:lineRule="exact"/>
        <w:rPr>
          <w:sz w:val="20"/>
          <w:szCs w:val="20"/>
          <w:color w:val="auto"/>
        </w:rPr>
      </w:pPr>
    </w:p>
    <w:p>
      <w:pPr>
        <w:ind w:left="223" w:firstLine="7"/>
        <w:spacing w:after="0" w:line="263" w:lineRule="auto"/>
        <w:tabs>
          <w:tab w:leader="none" w:pos="415"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consent, approval, authorization or order of, or filing with, any person (including any governmental agency or body or any court) is required to be obtained or made by any Selling Stockholder for the consummation of the transactions contemplated by the Custody Agreements by and between Computershare Trust Company, N.A. (the “</w:t>
      </w:r>
      <w:r>
        <w:rPr>
          <w:rFonts w:ascii="Times New Roman" w:cs="Times New Roman" w:eastAsia="Times New Roman" w:hAnsi="Times New Roman"/>
          <w:sz w:val="13"/>
          <w:szCs w:val="13"/>
          <w:b w:val="1"/>
          <w:bCs w:val="1"/>
          <w:color w:val="auto"/>
        </w:rPr>
        <w:t>Custodian</w:t>
      </w:r>
      <w:r>
        <w:rPr>
          <w:rFonts w:ascii="Times New Roman" w:cs="Times New Roman" w:eastAsia="Times New Roman" w:hAnsi="Times New Roman"/>
          <w:sz w:val="13"/>
          <w:szCs w:val="13"/>
          <w:color w:val="auto"/>
        </w:rPr>
        <w:t>”) and certain Selling Stockholders (collectively, the “</w:t>
      </w:r>
      <w:r>
        <w:rPr>
          <w:rFonts w:ascii="Times New Roman" w:cs="Times New Roman" w:eastAsia="Times New Roman" w:hAnsi="Times New Roman"/>
          <w:sz w:val="13"/>
          <w:szCs w:val="13"/>
          <w:b w:val="1"/>
          <w:bCs w:val="1"/>
          <w:color w:val="auto"/>
        </w:rPr>
        <w:t>Custody Agreements</w:t>
      </w:r>
      <w:r>
        <w:rPr>
          <w:rFonts w:ascii="Times New Roman" w:cs="Times New Roman" w:eastAsia="Times New Roman" w:hAnsi="Times New Roman"/>
          <w:sz w:val="13"/>
          <w:szCs w:val="13"/>
          <w:color w:val="auto"/>
        </w:rPr>
        <w:t>”) or this Agreement in connection with the offering and sale of the Offered Securities sold by the Selling Stockholders, except such as have been obtained and made under the Act and such as may be required under state securities laws.</w:t>
      </w:r>
    </w:p>
    <w:p>
      <w:pPr>
        <w:spacing w:after="0" w:line="52" w:lineRule="exact"/>
        <w:rPr>
          <w:rFonts w:ascii="Times New Roman" w:cs="Times New Roman" w:eastAsia="Times New Roman" w:hAnsi="Times New Roman"/>
          <w:sz w:val="13"/>
          <w:szCs w:val="13"/>
          <w:color w:val="auto"/>
        </w:rPr>
      </w:pPr>
    </w:p>
    <w:p>
      <w:pPr>
        <w:ind w:left="223" w:right="20" w:firstLine="7"/>
        <w:spacing w:after="0" w:line="261" w:lineRule="auto"/>
        <w:tabs>
          <w:tab w:leader="none" w:pos="449"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of the Custody Agreements and this Agreement and the consummation of the transactions therein and herein contemplated will not result in a breach or violation of any of the terms and provisions of, or constitute a default under, or result in the imposition of any lien, charge or encumbrance upon any property or assets of any Selling Stockholder pursuant to, any statute, any rule, regulation or order of any governmental agency or body or any court having jurisdiction over any Selling Stockholder or any of such Selling Stockholder’s properties or any agreement or instrument to which any Selling Stockholder is a party or by which any Selling Stockholder is bound or to which any of the properties of any Selling Stockholder is subject, or the charter or by-laws of any Selling Stockholder that is a corporation or the constituent documents of any Selling Stockholder that is not a natural person or a corporation.</w:t>
      </w:r>
    </w:p>
    <w:p>
      <w:pPr>
        <w:spacing w:after="0" w:line="52" w:lineRule="exact"/>
        <w:rPr>
          <w:rFonts w:ascii="Times New Roman" w:cs="Times New Roman" w:eastAsia="Times New Roman" w:hAnsi="Times New Roman"/>
          <w:sz w:val="13"/>
          <w:szCs w:val="13"/>
          <w:color w:val="auto"/>
        </w:rPr>
      </w:pPr>
    </w:p>
    <w:p>
      <w:pPr>
        <w:jc w:val="both"/>
        <w:ind w:left="223" w:firstLine="7"/>
        <w:spacing w:after="0" w:line="269" w:lineRule="auto"/>
        <w:tabs>
          <w:tab w:leader="none" w:pos="442"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Power of Attorney and related Custody Agreement with respect to each Selling Stockholder has been duly authorized, executed and delivered by such Selling Stockholder and constitute valid and legally binding obligations of each such Selling Stockholder enforceable in accordance with their terms, subject to bankruptcy, insolvency, fraudulent transfer, reorganization, moratorium and similar laws of general applicability relating to or affecting creditors’ rights and to general equity principles.</w:t>
      </w:r>
    </w:p>
    <w:p>
      <w:pPr>
        <w:spacing w:after="0" w:line="47" w:lineRule="exact"/>
        <w:rPr>
          <w:rFonts w:ascii="Times New Roman" w:cs="Times New Roman" w:eastAsia="Times New Roman" w:hAnsi="Times New Roman"/>
          <w:sz w:val="13"/>
          <w:szCs w:val="13"/>
          <w:color w:val="auto"/>
        </w:rPr>
      </w:pPr>
    </w:p>
    <w:p>
      <w:pPr>
        <w:ind w:left="223" w:right="20" w:firstLine="7"/>
        <w:spacing w:after="0" w:line="286" w:lineRule="auto"/>
        <w:tabs>
          <w:tab w:leader="none" w:pos="406"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sale of the Offered Securities by such Selling Stockholder pursuant to this Agreement is not prompted by any material information concerning the Company or any of its subsidiaries that is not set forth in the General Disclosure Package.</w:t>
      </w:r>
    </w:p>
    <w:p>
      <w:pPr>
        <w:spacing w:after="0" w:line="36" w:lineRule="exact"/>
        <w:rPr>
          <w:rFonts w:ascii="Times New Roman" w:cs="Times New Roman" w:eastAsia="Times New Roman" w:hAnsi="Times New Roman"/>
          <w:sz w:val="13"/>
          <w:szCs w:val="13"/>
          <w:color w:val="auto"/>
        </w:rPr>
      </w:pPr>
    </w:p>
    <w:p>
      <w:pPr>
        <w:ind w:left="443" w:hanging="213"/>
        <w:spacing w:after="0"/>
        <w:tabs>
          <w:tab w:leader="none" w:pos="443"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has been duly authorized, executed and delivered by such Selling Stockholder.</w:t>
      </w:r>
    </w:p>
    <w:p>
      <w:pPr>
        <w:spacing w:after="0" w:line="86" w:lineRule="exact"/>
        <w:rPr>
          <w:rFonts w:ascii="Times New Roman" w:cs="Times New Roman" w:eastAsia="Times New Roman" w:hAnsi="Times New Roman"/>
          <w:sz w:val="13"/>
          <w:szCs w:val="13"/>
          <w:color w:val="auto"/>
        </w:rPr>
      </w:pPr>
    </w:p>
    <w:p>
      <w:pPr>
        <w:ind w:left="223" w:right="180" w:firstLine="7"/>
        <w:spacing w:after="0" w:line="286" w:lineRule="auto"/>
        <w:tabs>
          <w:tab w:leader="none" w:pos="481"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in the General Disclosure Package, there are no contracts, agreements or understandings between such Selling Stockholder and any person that would give rise to a valid claim against such Selling Stockholder or any Underwriter for a brokerage commission, finder’s fee or other like payment in connection with this offering.</w:t>
      </w:r>
    </w:p>
    <w:p>
      <w:pPr>
        <w:spacing w:after="0" w:line="36" w:lineRule="exact"/>
        <w:rPr>
          <w:rFonts w:ascii="Times New Roman" w:cs="Times New Roman" w:eastAsia="Times New Roman" w:hAnsi="Times New Roman"/>
          <w:sz w:val="13"/>
          <w:szCs w:val="13"/>
          <w:color w:val="auto"/>
        </w:rPr>
      </w:pPr>
    </w:p>
    <w:p>
      <w:pPr>
        <w:ind w:left="223" w:right="360" w:firstLine="7"/>
        <w:spacing w:after="0" w:line="286" w:lineRule="auto"/>
        <w:tabs>
          <w:tab w:leader="none" w:pos="517"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Selling Stockholder has not taken, directly or indirectly, any action that is designed to or that has constituted or that would reasonably be expected to cause or result in the stabilization or manipulation of the price of any security of the Company to facilitate the sale or resale of the Offered Securities.</w:t>
      </w:r>
    </w:p>
    <w:p>
      <w:pPr>
        <w:spacing w:after="0" w:line="34" w:lineRule="exact"/>
        <w:rPr>
          <w:rFonts w:ascii="Times New Roman" w:cs="Times New Roman" w:eastAsia="Times New Roman" w:hAnsi="Times New Roman"/>
          <w:sz w:val="13"/>
          <w:szCs w:val="13"/>
          <w:color w:val="auto"/>
        </w:rPr>
      </w:pPr>
    </w:p>
    <w:p>
      <w:pPr>
        <w:ind w:left="3" w:right="20" w:hanging="3"/>
        <w:spacing w:after="0" w:line="289" w:lineRule="auto"/>
        <w:tabs>
          <w:tab w:leader="none" w:pos="181"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Selling Stockholders set forth on </w:t>
      </w:r>
      <w:r>
        <w:rPr>
          <w:rFonts w:ascii="Times New Roman" w:cs="Times New Roman" w:eastAsia="Times New Roman" w:hAnsi="Times New Roman"/>
          <w:sz w:val="13"/>
          <w:szCs w:val="13"/>
          <w:u w:val="single" w:color="auto"/>
          <w:color w:val="auto"/>
        </w:rPr>
        <w:t>Schedule D</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color w:val="auto"/>
        </w:rPr>
        <w:t>Principal Stockholders</w:t>
      </w:r>
      <w:r>
        <w:rPr>
          <w:rFonts w:ascii="Times New Roman" w:cs="Times New Roman" w:eastAsia="Times New Roman" w:hAnsi="Times New Roman"/>
          <w:sz w:val="13"/>
          <w:szCs w:val="13"/>
          <w:color w:val="auto"/>
        </w:rPr>
        <w:t xml:space="preserve">”) severally (except as set forth on </w:t>
      </w:r>
      <w:r>
        <w:rPr>
          <w:rFonts w:ascii="Times New Roman" w:cs="Times New Roman" w:eastAsia="Times New Roman" w:hAnsi="Times New Roman"/>
          <w:sz w:val="13"/>
          <w:szCs w:val="13"/>
          <w:u w:val="single" w:color="auto"/>
          <w:color w:val="auto"/>
        </w:rPr>
        <w:t>Schedule D</w:t>
      </w:r>
      <w:r>
        <w:rPr>
          <w:rFonts w:ascii="Times New Roman" w:cs="Times New Roman" w:eastAsia="Times New Roman" w:hAnsi="Times New Roman"/>
          <w:sz w:val="13"/>
          <w:szCs w:val="13"/>
          <w:color w:val="auto"/>
        </w:rPr>
        <w:t xml:space="preserve"> hereto) represents and warrants to, and agrees with, the several Underwriters that as of the date hereof, as of the Applicable Time and as of each Closing Date:</w:t>
      </w:r>
    </w:p>
    <w:p>
      <w:pPr>
        <w:spacing w:after="0" w:line="94" w:lineRule="exact"/>
        <w:rPr>
          <w:sz w:val="20"/>
          <w:szCs w:val="20"/>
          <w:color w:val="auto"/>
        </w:rPr>
      </w:pPr>
    </w:p>
    <w:p>
      <w:pPr>
        <w:jc w:val="center"/>
        <w:ind w:right="337"/>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109855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03"/>
          </w:cols>
          <w:pgMar w:left="677" w:top="716" w:right="319" w:bottom="1440" w:gutter="0" w:footer="0" w:header="0"/>
        </w:sectPr>
      </w:pPr>
    </w:p>
    <w:bookmarkStart w:id="20" w:name="page21"/>
    <w:bookmarkEnd w:id="20"/>
    <w:p>
      <w:pPr>
        <w:jc w:val="both"/>
        <w:ind w:left="680" w:right="60" w:firstLine="7"/>
        <w:spacing w:after="0" w:line="263" w:lineRule="auto"/>
        <w:tabs>
          <w:tab w:leader="none" w:pos="836"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On its date, (B) at the time of filing of the Final Prospectus pursuant to Rule 424(b) or (if no such filing is required) at the Effective Time of the Additional Registration Statement in which the Final Prospectus is included and (C) on each Closing Date, the Final Prospectus will not include any untrue statement of a material fact or omit to state any material fact required to be stated therein or necessary to make the statements therein not misleading. The preceding sentence does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w:t>
      </w:r>
      <w:r>
        <w:rPr>
          <w:rFonts w:ascii="Times New Roman" w:cs="Times New Roman" w:eastAsia="Times New Roman" w:hAnsi="Times New Roman"/>
          <w:sz w:val="13"/>
          <w:szCs w:val="13"/>
          <w:u w:val="single" w:color="auto"/>
          <w:color w:val="auto"/>
        </w:rPr>
        <w:t>Section 8(d)</w:t>
      </w:r>
      <w:r>
        <w:rPr>
          <w:rFonts w:ascii="Times New Roman" w:cs="Times New Roman" w:eastAsia="Times New Roman" w:hAnsi="Times New Roman"/>
          <w:sz w:val="13"/>
          <w:szCs w:val="13"/>
          <w:color w:val="auto"/>
        </w:rPr>
        <w:t>.</w:t>
      </w:r>
    </w:p>
    <w:p>
      <w:pPr>
        <w:spacing w:after="0" w:line="52" w:lineRule="exact"/>
        <w:rPr>
          <w:rFonts w:ascii="Times New Roman" w:cs="Times New Roman" w:eastAsia="Times New Roman" w:hAnsi="Times New Roman"/>
          <w:sz w:val="13"/>
          <w:szCs w:val="13"/>
          <w:color w:val="auto"/>
        </w:rPr>
      </w:pPr>
    </w:p>
    <w:p>
      <w:pPr>
        <w:ind w:left="680" w:right="140" w:firstLine="7"/>
        <w:spacing w:after="0" w:line="261" w:lineRule="auto"/>
        <w:tabs>
          <w:tab w:leader="none" w:pos="866"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of the Applicable Time, neither (A) the General Disclosure Package, nor (B)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w:t>
      </w:r>
      <w:r>
        <w:rPr>
          <w:rFonts w:ascii="Times New Roman" w:cs="Times New Roman" w:eastAsia="Times New Roman" w:hAnsi="Times New Roman"/>
          <w:sz w:val="13"/>
          <w:szCs w:val="13"/>
          <w:u w:val="single" w:color="auto"/>
          <w:color w:val="auto"/>
        </w:rPr>
        <w:t>Section 8(d)</w:t>
      </w:r>
      <w:r>
        <w:rPr>
          <w:rFonts w:ascii="Times New Roman" w:cs="Times New Roman" w:eastAsia="Times New Roman" w:hAnsi="Times New Roman"/>
          <w:sz w:val="13"/>
          <w:szCs w:val="13"/>
          <w:color w:val="auto"/>
        </w:rPr>
        <w:t>.</w:t>
      </w:r>
    </w:p>
    <w:p>
      <w:pPr>
        <w:spacing w:after="0" w:line="52" w:lineRule="exact"/>
        <w:rPr>
          <w:rFonts w:ascii="Times New Roman" w:cs="Times New Roman" w:eastAsia="Times New Roman" w:hAnsi="Times New Roman"/>
          <w:sz w:val="13"/>
          <w:szCs w:val="13"/>
          <w:color w:val="auto"/>
        </w:rPr>
      </w:pPr>
    </w:p>
    <w:p>
      <w:pPr>
        <w:ind w:left="900" w:hanging="213"/>
        <w:spacing w:after="0"/>
        <w:tabs>
          <w:tab w:leader="none" w:pos="90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of the date of this Agreement, such Principal Stockholder has no knowledge that, and does not believe that, any of the representations and warranties of the Company in </w:t>
      </w:r>
      <w:r>
        <w:rPr>
          <w:rFonts w:ascii="Times New Roman" w:cs="Times New Roman" w:eastAsia="Times New Roman" w:hAnsi="Times New Roman"/>
          <w:sz w:val="13"/>
          <w:szCs w:val="13"/>
          <w:u w:val="single" w:color="auto"/>
          <w:color w:val="auto"/>
        </w:rPr>
        <w:t>Section 2(a)</w:t>
      </w:r>
      <w:r>
        <w:rPr>
          <w:rFonts w:ascii="Times New Roman" w:cs="Times New Roman" w:eastAsia="Times New Roman" w:hAnsi="Times New Roman"/>
          <w:sz w:val="13"/>
          <w:szCs w:val="13"/>
          <w:color w:val="auto"/>
        </w:rPr>
        <w:t xml:space="preserve"> are incorrect.</w:t>
      </w:r>
    </w:p>
    <w:p>
      <w:pPr>
        <w:spacing w:after="0" w:line="84" w:lineRule="exact"/>
        <w:rPr>
          <w:rFonts w:ascii="Times New Roman" w:cs="Times New Roman" w:eastAsia="Times New Roman" w:hAnsi="Times New Roman"/>
          <w:sz w:val="13"/>
          <w:szCs w:val="13"/>
          <w:color w:val="auto"/>
        </w:rPr>
      </w:pPr>
    </w:p>
    <w:p>
      <w:pPr>
        <w:ind w:left="460" w:right="80" w:hanging="3"/>
        <w:spacing w:after="0" w:line="259" w:lineRule="auto"/>
        <w:tabs>
          <w:tab w:leader="none" w:pos="645"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Selling Stockholders other than the Principal Stockholders (the “</w:t>
      </w:r>
      <w:r>
        <w:rPr>
          <w:rFonts w:ascii="Times New Roman" w:cs="Times New Roman" w:eastAsia="Times New Roman" w:hAnsi="Times New Roman"/>
          <w:sz w:val="13"/>
          <w:szCs w:val="13"/>
          <w:b w:val="1"/>
          <w:bCs w:val="1"/>
          <w:color w:val="auto"/>
        </w:rPr>
        <w:t>Other Stockholders</w:t>
      </w:r>
      <w:r>
        <w:rPr>
          <w:rFonts w:ascii="Times New Roman" w:cs="Times New Roman" w:eastAsia="Times New Roman" w:hAnsi="Times New Roman"/>
          <w:sz w:val="13"/>
          <w:szCs w:val="13"/>
          <w:color w:val="auto"/>
        </w:rPr>
        <w:t xml:space="preserve">”) severally represents and warrants to, and agrees with, the several Underwriters that as of the date hereof, as of the Applicable Time and as of each Closing Date: (i) on its date, (ii) at the time of filing of the Final Prospectus pursuant to Rule 424(b) or (if no such filing is required) at the Effective Time of the Additional Registration Statement in which the Final Prospectus is included and (iii) on each Closing Date, the Final Prospectus will not include any untrue statement of a material fact or omit to state any material fact required to be stated therein or necessary to make the statements therein not misleading. The preceding sentence applies only to statements in or omissions from any such document based upon written information furnished to the Company by or on behalf of the Other Stockholders specifically for use therein, it being understood and agreed that the only such information furnished by any Other Stockholder consists of the information as described in </w:t>
      </w:r>
      <w:r>
        <w:rPr>
          <w:rFonts w:ascii="Times New Roman" w:cs="Times New Roman" w:eastAsia="Times New Roman" w:hAnsi="Times New Roman"/>
          <w:sz w:val="13"/>
          <w:szCs w:val="13"/>
          <w:u w:val="single" w:color="auto"/>
          <w:color w:val="auto"/>
        </w:rPr>
        <w:t>Schedule G</w:t>
      </w:r>
      <w:r>
        <w:rPr>
          <w:rFonts w:ascii="Times New Roman" w:cs="Times New Roman" w:eastAsia="Times New Roman" w:hAnsi="Times New Roman"/>
          <w:sz w:val="13"/>
          <w:szCs w:val="13"/>
          <w:color w:val="auto"/>
        </w:rPr>
        <w:t xml:space="preserve"> hereto.</w:t>
      </w:r>
    </w:p>
    <w:p>
      <w:pPr>
        <w:spacing w:after="0" w:line="54" w:lineRule="exact"/>
        <w:rPr>
          <w:sz w:val="20"/>
          <w:szCs w:val="20"/>
          <w:color w:val="auto"/>
        </w:rPr>
      </w:pPr>
    </w:p>
    <w:p>
      <w:pPr>
        <w:ind w:left="300" w:hanging="138"/>
        <w:spacing w:after="0"/>
        <w:tabs>
          <w:tab w:leader="none" w:pos="3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Purchase, Sale and Delivery of Offered Securities</w:t>
      </w:r>
      <w:r>
        <w:rPr>
          <w:rFonts w:ascii="Times New Roman" w:cs="Times New Roman" w:eastAsia="Times New Roman" w:hAnsi="Times New Roman"/>
          <w:sz w:val="13"/>
          <w:szCs w:val="13"/>
          <w:color w:val="auto"/>
        </w:rPr>
        <w:t>. On the basis of the representations, warranties and agreements and subject to the terms and conditions set forth herein, the Company and each Selling</w:t>
      </w:r>
    </w:p>
    <w:p>
      <w:pPr>
        <w:spacing w:after="0" w:line="23"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Stockholder agrees, severally and not jointly, to sell to each Underwriter, and each Underwriter agrees, severally and not jointly, to purchase from the Company and each Selling Stockholder, at a purchase price of</w:t>
      </w:r>
    </w:p>
    <w:p>
      <w:pPr>
        <w:spacing w:after="0" w:line="7" w:lineRule="exact"/>
        <w:rPr>
          <w:rFonts w:ascii="Times New Roman" w:cs="Times New Roman" w:eastAsia="Times New Roman" w:hAnsi="Times New Roman"/>
          <w:sz w:val="13"/>
          <w:szCs w:val="13"/>
          <w:color w:val="auto"/>
        </w:rPr>
      </w:pPr>
    </w:p>
    <w:p>
      <w:pPr>
        <w:jc w:val="both"/>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$[___] per share, that number of Firm Securities (rounded up or down, as determined by the Representatives in their discretion, in order to avoid fractions) obtained by multiplying 1,000,000 Firm Securities, in the case of the Company, and the number of Firm Securities set forth opposite the name of such Selling Stockholder in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in the case of a Selling Stockholder, in each case by a fraction the numerator of which is the number of Firm Securities set forth opposite the name of such Underwriter in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 xml:space="preserve"> hereto and the denominator is the total number of Firm Securities.</w:t>
      </w:r>
    </w:p>
    <w:p>
      <w:pPr>
        <w:spacing w:after="0" w:line="55" w:lineRule="exact"/>
        <w:rPr>
          <w:sz w:val="20"/>
          <w:szCs w:val="20"/>
          <w:color w:val="auto"/>
        </w:rPr>
      </w:pPr>
    </w:p>
    <w:p>
      <w:pPr>
        <w:ind w:right="100" w:firstLine="164"/>
        <w:spacing w:after="0" w:line="261" w:lineRule="auto"/>
        <w:rPr>
          <w:sz w:val="20"/>
          <w:szCs w:val="20"/>
          <w:color w:val="auto"/>
        </w:rPr>
      </w:pPr>
      <w:r>
        <w:rPr>
          <w:rFonts w:ascii="Times New Roman" w:cs="Times New Roman" w:eastAsia="Times New Roman" w:hAnsi="Times New Roman"/>
          <w:sz w:val="13"/>
          <w:szCs w:val="13"/>
          <w:color w:val="auto"/>
        </w:rPr>
        <w:t>Certificates in negotiable form for the Offered Securities to be sold by the Selling Stockholders hereunder have been placed in custody, for delivery under this Agreement, under Custody Agreements made with the Custodian. Each Selling Stockholder agrees that the shares represented by the certificates held in custody for the Selling Stockholders under such Custody Agreements are subject to the interests of the Underwriters hereunder, that the arrangements made by the Selling Stockholders for such custody are to that extent irrevocable, and that the obligations of the Selling Stockholders hereunder shall not be terminated by operation of law, whether by the death of any individual Selling Stockholder or the occurrence of any other event, or in the case of a trust, by the death of any trustee or trustees or the termination of such trust. If any individual Selling Stockholder or any such trustee or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21" w:name="page22"/>
    <w:bookmarkEnd w:id="21"/>
    <w:p>
      <w:pPr>
        <w:jc w:val="both"/>
        <w:ind w:right="40"/>
        <w:spacing w:after="0" w:line="269" w:lineRule="auto"/>
        <w:rPr>
          <w:sz w:val="20"/>
          <w:szCs w:val="20"/>
          <w:color w:val="auto"/>
        </w:rPr>
      </w:pPr>
      <w:r>
        <w:rPr>
          <w:rFonts w:ascii="Times New Roman" w:cs="Times New Roman" w:eastAsia="Times New Roman" w:hAnsi="Times New Roman"/>
          <w:sz w:val="13"/>
          <w:szCs w:val="13"/>
          <w:color w:val="auto"/>
        </w:rPr>
        <w:t>trustees should die, or if any other such event should occur, or if any of such trusts should terminate, before the delivery of the Offered Securities hereunder, certificates for such Offered Securities shall be delivered by the Custodian in accordance with the terms and conditions of this Agreement as if such death or other event or termination had not occurred, regardless of whether or not the Custodian shall have received notice of such death or other event or termination.</w:t>
      </w:r>
    </w:p>
    <w:p>
      <w:pPr>
        <w:spacing w:after="0" w:line="48" w:lineRule="exact"/>
        <w:rPr>
          <w:sz w:val="20"/>
          <w:szCs w:val="20"/>
          <w:color w:val="auto"/>
        </w:rPr>
      </w:pPr>
    </w:p>
    <w:p>
      <w:pPr>
        <w:ind w:firstLine="161"/>
        <w:spacing w:after="0" w:line="259" w:lineRule="auto"/>
        <w:rPr>
          <w:sz w:val="20"/>
          <w:szCs w:val="20"/>
          <w:color w:val="auto"/>
        </w:rPr>
      </w:pPr>
      <w:r>
        <w:rPr>
          <w:rFonts w:ascii="Times New Roman" w:cs="Times New Roman" w:eastAsia="Times New Roman" w:hAnsi="Times New Roman"/>
          <w:sz w:val="13"/>
          <w:szCs w:val="13"/>
          <w:color w:val="auto"/>
        </w:rPr>
        <w:t>The Company and the Custodian will deliver the Firm Securities to or as instructed by the Representatives for the accounts of the several Underwriters in a form reasonably acceptable to the Representatives against payment of the purchase price in Federal (same day) funds by wire transfer to an account at a bank acceptable to the Representatives drawn to the order of the Company in the case of 1,000,000 shares of Firm Securities and the Custodian in the case of 5,000,000 Firm Securities, at the office of DLA Piper LLP (US), in Phoenix, Arizona, at 10:00 A.M., New York time, on September [___], 2009, or at such other time not later than seven full business days thereafter as the Representatives and the Company determine, such time being herein referred to as the “</w:t>
      </w:r>
      <w:r>
        <w:rPr>
          <w:rFonts w:ascii="Times New Roman" w:cs="Times New Roman" w:eastAsia="Times New Roman" w:hAnsi="Times New Roman"/>
          <w:sz w:val="13"/>
          <w:szCs w:val="13"/>
          <w:b w:val="1"/>
          <w:bCs w:val="1"/>
          <w:color w:val="auto"/>
        </w:rPr>
        <w:t>First Closing Date</w:t>
      </w:r>
      <w:r>
        <w:rPr>
          <w:rFonts w:ascii="Times New Roman" w:cs="Times New Roman" w:eastAsia="Times New Roman" w:hAnsi="Times New Roman"/>
          <w:sz w:val="13"/>
          <w:szCs w:val="13"/>
          <w:color w:val="auto"/>
        </w:rPr>
        <w:t>”. For purposes of Rule 15c6-1 under the Exchange Act, the First Closing Date (if later than the otherwise applicable settlement date) shall be the settlement date for payment of funds and delivery of securities for all the Offered Securities sold pursuant to the offering. The Firm Securities so to be delivered or evidence of their issuance will be made available for checking at the above office of DLA Piper LLP (US) at least 24 hours prior to the First Closing Date.</w:t>
      </w:r>
    </w:p>
    <w:p>
      <w:pPr>
        <w:spacing w:after="0" w:line="54" w:lineRule="exact"/>
        <w:rPr>
          <w:sz w:val="20"/>
          <w:szCs w:val="20"/>
          <w:color w:val="auto"/>
        </w:rPr>
      </w:pPr>
    </w:p>
    <w:p>
      <w:pPr>
        <w:ind w:firstLine="164"/>
        <w:spacing w:after="0" w:line="256" w:lineRule="auto"/>
        <w:rPr>
          <w:sz w:val="20"/>
          <w:szCs w:val="20"/>
          <w:color w:val="auto"/>
        </w:rPr>
      </w:pPr>
      <w:r>
        <w:rPr>
          <w:rFonts w:ascii="Times New Roman" w:cs="Times New Roman" w:eastAsia="Times New Roman" w:hAnsi="Times New Roman"/>
          <w:sz w:val="13"/>
          <w:szCs w:val="13"/>
          <w:color w:val="auto"/>
        </w:rPr>
        <w:t xml:space="preserve">In addition, upon written notice from the Representatives given to the Company and the Selling Stockholders from time to time not more than 30 days subsequent to the date of the Final Prospectus, the Underwriters may purchase all or less than all of the Optional Securities at the purchase price per Optional Security to be paid for the Firm Securities. The Selling Stockholders agree, severally and not jointly, to sell to the Underwriters the respective number of Optional Securities obtained by multiplying the number of Optional Securities specified in such notice by a fraction the numerator of which is the number of shares set forth opposite the names of such Selling Stockholders in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under the caption “Number of Optional Securities to be Sold” and the denominator of which is the total number of Optional Securities (subject to adjustment by the Representatives to eliminate fractions). Such Optional Securities shall be purchased from each Selling Stockholder for the account of each Underwriter in the same proportion as the number of Firm Securities set forth opposite such Underwriter’s name bears to the total number of Firm Securities (subject to adjustment by the Representatives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the Representatives to the Company and the Selling Stockholders.</w:t>
      </w:r>
    </w:p>
    <w:p>
      <w:pPr>
        <w:spacing w:after="0" w:line="57" w:lineRule="exact"/>
        <w:rPr>
          <w:sz w:val="20"/>
          <w:szCs w:val="20"/>
          <w:color w:val="auto"/>
        </w:rPr>
      </w:pPr>
    </w:p>
    <w:p>
      <w:pPr>
        <w:ind w:right="20" w:firstLine="164"/>
        <w:spacing w:after="0" w:line="259" w:lineRule="auto"/>
        <w:rPr>
          <w:sz w:val="20"/>
          <w:szCs w:val="20"/>
          <w:color w:val="auto"/>
        </w:rPr>
      </w:pPr>
      <w:r>
        <w:rPr>
          <w:rFonts w:ascii="Times New Roman" w:cs="Times New Roman" w:eastAsia="Times New Roman" w:hAnsi="Times New Roman"/>
          <w:sz w:val="13"/>
          <w:szCs w:val="13"/>
          <w:color w:val="auto"/>
        </w:rPr>
        <w:t>Each time for the delivery of and payment for the Optional Securities, being herein referred to as an “</w:t>
      </w:r>
      <w:r>
        <w:rPr>
          <w:rFonts w:ascii="Times New Roman" w:cs="Times New Roman" w:eastAsia="Times New Roman" w:hAnsi="Times New Roman"/>
          <w:sz w:val="13"/>
          <w:szCs w:val="13"/>
          <w:b w:val="1"/>
          <w:bCs w:val="1"/>
          <w:color w:val="auto"/>
        </w:rPr>
        <w:t>Optional Closing Date</w:t>
      </w:r>
      <w:r>
        <w:rPr>
          <w:rFonts w:ascii="Times New Roman" w:cs="Times New Roman" w:eastAsia="Times New Roman" w:hAnsi="Times New Roman"/>
          <w:sz w:val="13"/>
          <w:szCs w:val="13"/>
          <w:color w:val="auto"/>
        </w:rPr>
        <w:t>”, which may be the First Closing Date (the First Closing Date and each Optional Closing Date, if any, being sometimes referred to as a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shall be determined by the Representatives but shall be not later than five full business days after written notice of election to purchase Optional Securities is given. The Custodian will deliver the Optional Securities being purchased on each Optional Closing Date to or as instructed by the Representatives for the accounts of the several Underwriters in a form reasonably acceptable to the Representatives, against payment of the purchase price therefore in Federal (same day) funds by wire transfer to an account at a bank acceptable to the Representatives drawn to the Custodian at the above office of DLA Piper LLP (US). The Optional Securities being purchased on each Optional Closing Date or evidence of their issuance will be made available for checking at the above office of DLA Piper LLP (US) at a reasonable time in advance of such Optional Closing Date.</w:t>
      </w:r>
    </w:p>
    <w:p>
      <w:pPr>
        <w:spacing w:after="0" w:line="56" w:lineRule="exact"/>
        <w:rPr>
          <w:sz w:val="20"/>
          <w:szCs w:val="20"/>
          <w:color w:val="auto"/>
        </w:rPr>
      </w:pPr>
    </w:p>
    <w:p>
      <w:pPr>
        <w:jc w:val="both"/>
        <w:ind w:right="140" w:firstLine="157"/>
        <w:spacing w:after="0" w:line="269" w:lineRule="auto"/>
        <w:rPr>
          <w:sz w:val="20"/>
          <w:szCs w:val="20"/>
          <w:color w:val="auto"/>
        </w:rPr>
      </w:pPr>
      <w:r>
        <w:rPr>
          <w:rFonts w:ascii="Times New Roman" w:cs="Times New Roman" w:eastAsia="Times New Roman" w:hAnsi="Times New Roman"/>
          <w:sz w:val="13"/>
          <w:szCs w:val="13"/>
          <w:color w:val="auto"/>
        </w:rPr>
        <w:t>As compensation for the Underwriters’ commitments, the Company and each Selling Stockholder, severally and not jointly, will pay to the Representatives for the Underwriters’ proportionate accounts the sum of $[___] per share times the total number of Offered Securities purchased by the Underwriters from the Company and such Selling Stockholders on each Closing Date. Such payment will be made on each Closing Date with respect to the Offered Securities purchased on such Closing Date.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2" w:name="page23"/>
    <w:bookmarkEnd w:id="22"/>
    <w:p>
      <w:pPr>
        <w:ind w:left="140" w:hanging="138"/>
        <w:spacing w:after="0"/>
        <w:tabs>
          <w:tab w:leader="none" w:pos="1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Offering by Underwriters</w:t>
      </w:r>
      <w:r>
        <w:rPr>
          <w:rFonts w:ascii="Times New Roman" w:cs="Times New Roman" w:eastAsia="Times New Roman" w:hAnsi="Times New Roman"/>
          <w:sz w:val="13"/>
          <w:szCs w:val="13"/>
          <w:color w:val="auto"/>
        </w:rPr>
        <w:t>. It is understood that the several Underwriters propose to offer the Offered Securities for sale to the public as set forth in the Final Prospectus.</w:t>
      </w:r>
    </w:p>
    <w:p>
      <w:pPr>
        <w:spacing w:after="0" w:line="86" w:lineRule="exact"/>
        <w:rPr>
          <w:rFonts w:ascii="Times New Roman" w:cs="Times New Roman" w:eastAsia="Times New Roman" w:hAnsi="Times New Roman"/>
          <w:sz w:val="13"/>
          <w:szCs w:val="13"/>
          <w:color w:val="auto"/>
        </w:rPr>
      </w:pPr>
    </w:p>
    <w:p>
      <w:pPr>
        <w:ind w:left="140" w:hanging="138"/>
        <w:spacing w:after="0"/>
        <w:tabs>
          <w:tab w:leader="none" w:pos="1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Certain Agreements of the Company and the Selling Stockholders</w:t>
      </w:r>
      <w:r>
        <w:rPr>
          <w:rFonts w:ascii="Times New Roman" w:cs="Times New Roman" w:eastAsia="Times New Roman" w:hAnsi="Times New Roman"/>
          <w:sz w:val="13"/>
          <w:szCs w:val="13"/>
          <w:color w:val="auto"/>
        </w:rPr>
        <w:t>. The Company and the Selling Stockholders, as applicable, agree with the several Underwriters that:</w:t>
      </w:r>
    </w:p>
    <w:p>
      <w:pPr>
        <w:spacing w:after="0" w:line="88" w:lineRule="exact"/>
        <w:rPr>
          <w:rFonts w:ascii="Times New Roman" w:cs="Times New Roman" w:eastAsia="Times New Roman" w:hAnsi="Times New Roman"/>
          <w:sz w:val="13"/>
          <w:szCs w:val="13"/>
          <w:color w:val="auto"/>
        </w:rPr>
      </w:pPr>
    </w:p>
    <w:p>
      <w:pPr>
        <w:ind w:left="300" w:right="60" w:hanging="3"/>
        <w:spacing w:after="0" w:line="258" w:lineRule="auto"/>
        <w:tabs>
          <w:tab w:leader="none" w:pos="478"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filed pursuant to Rule 462(c) as part of the Additional Registration Statement in accordance with the next sentence, the Company will file the Final Prospectus, in a form approved by the Representatives, with the Commission pursuant to and in accordance with subparagraph (1) (or, if applicable and if consented to by the Representatives, subparagraph (4)) of Rule 424(b) not later than the earlier of (i) the second business day following the execution and delivery of this Agreement or (ii) the fifteenth business day after the Effective Time of the Initial Registration Statement. The Company will advise the Representatives promptly of any such filing pursuant to Rule 424(b) and confirm such timely filing in writing to the Representatives. If an Additional Registration 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Final Prospectus is finalized and distributed to any Underwriter, or will make such filing at such later date as shall have been consented to by the Representatives.</w:t>
      </w:r>
    </w:p>
    <w:p>
      <w:pPr>
        <w:spacing w:after="0" w:line="54" w:lineRule="exact"/>
        <w:rPr>
          <w:rFonts w:ascii="Times New Roman" w:cs="Times New Roman" w:eastAsia="Times New Roman" w:hAnsi="Times New Roman"/>
          <w:sz w:val="13"/>
          <w:szCs w:val="13"/>
          <w:color w:val="auto"/>
        </w:rPr>
      </w:pPr>
    </w:p>
    <w:p>
      <w:pPr>
        <w:ind w:left="300" w:right="60" w:hanging="3"/>
        <w:spacing w:after="0" w:line="258" w:lineRule="auto"/>
        <w:tabs>
          <w:tab w:leader="none" w:pos="483"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promptly advise the Representatives of any proposal to amend or supplement at any time the Initial Registration Statement, any Additional Registration Statement or any Statutory Prospectus and will not effect such amendment or supplementation without the Representatives’ consent, such consent not to be unreasonably refused or delayed; and the Company will also advise the Representatives promptly of (i) the effectiveness of any Additional Registration Statement (if its Effective Time is subsequent to the execution and delivery of this Agreement), (ii) any amendment or supplementation of a Registration Statement or any Statutory Prospectus, (iii) any request by the Commission or its staff for any amendment to any Registration Statement, for any supplement to any Statutory Prospectus or for any additional information, (iv) the institution by the Commission of any stop order proceedings in respect of a Registration Statement or the threatening of any proceeding for that purpose, and (v) the receipt by the Company of any notification with respect to the suspension of the qualification of the Offered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w:t>
      </w:r>
    </w:p>
    <w:p>
      <w:pPr>
        <w:spacing w:after="0" w:line="54" w:lineRule="exact"/>
        <w:rPr>
          <w:rFonts w:ascii="Times New Roman" w:cs="Times New Roman" w:eastAsia="Times New Roman" w:hAnsi="Times New Roman"/>
          <w:sz w:val="13"/>
          <w:szCs w:val="13"/>
          <w:color w:val="auto"/>
        </w:rPr>
      </w:pPr>
    </w:p>
    <w:p>
      <w:pPr>
        <w:ind w:left="300" w:hanging="3"/>
        <w:spacing w:after="0" w:line="259" w:lineRule="auto"/>
        <w:tabs>
          <w:tab w:leader="none" w:pos="478"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at any time when a prospectus relating to the Offered Securities is (or but for the exemption 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color w:val="auto"/>
        </w:rPr>
      </w:pPr>
    </w:p>
    <w:p>
      <w:pPr>
        <w:ind w:left="480" w:hanging="183"/>
        <w:spacing w:after="0"/>
        <w:tabs>
          <w:tab w:leader="none" w:pos="480"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practicable, but not later than the Availability Date (as defined below), the Company will make generally available to its security holders an earnings statement covering a period of at least</w:t>
      </w:r>
    </w:p>
    <w:p>
      <w:pPr>
        <w:spacing w:after="0" w:line="21" w:lineRule="exact"/>
        <w:rPr>
          <w:sz w:val="20"/>
          <w:szCs w:val="20"/>
          <w:color w:val="auto"/>
        </w:rPr>
      </w:pPr>
    </w:p>
    <w:p>
      <w:pPr>
        <w:ind w:left="300" w:right="160"/>
        <w:spacing w:after="0" w:line="264" w:lineRule="auto"/>
        <w:rPr>
          <w:sz w:val="20"/>
          <w:szCs w:val="20"/>
          <w:color w:val="auto"/>
        </w:rPr>
      </w:pPr>
      <w:r>
        <w:rPr>
          <w:rFonts w:ascii="Times New Roman" w:cs="Times New Roman" w:eastAsia="Times New Roman" w:hAnsi="Times New Roman"/>
          <w:sz w:val="13"/>
          <w:szCs w:val="13"/>
          <w:color w:val="auto"/>
        </w:rPr>
        <w:t>12 months beginning after the Effective Date of the Initial Registration Statement (or, if later, the Effective Time of the Additional Registration Statement) which will satisfy the provisions of Section 11(a) of the Act and Rule 158 under the Act. For the purpose of the preceding sentence,</w:t>
      </w:r>
    </w:p>
    <w:p>
      <w:pPr>
        <w:spacing w:after="0" w:line="1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109855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14" w:right="219" w:bottom="1440" w:gutter="0" w:footer="0" w:header="0"/>
        </w:sectPr>
      </w:pPr>
    </w:p>
    <w:bookmarkStart w:id="23" w:name="page24"/>
    <w:bookmarkEnd w:id="23"/>
    <w:p>
      <w:pPr>
        <w:ind w:left="3"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Availability Date</w:t>
      </w:r>
      <w:r>
        <w:rPr>
          <w:rFonts w:ascii="Times New Roman" w:cs="Times New Roman" w:eastAsia="Times New Roman" w:hAnsi="Times New Roman"/>
          <w:sz w:val="13"/>
          <w:szCs w:val="13"/>
          <w:color w:val="auto"/>
        </w:rPr>
        <w:t>” means the day after the end of the fourth fiscal quarter following the fiscal quarter that includes such Effective Time on which the Company is required to file its Form 10-Q for such fiscal quarter except that, if such fourth fiscal quarter is the last quarter of the Company’s fiscal year, “</w:t>
      </w:r>
      <w:r>
        <w:rPr>
          <w:rFonts w:ascii="Times New Roman" w:cs="Times New Roman" w:eastAsia="Times New Roman" w:hAnsi="Times New Roman"/>
          <w:sz w:val="13"/>
          <w:szCs w:val="13"/>
          <w:b w:val="1"/>
          <w:bCs w:val="1"/>
          <w:color w:val="auto"/>
        </w:rPr>
        <w:t>Availability Date</w:t>
      </w:r>
      <w:r>
        <w:rPr>
          <w:rFonts w:ascii="Times New Roman" w:cs="Times New Roman" w:eastAsia="Times New Roman" w:hAnsi="Times New Roman"/>
          <w:sz w:val="13"/>
          <w:szCs w:val="13"/>
          <w:color w:val="auto"/>
        </w:rPr>
        <w:t>” means the day after the end of such fourth fiscal quarter on which the Company is required to file its Form 10-K.</w:t>
      </w:r>
    </w:p>
    <w:p>
      <w:pPr>
        <w:spacing w:after="0" w:line="46" w:lineRule="exact"/>
        <w:rPr>
          <w:sz w:val="20"/>
          <w:szCs w:val="20"/>
          <w:color w:val="auto"/>
        </w:rPr>
      </w:pPr>
    </w:p>
    <w:p>
      <w:pPr>
        <w:ind w:left="3" w:right="20" w:hanging="3"/>
        <w:spacing w:after="0" w:line="261" w:lineRule="auto"/>
        <w:tabs>
          <w:tab w:leader="none" w:pos="178"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furnish to the Representatives copies of each Registration Statement (4 of which will be signed and will include all exhibits), each related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request. The Final Prospectus shall be furnished in electronic format on or prior to 3:00 P.M., New York time, on the business day following the execution and delivery of this Agreement. All other such documents shall be so furnished promptly after they are available. The Company and the Selling Stockholders will pay the expenses of printing and distributing to the Underwriters all such documents.</w:t>
      </w:r>
    </w:p>
    <w:p>
      <w:pPr>
        <w:spacing w:after="0" w:line="52" w:lineRule="exact"/>
        <w:rPr>
          <w:rFonts w:ascii="Times New Roman" w:cs="Times New Roman" w:eastAsia="Times New Roman" w:hAnsi="Times New Roman"/>
          <w:sz w:val="13"/>
          <w:szCs w:val="13"/>
          <w:color w:val="auto"/>
        </w:rPr>
      </w:pPr>
    </w:p>
    <w:p>
      <w:pPr>
        <w:ind w:left="3" w:right="20" w:hanging="3"/>
        <w:spacing w:after="0" w:line="286" w:lineRule="auto"/>
        <w:tabs>
          <w:tab w:leader="none" w:pos="164"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arrange for the qualification of the Offered Securities for sale under the laws of such jurisdictions as the Representatives designate and will continue such qualifications in effect so long as required for distribution.</w:t>
      </w:r>
    </w:p>
    <w:p>
      <w:pPr>
        <w:spacing w:after="0" w:line="36" w:lineRule="exact"/>
        <w:rPr>
          <w:rFonts w:ascii="Times New Roman" w:cs="Times New Roman" w:eastAsia="Times New Roman" w:hAnsi="Times New Roman"/>
          <w:sz w:val="13"/>
          <w:szCs w:val="13"/>
          <w:color w:val="auto"/>
        </w:rPr>
      </w:pPr>
    </w:p>
    <w:p>
      <w:pPr>
        <w:ind w:left="3" w:hanging="3"/>
        <w:spacing w:after="0" w:line="261" w:lineRule="auto"/>
        <w:tabs>
          <w:tab w:leader="none" w:pos="188"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period of three years hereafter, the Company will furnish to the Representatives and, upon request, to each of the other Underwriters, as soon as practicable after the end of each fiscal year, a copy of its annual report to stockholders for such year; and the Company will furnish to the Representatives (i) as soon as available, a copy of each report and any definitive proxy statement of the Company filed with the Commission under the Exchange Act or mailed to stockholders,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w:t>
      </w:r>
      <w:r>
        <w:rPr>
          <w:rFonts w:ascii="Times New Roman" w:cs="Times New Roman" w:eastAsia="Times New Roman" w:hAnsi="Times New Roman"/>
          <w:sz w:val="13"/>
          <w:szCs w:val="13"/>
          <w:b w:val="1"/>
          <w:bCs w:val="1"/>
          <w:color w:val="auto"/>
        </w:rPr>
        <w:t>EDGAR</w:t>
      </w:r>
      <w:r>
        <w:rPr>
          <w:rFonts w:ascii="Times New Roman" w:cs="Times New Roman" w:eastAsia="Times New Roman" w:hAnsi="Times New Roman"/>
          <w:sz w:val="13"/>
          <w:szCs w:val="13"/>
          <w:color w:val="auto"/>
        </w:rPr>
        <w:t>”), it is not required to furnish such reports or statements to the Underwriters.</w:t>
      </w:r>
    </w:p>
    <w:p>
      <w:pPr>
        <w:spacing w:after="0" w:line="52" w:lineRule="exact"/>
        <w:rPr>
          <w:rFonts w:ascii="Times New Roman" w:cs="Times New Roman" w:eastAsia="Times New Roman" w:hAnsi="Times New Roman"/>
          <w:sz w:val="13"/>
          <w:szCs w:val="13"/>
          <w:color w:val="auto"/>
        </w:rPr>
      </w:pPr>
    </w:p>
    <w:p>
      <w:pPr>
        <w:ind w:left="183" w:hanging="183"/>
        <w:spacing w:after="0"/>
        <w:tabs>
          <w:tab w:leader="none" w:pos="183"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Selling Stockholder agree with the several Underwriters that the Company and such Selling Stockholder will pay all expenses incident to the performance of the obligations of the</w:t>
      </w:r>
    </w:p>
    <w:p>
      <w:pPr>
        <w:spacing w:after="0" w:line="21" w:lineRule="exact"/>
        <w:rPr>
          <w:rFonts w:ascii="Times New Roman" w:cs="Times New Roman" w:eastAsia="Times New Roman" w:hAnsi="Times New Roman"/>
          <w:sz w:val="13"/>
          <w:szCs w:val="13"/>
          <w:color w:val="auto"/>
        </w:rPr>
      </w:pPr>
    </w:p>
    <w:p>
      <w:pPr>
        <w:ind w:left="3"/>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and such Selling Stockholder, as the case may be, under this Agreement, including, but not limited to, any filing fees and other expenses (including reasonable fees and disbursements of counsel to the Underwriters) incurred in connection with qualification of the Offered Securities for sale under the laws of such jurisdictions as the Representatives designate and the preparation and printing of memoranda relating thereto, costs and expenses related to the review by the Financial Institutions Regulatory Authority (“</w:t>
      </w:r>
      <w:r>
        <w:rPr>
          <w:rFonts w:ascii="Times New Roman" w:cs="Times New Roman" w:eastAsia="Times New Roman" w:hAnsi="Times New Roman"/>
          <w:sz w:val="13"/>
          <w:szCs w:val="13"/>
          <w:b w:val="1"/>
          <w:bCs w:val="1"/>
          <w:color w:val="auto"/>
        </w:rPr>
        <w:t>FINRA</w:t>
      </w:r>
      <w:r>
        <w:rPr>
          <w:rFonts w:ascii="Times New Roman" w:cs="Times New Roman" w:eastAsia="Times New Roman" w:hAnsi="Times New Roman"/>
          <w:sz w:val="13"/>
          <w:szCs w:val="13"/>
          <w:color w:val="auto"/>
        </w:rPr>
        <w:t>”) of the Offered Securities (including filing fees and the fees and expenses of counsel for the Underwriters relating to such review), costs and expenses of the Company relating to investor presentations or any “road show” in connection with the offering and sale of the Offered Securities including, without limitation, any travel expenses of the Company’s officers and employees and any other expenses of the Company including 50% of the costs of chartering of airplanes, fees and expenses incident to listing the Offered Securities on the New York Stock Exchange, American Stock Exchange, NASDAQ Stock Market and other national and foreign exchanges, fees and expenses in connection with the registration of the Offered Securities under the Exchange Act, any transfer taxes on the sale by the Selling Stockholders of the Offered Securities to the Underwriters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w:t>
      </w:r>
    </w:p>
    <w:p>
      <w:pPr>
        <w:spacing w:after="0" w:line="56" w:lineRule="exact"/>
        <w:rPr>
          <w:rFonts w:ascii="Times New Roman" w:cs="Times New Roman" w:eastAsia="Times New Roman" w:hAnsi="Times New Roman"/>
          <w:sz w:val="13"/>
          <w:szCs w:val="13"/>
          <w:color w:val="auto"/>
        </w:rPr>
      </w:pPr>
    </w:p>
    <w:p>
      <w:pPr>
        <w:ind w:left="3" w:right="60" w:hanging="3"/>
        <w:spacing w:after="0" w:line="286" w:lineRule="auto"/>
        <w:tabs>
          <w:tab w:leader="none" w:pos="157"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use the net proceeds received by it in connection with this offering in the manner described in the “Use of Proceeds” section of the General Disclosure Package and, except as disclosed in the General Disclosure Package, the Company does not intend to use any of the proceeds from the sale of the Offered Securities hereunder to repay any outstanding debt owed to any affiliate of</w:t>
      </w:r>
    </w:p>
    <w:p>
      <w:pPr>
        <w:spacing w:after="0" w:line="96"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109855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3"/>
          </w:cols>
          <w:pgMar w:left="677" w:top="714" w:right="219"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3"/>
          <w:szCs w:val="13"/>
          <w:color w:val="auto"/>
        </w:rPr>
        <w:t>any Underwriter.</w:t>
      </w:r>
    </w:p>
    <w:p>
      <w:pPr>
        <w:spacing w:after="0" w:line="86" w:lineRule="exact"/>
        <w:rPr>
          <w:sz w:val="20"/>
          <w:szCs w:val="20"/>
          <w:color w:val="auto"/>
        </w:rPr>
      </w:pPr>
    </w:p>
    <w:p>
      <w:pPr>
        <w:ind w:left="460" w:right="360" w:hanging="3"/>
        <w:spacing w:after="0" w:line="286" w:lineRule="auto"/>
        <w:tabs>
          <w:tab w:leader="none" w:pos="614"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Selling Stockholders will not take, directly or indirectly, any action designed to or that would constitute or that might reasonably be expected to cause or result in, stabilization or manipulation of the price of any securities of the Company to facilitate the sale or resale of the Offered Securities.</w:t>
      </w:r>
    </w:p>
    <w:p>
      <w:pPr>
        <w:spacing w:after="0" w:line="34" w:lineRule="exact"/>
        <w:rPr>
          <w:rFonts w:ascii="Times New Roman" w:cs="Times New Roman" w:eastAsia="Times New Roman" w:hAnsi="Times New Roman"/>
          <w:sz w:val="13"/>
          <w:szCs w:val="13"/>
          <w:color w:val="auto"/>
        </w:rPr>
      </w:pPr>
    </w:p>
    <w:p>
      <w:pPr>
        <w:ind w:left="460" w:right="20" w:hanging="3"/>
        <w:spacing w:after="0" w:line="256" w:lineRule="auto"/>
        <w:tabs>
          <w:tab w:leader="none" w:pos="645"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period specified below (the “</w:t>
      </w:r>
      <w:r>
        <w:rPr>
          <w:rFonts w:ascii="Times New Roman" w:cs="Times New Roman" w:eastAsia="Times New Roman" w:hAnsi="Times New Roman"/>
          <w:sz w:val="13"/>
          <w:szCs w:val="13"/>
          <w:b w:val="1"/>
          <w:bCs w:val="1"/>
          <w:color w:val="auto"/>
        </w:rPr>
        <w:t>Lock-Up Period</w:t>
      </w:r>
      <w:r>
        <w:rPr>
          <w:rFonts w:ascii="Times New Roman" w:cs="Times New Roman" w:eastAsia="Times New Roman" w:hAnsi="Times New Roman"/>
          <w:sz w:val="13"/>
          <w:szCs w:val="13"/>
          <w:color w:val="auto"/>
        </w:rPr>
        <w:t>”), the Company will not, directly or indirectly, take any of the following actions with respect to Securities of the Company or any securities convertible into or exchangeable or exercisable for any Securities of the Company (“</w:t>
      </w:r>
      <w:r>
        <w:rPr>
          <w:rFonts w:ascii="Times New Roman" w:cs="Times New Roman" w:eastAsia="Times New Roman" w:hAnsi="Times New Roman"/>
          <w:sz w:val="13"/>
          <w:szCs w:val="13"/>
          <w:b w:val="1"/>
          <w:bCs w:val="1"/>
          <w:color w:val="auto"/>
        </w:rPr>
        <w:t>Lock-Up Securities</w:t>
      </w:r>
      <w:r>
        <w:rPr>
          <w:rFonts w:ascii="Times New Roman" w:cs="Times New Roman" w:eastAsia="Times New Roman" w:hAnsi="Times New Roman"/>
          <w:sz w:val="13"/>
          <w:szCs w:val="13"/>
          <w:color w:val="auto"/>
        </w:rPr>
        <w:t xml:space="preserve">”):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disclose the intention to take any such action, without the prior written consent of the Representatives. The initial Lock-Up Period will commence on the date hereof and continue for 90 days after the date of the Final Prospectus or such earlier date that the Representatives consent to in writing;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(y) during the last 17 days of the initial Lock-Up Period, the Company releases earnings results or material news or a material event relating to the Company occurs or</w:t>
      </w:r>
    </w:p>
    <w:p>
      <w:pPr>
        <w:ind w:left="460" w:hanging="3"/>
        <w:spacing w:after="0" w:line="254" w:lineRule="auto"/>
        <w:tabs>
          <w:tab w:leader="none" w:pos="638"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expiration of the initial Lock-Up Period, the Company announces that it will release earnings results during the 16-day period beginning on the last day of the initial Lock-Up Period, then in each case the Lock-Up Period will be extended until the expiration of the 18-day period beginning on the date of release of the earnings results or the occurrence of the materials news or material event, as applicable, unless the Representatives waive, in writing, such extension. The Company will provide the Representatives with notice of any announcement described in clause (z) of the preceding sentence that gives rise to an extension of the Lock-Up Period. Anything herein to the contrary not withstanding, the foregoing obligations set forth in this paragraph will not apply to the offer, sale, issuance, or disposal by the Company of the Offered Securities pursuant to this Agreement, or any other Securities of the Company, or any securities convertible into or exchangeable or exercisable for any of its Securities, pursuant to any equity compensation plan described in the Registration Statement or the General Disclosure Package.</w:t>
      </w:r>
    </w:p>
    <w:p>
      <w:pPr>
        <w:spacing w:after="0" w:line="57" w:lineRule="exact"/>
        <w:rPr>
          <w:rFonts w:ascii="Times New Roman" w:cs="Times New Roman" w:eastAsia="Times New Roman" w:hAnsi="Times New Roman"/>
          <w:sz w:val="13"/>
          <w:szCs w:val="13"/>
          <w:color w:val="auto"/>
        </w:rPr>
      </w:pPr>
    </w:p>
    <w:p>
      <w:pPr>
        <w:ind w:firstLine="162"/>
        <w:spacing w:after="0" w:line="259" w:lineRule="auto"/>
        <w:tabs>
          <w:tab w:leader="none" w:pos="29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Free Writing Prospectuses</w:t>
      </w:r>
      <w:r>
        <w:rPr>
          <w:rFonts w:ascii="Times New Roman" w:cs="Times New Roman" w:eastAsia="Times New Roman" w:hAnsi="Times New Roman"/>
          <w:sz w:val="13"/>
          <w:szCs w:val="13"/>
          <w:color w:val="auto"/>
        </w:rPr>
        <w:t>. The Company and the Selling Stockholders represent and agree that, unless they obtain the prior consent of the Representatives, and each Underwriter represents and agrees that, unless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Times New Roman" w:cs="Times New Roman" w:eastAsia="Times New Roman" w:hAnsi="Times New Roman"/>
          <w:sz w:val="13"/>
          <w:szCs w:val="13"/>
          <w:b w:val="1"/>
          <w:bCs w:val="1"/>
          <w:color w:val="auto"/>
        </w:rPr>
        <w:t>Permitted Free Writing Prospectus</w:t>
      </w:r>
      <w:r>
        <w:rPr>
          <w:rFonts w:ascii="Times New Roman" w:cs="Times New Roman" w:eastAsia="Times New Roman" w:hAnsi="Times New Roman"/>
          <w:sz w:val="13"/>
          <w:szCs w:val="13"/>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 The Company represents that is has satisfied and agrees that it will satisfy the conditions in Rule 433 to avoid a requirement to file with the Commission any electronic road show.</w:t>
      </w:r>
    </w:p>
    <w:p>
      <w:pPr>
        <w:spacing w:after="0" w:line="54" w:lineRule="exact"/>
        <w:rPr>
          <w:rFonts w:ascii="Times New Roman" w:cs="Times New Roman" w:eastAsia="Times New Roman" w:hAnsi="Times New Roman"/>
          <w:sz w:val="13"/>
          <w:szCs w:val="13"/>
          <w:color w:val="auto"/>
        </w:rPr>
      </w:pPr>
    </w:p>
    <w:p>
      <w:pPr>
        <w:ind w:right="80" w:firstLine="162"/>
        <w:spacing w:after="0" w:line="264" w:lineRule="auto"/>
        <w:tabs>
          <w:tab w:leader="none" w:pos="29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Conditions of the Obligations of the Underwriters</w:t>
      </w:r>
      <w:r>
        <w:rPr>
          <w:rFonts w:ascii="Times New Roman" w:cs="Times New Roman" w:eastAsia="Times New Roman" w:hAnsi="Times New Roman"/>
          <w:sz w:val="13"/>
          <w:szCs w:val="13"/>
          <w:color w:val="auto"/>
        </w:rPr>
        <w:t>. The obligations of the several Underwriters to purchase and pay for the Firm Securities on the First Closing Date and the Optional Securities to be purchased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each Optional Closing Date will be subject to the accuracy of the representations and warranties of the Company and the Selling Stockholders herein (as though made on such Closing Date), to the accuracy of the statements of Company officers made pursuant to the provisions hereof, to the performance by the Company and the Selling Stockholders of their obligations hereunder and to the following additional conditions precedent:</w:t>
      </w:r>
    </w:p>
    <w:p>
      <w:pPr>
        <w:spacing w:after="0" w:line="51" w:lineRule="exact"/>
        <w:rPr>
          <w:rFonts w:ascii="Times New Roman" w:cs="Times New Roman" w:eastAsia="Times New Roman" w:hAnsi="Times New Roman"/>
          <w:sz w:val="13"/>
          <w:szCs w:val="13"/>
          <w:color w:val="auto"/>
        </w:rPr>
      </w:pPr>
    </w:p>
    <w:p>
      <w:pPr>
        <w:ind w:left="640" w:hanging="183"/>
        <w:spacing w:after="0"/>
        <w:tabs>
          <w:tab w:leader="none" w:pos="6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Representatives shall have received, on each of the date hereof and each Closing Date,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5" w:name="page26"/>
    <w:bookmarkEnd w:id="25"/>
    <w:p>
      <w:pPr>
        <w:ind w:left="3"/>
        <w:spacing w:after="0" w:line="266" w:lineRule="auto"/>
        <w:rPr>
          <w:sz w:val="20"/>
          <w:szCs w:val="20"/>
          <w:color w:val="auto"/>
        </w:rPr>
      </w:pPr>
      <w:r>
        <w:rPr>
          <w:rFonts w:ascii="Times New Roman" w:cs="Times New Roman" w:eastAsia="Times New Roman" w:hAnsi="Times New Roman"/>
          <w:sz w:val="13"/>
          <w:szCs w:val="13"/>
          <w:color w:val="auto"/>
        </w:rPr>
        <w:t>letter dated the date hereof or such Closing Date, as the case may be, in form and substance satisfactory to the Representatives,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Statements, the General Disclosure Package and the Final Prospectus; provided that, in any letter delivered on a Closing Date, such letter shall use a “cut-off date” no earlier than three days prior to such Closing Date.</w:t>
      </w:r>
    </w:p>
    <w:p>
      <w:pPr>
        <w:spacing w:after="0" w:line="211" w:lineRule="exact"/>
        <w:rPr>
          <w:sz w:val="20"/>
          <w:szCs w:val="20"/>
          <w:color w:val="auto"/>
        </w:rPr>
      </w:pPr>
    </w:p>
    <w:p>
      <w:pPr>
        <w:ind w:left="3" w:hanging="3"/>
        <w:spacing w:after="0" w:line="261" w:lineRule="auto"/>
        <w:tabs>
          <w:tab w:leader="none" w:pos="18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Effective Time of the Additional Registration Statement (if any) is not prior to the execution and delivery of this Agreement, such Effective Time shall have occurred not later than 10:00 P.M., New York time, on the date of this Agreement or, if earlier, the time the Final Prospectus is finalized and distributed to any Underwriter, or shall have occurred at such later time as shall have been consented to by the Representatives. The Final Prospectus shall have been filed with the Commission in accordance with the Rules and Regulations and </w:t>
      </w:r>
      <w:r>
        <w:rPr>
          <w:rFonts w:ascii="Times New Roman" w:cs="Times New Roman" w:eastAsia="Times New Roman" w:hAnsi="Times New Roman"/>
          <w:sz w:val="13"/>
          <w:szCs w:val="13"/>
          <w:u w:val="single" w:color="auto"/>
          <w:color w:val="auto"/>
        </w:rPr>
        <w:t>Section 5(a)</w:t>
      </w:r>
      <w:r>
        <w:rPr>
          <w:rFonts w:ascii="Times New Roman" w:cs="Times New Roman" w:eastAsia="Times New Roman" w:hAnsi="Times New Roman"/>
          <w:sz w:val="13"/>
          <w:szCs w:val="13"/>
          <w:color w:val="auto"/>
        </w:rPr>
        <w:t>. Prior to such Closing Date, no stop order suspending the effectiveness of a Registration Statement shall have been issued and no proceedings for that purpose shall have been instituted or, to the knowledge of the Company, any Selling Stockholder or the Representatives, shall be contemplated by the Commission.</w:t>
      </w:r>
    </w:p>
    <w:p>
      <w:pPr>
        <w:spacing w:after="0" w:line="52" w:lineRule="exact"/>
        <w:rPr>
          <w:rFonts w:ascii="Times New Roman" w:cs="Times New Roman" w:eastAsia="Times New Roman" w:hAnsi="Times New Roman"/>
          <w:sz w:val="13"/>
          <w:szCs w:val="13"/>
          <w:color w:val="auto"/>
        </w:rPr>
      </w:pPr>
    </w:p>
    <w:p>
      <w:pPr>
        <w:ind w:left="3" w:right="40" w:hanging="3"/>
        <w:spacing w:after="0" w:line="256" w:lineRule="auto"/>
        <w:tabs>
          <w:tab w:leader="none" w:pos="18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Subsequent to the execution and delivery of this Agreement, there shall not have occurred (i) any change, or any development or event involving a prospective change, in the condition (financial or otherwise), results of operations, business, properties or prospects of the Company and its subsidiaries taken as a whole which, in the judgment of the Representatives, is material and adverse and makes it impractical or inadvisable to market the Offered Securities; (ii) any change in U.S. or international financial, political or economic conditions or the effect of which is such as to make it, in the judgment of the Representatives, impractical to market or to enforce contracts for the sale of the Offered Securities, whether in the primary market or in respect of dealings in the secondary market; (iii) any suspension or material limitation of trading in securities generally on the NASDAQ Stock Market, or any setting of minimum or maximum prices for trading on such exchange; (iv) or any suspension of trading of any securities of the Company on any U.S. national securities exchange or in the over-the-counter market; (v) any banking moratorium declared by any U.S. federal or New York authorities; (vi) any major disruption of settlements of securities, payment or clearance services in the United States or any other country where such securities are listed, or (vii)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the Offered Securities or to enforce contracts for the sale of the Offered Securities.</w:t>
      </w:r>
    </w:p>
    <w:p>
      <w:pPr>
        <w:spacing w:after="0" w:line="58" w:lineRule="exact"/>
        <w:rPr>
          <w:rFonts w:ascii="Times New Roman" w:cs="Times New Roman" w:eastAsia="Times New Roman" w:hAnsi="Times New Roman"/>
          <w:sz w:val="13"/>
          <w:szCs w:val="13"/>
          <w:color w:val="auto"/>
        </w:rPr>
      </w:pPr>
    </w:p>
    <w:p>
      <w:pPr>
        <w:ind w:left="183" w:hanging="183"/>
        <w:spacing w:after="0"/>
        <w:tabs>
          <w:tab w:leader="none" w:pos="183"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Representatives shall have received an opinion, dated such Closing Date, of DLA Piper LLP (US), counsel for the Company and the Selling Stockholders, to the effect set forth on </w:t>
      </w:r>
      <w:r>
        <w:rPr>
          <w:rFonts w:ascii="Times New Roman" w:cs="Times New Roman" w:eastAsia="Times New Roman" w:hAnsi="Times New Roman"/>
          <w:sz w:val="13"/>
          <w:szCs w:val="13"/>
          <w:u w:val="single" w:color="auto"/>
          <w:color w:val="auto"/>
        </w:rPr>
        <w:t>Schedule E</w:t>
      </w:r>
      <w:r>
        <w:rPr>
          <w:rFonts w:ascii="Times New Roman" w:cs="Times New Roman" w:eastAsia="Times New Roman" w:hAnsi="Times New Roman"/>
          <w:sz w:val="13"/>
          <w:szCs w:val="13"/>
          <w:color w:val="auto"/>
        </w:rPr>
        <w:t xml:space="preserve"> hereto.</w:t>
      </w:r>
    </w:p>
    <w:p>
      <w:pPr>
        <w:spacing w:after="0" w:line="86" w:lineRule="exact"/>
        <w:rPr>
          <w:rFonts w:ascii="Times New Roman" w:cs="Times New Roman" w:eastAsia="Times New Roman" w:hAnsi="Times New Roman"/>
          <w:sz w:val="13"/>
          <w:szCs w:val="13"/>
          <w:color w:val="auto"/>
        </w:rPr>
      </w:pPr>
    </w:p>
    <w:p>
      <w:pPr>
        <w:ind w:left="183" w:hanging="183"/>
        <w:spacing w:after="0"/>
        <w:tabs>
          <w:tab w:leader="none" w:pos="183"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Representatives shall have received an opinion, dated such Closing Date, of Dow Lohnes PLLC, special regulatory counsel for the Company, to the effect set forth on </w:t>
      </w:r>
      <w:r>
        <w:rPr>
          <w:rFonts w:ascii="Times New Roman" w:cs="Times New Roman" w:eastAsia="Times New Roman" w:hAnsi="Times New Roman"/>
          <w:sz w:val="13"/>
          <w:szCs w:val="13"/>
          <w:u w:val="single" w:color="auto"/>
          <w:color w:val="auto"/>
        </w:rPr>
        <w:t>Schedule F</w:t>
      </w:r>
      <w:r>
        <w:rPr>
          <w:rFonts w:ascii="Times New Roman" w:cs="Times New Roman" w:eastAsia="Times New Roman" w:hAnsi="Times New Roman"/>
          <w:sz w:val="13"/>
          <w:szCs w:val="13"/>
          <w:color w:val="auto"/>
        </w:rPr>
        <w:t xml:space="preserve"> hereto.</w:t>
      </w:r>
    </w:p>
    <w:p>
      <w:pPr>
        <w:spacing w:after="0" w:line="86" w:lineRule="exact"/>
        <w:rPr>
          <w:rFonts w:ascii="Times New Roman" w:cs="Times New Roman" w:eastAsia="Times New Roman" w:hAnsi="Times New Roman"/>
          <w:sz w:val="13"/>
          <w:szCs w:val="13"/>
          <w:color w:val="auto"/>
        </w:rPr>
      </w:pPr>
    </w:p>
    <w:p>
      <w:pPr>
        <w:ind w:left="3" w:right="180" w:hanging="3"/>
        <w:spacing w:after="0" w:line="286" w:lineRule="auto"/>
        <w:tabs>
          <w:tab w:leader="none" w:pos="164"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Representatives shall have received from Latham &amp; Watkins LLP, counsel for the Underwriters, such opinion or opinions, dated such Closing Date, with respect to such matters as the Representatives may require, and the Company and the Selling Stockholders shall have furnished to such counsel such documents as they request for the purpose of enabling them to pass upon such matters.</w:t>
      </w:r>
    </w:p>
    <w:p>
      <w:pPr>
        <w:spacing w:after="0" w:line="36" w:lineRule="exact"/>
        <w:rPr>
          <w:rFonts w:ascii="Times New Roman" w:cs="Times New Roman" w:eastAsia="Times New Roman" w:hAnsi="Times New Roman"/>
          <w:sz w:val="13"/>
          <w:szCs w:val="13"/>
          <w:color w:val="auto"/>
        </w:rPr>
      </w:pPr>
    </w:p>
    <w:p>
      <w:pPr>
        <w:jc w:val="both"/>
        <w:ind w:left="3" w:right="80" w:hanging="3"/>
        <w:spacing w:after="0" w:line="269" w:lineRule="auto"/>
        <w:tabs>
          <w:tab w:leader="none" w:pos="186"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Representatives shall have received a certificate, dated such Closing Date, of an executive officer of the Company 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such Closing Date; no stop</w:t>
      </w:r>
    </w:p>
    <w:p>
      <w:pPr>
        <w:spacing w:after="0" w:line="107"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109855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3"/>
          </w:cols>
          <w:pgMar w:left="677" w:top="716" w:right="219" w:bottom="1440" w:gutter="0" w:footer="0" w:header="0"/>
        </w:sectPr>
      </w:pPr>
    </w:p>
    <w:bookmarkStart w:id="26" w:name="page27"/>
    <w:bookmarkEnd w:id="26"/>
    <w:p>
      <w:pPr>
        <w:ind w:left="460" w:right="80"/>
        <w:spacing w:after="0" w:line="261" w:lineRule="auto"/>
        <w:rPr>
          <w:sz w:val="20"/>
          <w:szCs w:val="20"/>
          <w:color w:val="auto"/>
        </w:rPr>
      </w:pPr>
      <w:r>
        <w:rPr>
          <w:rFonts w:ascii="Times New Roman" w:cs="Times New Roman" w:eastAsia="Times New Roman" w:hAnsi="Times New Roman"/>
          <w:sz w:val="13"/>
          <w:szCs w:val="13"/>
          <w:color w:val="auto"/>
        </w:rPr>
        <w:t>order suspending the effectiveness of any Registration Statement has been issued and no proceedings for that purpose have been instituted or, to the best of their knowledge and after reasonable investigation, are contemplated by the Commission; the Additional Registration Statement (if any) satisfying the requirements of subparagraphs (1) and (3) of Rule 462(b) was timely filed pursuant to Rule 462(b), including payment of the applicable filing fee in accordance with Rule 111(a) or (b) of Regulation S-T of the Commission; and, subsequent to the dates of the most recent financial statements in the General Disclosure Package, there has been no material adverse change, nor any development or event involving a prospective material adverse change, in the condition (financial or otherwise), results of operations, business, properties or prospects of the Company and its subsidiaries taken as a whole except as set forth in the General Disclosure Package or as described in such certificate.</w:t>
      </w:r>
    </w:p>
    <w:p>
      <w:pPr>
        <w:spacing w:after="0" w:line="52" w:lineRule="exact"/>
        <w:rPr>
          <w:sz w:val="20"/>
          <w:szCs w:val="20"/>
          <w:color w:val="auto"/>
        </w:rPr>
      </w:pPr>
    </w:p>
    <w:p>
      <w:pPr>
        <w:ind w:left="640" w:hanging="183"/>
        <w:spacing w:after="0"/>
        <w:tabs>
          <w:tab w:leader="none" w:pos="6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prior to the date hereof, the Representatives shall have received lock-up letters from each of the executive officers and directors of the Company and from each of the Selling Stockholders.</w:t>
      </w:r>
    </w:p>
    <w:p>
      <w:pPr>
        <w:spacing w:after="0" w:line="86" w:lineRule="exact"/>
        <w:rPr>
          <w:rFonts w:ascii="Times New Roman" w:cs="Times New Roman" w:eastAsia="Times New Roman" w:hAnsi="Times New Roman"/>
          <w:sz w:val="13"/>
          <w:szCs w:val="13"/>
          <w:color w:val="auto"/>
        </w:rPr>
      </w:pPr>
    </w:p>
    <w:p>
      <w:pPr>
        <w:ind w:left="460" w:right="280" w:hanging="3"/>
        <w:spacing w:after="0" w:line="286" w:lineRule="auto"/>
        <w:tabs>
          <w:tab w:leader="none" w:pos="614"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Custodian will deliver to the Representatives a letter stating that they will deliver to each Selling Stockholder a United States Treasury Department Form 1099 (or other applicable form or statement specified by the United States Treasury Department regulations in lieu thereof) on or before January 31 of the year following the date of this Agreement.</w:t>
      </w:r>
    </w:p>
    <w:p>
      <w:pPr>
        <w:spacing w:after="0" w:line="36" w:lineRule="exact"/>
        <w:rPr>
          <w:rFonts w:ascii="Times New Roman" w:cs="Times New Roman" w:eastAsia="Times New Roman" w:hAnsi="Times New Roman"/>
          <w:sz w:val="13"/>
          <w:szCs w:val="13"/>
          <w:color w:val="auto"/>
        </w:rPr>
      </w:pPr>
    </w:p>
    <w:p>
      <w:pPr>
        <w:ind w:left="460" w:right="220" w:hanging="3"/>
        <w:spacing w:after="0" w:line="286" w:lineRule="auto"/>
        <w:tabs>
          <w:tab w:leader="none" w:pos="614"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avoid a 28% backup withholding tax each Selling Stockholder will deliver to the Representatives a properly completed and executed United States Treasury Department Form W-9 (or other applicable form or statement specified by Treasury Department regulations in lieu thereof).</w:t>
      </w:r>
    </w:p>
    <w:p>
      <w:pPr>
        <w:spacing w:after="0" w:line="37" w:lineRule="exact"/>
        <w:rPr>
          <w:sz w:val="20"/>
          <w:szCs w:val="20"/>
          <w:color w:val="auto"/>
        </w:rPr>
      </w:pPr>
    </w:p>
    <w:p>
      <w:pPr>
        <w:ind w:firstLine="161"/>
        <w:spacing w:after="0" w:line="286" w:lineRule="auto"/>
        <w:rPr>
          <w:sz w:val="20"/>
          <w:szCs w:val="20"/>
          <w:color w:val="auto"/>
        </w:rPr>
      </w:pPr>
      <w:r>
        <w:rPr>
          <w:rFonts w:ascii="Times New Roman" w:cs="Times New Roman" w:eastAsia="Times New Roman" w:hAnsi="Times New Roman"/>
          <w:sz w:val="13"/>
          <w:szCs w:val="13"/>
          <w:color w:val="auto"/>
        </w:rPr>
        <w:t>The Selling Stockholders and the Company will furnish the Representatives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 whether in respect of an Optional Closing Date or otherwise.</w:t>
      </w:r>
    </w:p>
    <w:p>
      <w:pPr>
        <w:spacing w:after="0" w:line="35" w:lineRule="exact"/>
        <w:rPr>
          <w:sz w:val="20"/>
          <w:szCs w:val="20"/>
          <w:color w:val="auto"/>
        </w:rPr>
      </w:pPr>
    </w:p>
    <w:p>
      <w:pPr>
        <w:ind w:left="300" w:hanging="138"/>
        <w:spacing w:after="0"/>
        <w:tabs>
          <w:tab w:leader="none" w:pos="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Indemnification and Contribution.</w:t>
      </w:r>
    </w:p>
    <w:p>
      <w:pPr>
        <w:spacing w:after="0" w:line="88" w:lineRule="exact"/>
        <w:rPr>
          <w:rFonts w:ascii="Times New Roman" w:cs="Times New Roman" w:eastAsia="Times New Roman" w:hAnsi="Times New Roman"/>
          <w:sz w:val="13"/>
          <w:szCs w:val="13"/>
          <w:color w:val="auto"/>
        </w:rPr>
      </w:pPr>
    </w:p>
    <w:p>
      <w:pPr>
        <w:ind w:left="460" w:right="20" w:hanging="3"/>
        <w:spacing w:after="0" w:line="255" w:lineRule="auto"/>
        <w:tabs>
          <w:tab w:leader="none" w:pos="636"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indemnify and hold harmless each Underwriter, its partners, members, directors, officers, employees, agents, affiliates and each person, if any, who controls such Underwriter within the meaning of Section 15 of the Act or Section 20 of the Exchange Act (each an “</w:t>
      </w:r>
      <w:r>
        <w:rPr>
          <w:rFonts w:ascii="Times New Roman" w:cs="Times New Roman" w:eastAsia="Times New Roman" w:hAnsi="Times New Roman"/>
          <w:sz w:val="13"/>
          <w:szCs w:val="13"/>
          <w:b w:val="1"/>
          <w:bCs w:val="1"/>
          <w:color w:val="auto"/>
        </w:rPr>
        <w:t>Indemnified Party</w:t>
      </w:r>
      <w:r>
        <w:rPr>
          <w:rFonts w:ascii="Times New Roman" w:cs="Times New Roman" w:eastAsia="Times New Roman" w:hAnsi="Times New Roman"/>
          <w:sz w:val="13"/>
          <w:szCs w:val="13"/>
          <w:color w:val="auto"/>
        </w:rPr>
        <w:t xml:space="preserve">”),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or any Issuer Free Writing Prospectus,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w:t>
      </w:r>
      <w:r>
        <w:rPr>
          <w:rFonts w:ascii="Times New Roman" w:cs="Times New Roman" w:eastAsia="Times New Roman" w:hAnsi="Times New Roman"/>
          <w:sz w:val="13"/>
          <w:szCs w:val="13"/>
          <w:u w:val="single" w:color="auto"/>
          <w:color w:val="auto"/>
        </w:rPr>
        <w:t>Section 8(d)</w:t>
      </w:r>
      <w:r>
        <w:rPr>
          <w:rFonts w:ascii="Times New Roman" w:cs="Times New Roman" w:eastAsia="Times New Roman" w:hAnsi="Times New Roman"/>
          <w:sz w:val="13"/>
          <w:szCs w:val="13"/>
          <w:color w:val="auto"/>
        </w:rPr>
        <w:t>.</w:t>
      </w:r>
    </w:p>
    <w:p>
      <w:pPr>
        <w:spacing w:after="0" w:line="61" w:lineRule="exact"/>
        <w:rPr>
          <w:rFonts w:ascii="Times New Roman" w:cs="Times New Roman" w:eastAsia="Times New Roman" w:hAnsi="Times New Roman"/>
          <w:sz w:val="13"/>
          <w:szCs w:val="13"/>
          <w:color w:val="auto"/>
        </w:rPr>
      </w:pPr>
    </w:p>
    <w:p>
      <w:pPr>
        <w:ind w:left="460" w:right="240" w:hanging="3"/>
        <w:spacing w:after="0" w:line="286" w:lineRule="auto"/>
        <w:tabs>
          <w:tab w:leader="none" w:pos="643"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Stockholders, jointly and severally, will indemnify and hold harmless each Underwriter, its partners, members, directors, officers, employees, agents, affiliates and each person, if any, who controls such Underwriter within the meaning of Section 15 of the Act or Section 20 of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7" w:name="page28"/>
    <w:bookmarkEnd w:id="27"/>
    <w:p>
      <w:pPr>
        <w:ind w:left="3" w:right="40"/>
        <w:spacing w:after="0" w:line="255" w:lineRule="auto"/>
        <w:rPr>
          <w:sz w:val="20"/>
          <w:szCs w:val="20"/>
          <w:color w:val="auto"/>
        </w:rPr>
      </w:pPr>
      <w:r>
        <w:rPr>
          <w:rFonts w:ascii="Times New Roman" w:cs="Times New Roman" w:eastAsia="Times New Roman" w:hAnsi="Times New Roman"/>
          <w:sz w:val="13"/>
          <w:szCs w:val="13"/>
          <w:color w:val="auto"/>
        </w:rPr>
        <w:t>Exchange Act (each a “</w:t>
      </w:r>
      <w:r>
        <w:rPr>
          <w:rFonts w:ascii="Times New Roman" w:cs="Times New Roman" w:eastAsia="Times New Roman" w:hAnsi="Times New Roman"/>
          <w:sz w:val="13"/>
          <w:szCs w:val="13"/>
          <w:b w:val="1"/>
          <w:bCs w:val="1"/>
          <w:color w:val="auto"/>
        </w:rPr>
        <w:t>Principal Indemnified Party</w:t>
      </w:r>
      <w:r>
        <w:rPr>
          <w:rFonts w:ascii="Times New Roman" w:cs="Times New Roman" w:eastAsia="Times New Roman" w:hAnsi="Times New Roman"/>
          <w:sz w:val="13"/>
          <w:szCs w:val="13"/>
          <w:color w:val="auto"/>
        </w:rPr>
        <w:t xml:space="preserve">”), against any and all losses, claims, damages or liabilities, joint or several, to which such Principal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or any Issuer Free Writing Prospectus, or arise out of or are based upon the omission or alleged omission of a material fact required to be stated therein or necessary to make the statements therein not misleading, and will reimburse each Principal Indemnified Party for any legal or other expenses reasonably incurred by such Principal Indemnified Party in connection with investigating or defending against any loss, claim, damage, liability, action, litigation, investigation or proceeding whatsoever (whether or not such Principal Indemnified Party is a party thereto), whether threatened or commenced, and in connection with the enforcement of this provision with respect to the above as such expenses are incurred;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Principal Stockholders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w:t>
      </w:r>
      <w:r>
        <w:rPr>
          <w:rFonts w:ascii="Times New Roman" w:cs="Times New Roman" w:eastAsia="Times New Roman" w:hAnsi="Times New Roman"/>
          <w:sz w:val="13"/>
          <w:szCs w:val="13"/>
          <w:u w:val="single" w:color="auto"/>
          <w:color w:val="auto"/>
        </w:rPr>
        <w:t>Section 8(d)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the aggregate liability for all claims against any Principal Stockholder pursuant to this </w:t>
      </w:r>
      <w:r>
        <w:rPr>
          <w:rFonts w:ascii="Times New Roman" w:cs="Times New Roman" w:eastAsia="Times New Roman" w:hAnsi="Times New Roman"/>
          <w:sz w:val="13"/>
          <w:szCs w:val="13"/>
          <w:u w:val="single" w:color="auto"/>
          <w:color w:val="auto"/>
        </w:rPr>
        <w:t>Section 8(b)</w:t>
      </w:r>
      <w:r>
        <w:rPr>
          <w:rFonts w:ascii="Times New Roman" w:cs="Times New Roman" w:eastAsia="Times New Roman" w:hAnsi="Times New Roman"/>
          <w:sz w:val="13"/>
          <w:szCs w:val="13"/>
          <w:color w:val="auto"/>
        </w:rPr>
        <w:t xml:space="preserve"> shall be limited to an amount equal to the proceeds (net of underwriting discounts and commissions received by the Underwriters, but before deducting other expenses) received by such Principal Stockholder from the sale of Securities under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prior to asserting any claim pursuant to this </w:t>
      </w:r>
      <w:r>
        <w:rPr>
          <w:rFonts w:ascii="Times New Roman" w:cs="Times New Roman" w:eastAsia="Times New Roman" w:hAnsi="Times New Roman"/>
          <w:sz w:val="13"/>
          <w:szCs w:val="13"/>
          <w:u w:val="single" w:color="auto"/>
          <w:color w:val="auto"/>
        </w:rPr>
        <w:t>Section 8(b)</w:t>
      </w:r>
      <w:r>
        <w:rPr>
          <w:rFonts w:ascii="Times New Roman" w:cs="Times New Roman" w:eastAsia="Times New Roman" w:hAnsi="Times New Roman"/>
          <w:sz w:val="13"/>
          <w:szCs w:val="13"/>
          <w:color w:val="auto"/>
        </w:rPr>
        <w:t xml:space="preserve"> arising out of or based upon any misstatement or omission or alleged misstatement or omission as contemplated herein, a Principal Indemnified Party shall have asserted a claim for indemnity on such grounds against the Company pursuant to </w:t>
      </w:r>
      <w:r>
        <w:rPr>
          <w:rFonts w:ascii="Times New Roman" w:cs="Times New Roman" w:eastAsia="Times New Roman" w:hAnsi="Times New Roman"/>
          <w:sz w:val="13"/>
          <w:szCs w:val="13"/>
          <w:u w:val="single" w:color="auto"/>
          <w:color w:val="auto"/>
        </w:rPr>
        <w:t>Section 8(a)</w:t>
      </w:r>
      <w:r>
        <w:rPr>
          <w:rFonts w:ascii="Times New Roman" w:cs="Times New Roman" w:eastAsia="Times New Roman" w:hAnsi="Times New Roman"/>
          <w:sz w:val="13"/>
          <w:szCs w:val="13"/>
          <w:color w:val="auto"/>
        </w:rPr>
        <w:t xml:space="preserve"> and shall have failed to collect the amount of such claim from the Company after reasonable efforts therefore, except that the limitations set forth in this proviso shall not apply to claims arising from or based upon actions or alleged actions by the Principal Stockholders that exceed the authority granted by the Company’s charter or by-laws or that have not been appropriately authorized by the Company’s Board of Directors.</w:t>
      </w:r>
    </w:p>
    <w:p>
      <w:pPr>
        <w:spacing w:after="0" w:line="57" w:lineRule="exact"/>
        <w:rPr>
          <w:sz w:val="20"/>
          <w:szCs w:val="20"/>
          <w:color w:val="auto"/>
        </w:rPr>
      </w:pPr>
    </w:p>
    <w:p>
      <w:pPr>
        <w:ind w:left="3" w:hanging="3"/>
        <w:spacing w:after="0" w:line="255" w:lineRule="auto"/>
        <w:tabs>
          <w:tab w:leader="none" w:pos="17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Other Stockholders will indemnify and hold harmless each Underwriter, its partners, members, directors, officers, employees, agents, affiliates and each person, if any, who controls such Underwriter within the meaning of Section 15 of the Act or Section 20 of the Exchange Act (each an “</w:t>
      </w:r>
      <w:r>
        <w:rPr>
          <w:rFonts w:ascii="Times New Roman" w:cs="Times New Roman" w:eastAsia="Times New Roman" w:hAnsi="Times New Roman"/>
          <w:sz w:val="13"/>
          <w:szCs w:val="13"/>
          <w:b w:val="1"/>
          <w:bCs w:val="1"/>
          <w:color w:val="auto"/>
        </w:rPr>
        <w:t>Other Stockholder Indemnified Party</w:t>
      </w:r>
      <w:r>
        <w:rPr>
          <w:rFonts w:ascii="Times New Roman" w:cs="Times New Roman" w:eastAsia="Times New Roman" w:hAnsi="Times New Roman"/>
          <w:sz w:val="13"/>
          <w:szCs w:val="13"/>
          <w:color w:val="auto"/>
        </w:rPr>
        <w:t xml:space="preserve">”), against any and all losses, claims, damages or liabilities, joint or several, to which such Other Stockholder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or any Issuer Free Writing Prospectus, or arise out of or are based upon the omission or alleged omission of a material fact required to be stated therein or necessary to make the statements therein not misleading, and will reimburse each Other Stockholder Indemnified Party for any legal or other expenses reasonably incurred by such Other Stockholder Indemnified Party in connection with investigating or defending against any loss, claim, damage, liability, action, litigation, investigation or proceeding whatsoever (whether or not such Other Stockholder Indemnified Party is a party thereto), whether threatened or commenced, and in connection with the enforcement of this provision with respect to the above as such expenses are incurred;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any Other Stockholder shall be liable in any such case only to the extent that such loss, claim, damage, liability or action arises out of, or is based upon, any untrue statement or alleged untrue statement or omission or alleged omission made in reliance upon and in conformity with written information furnished to the Company by or on behalf of such Other Stockholder specifically for use therein, it being understood and agreed that the only such information furnished by any Other Stockholder consists of the information as described in </w:t>
      </w:r>
      <w:r>
        <w:rPr>
          <w:rFonts w:ascii="Times New Roman" w:cs="Times New Roman" w:eastAsia="Times New Roman" w:hAnsi="Times New Roman"/>
          <w:sz w:val="13"/>
          <w:szCs w:val="13"/>
          <w:u w:val="single" w:color="auto"/>
          <w:color w:val="auto"/>
        </w:rPr>
        <w:t>Schedule G</w:t>
      </w:r>
      <w:r>
        <w:rPr>
          <w:rFonts w:ascii="Times New Roman" w:cs="Times New Roman" w:eastAsia="Times New Roman" w:hAnsi="Times New Roman"/>
          <w:sz w:val="13"/>
          <w:szCs w:val="13"/>
          <w:color w:val="auto"/>
        </w:rPr>
        <w:t xml:space="preserve"> hereto;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the aggregate liability for all claims against any Other Stockholder pursuant to this </w:t>
      </w:r>
      <w:r>
        <w:rPr>
          <w:rFonts w:ascii="Times New Roman" w:cs="Times New Roman" w:eastAsia="Times New Roman" w:hAnsi="Times New Roman"/>
          <w:sz w:val="13"/>
          <w:szCs w:val="13"/>
          <w:u w:val="single" w:color="auto"/>
          <w:color w:val="auto"/>
        </w:rPr>
        <w:t>Section 8(c)</w:t>
      </w:r>
      <w:r>
        <w:rPr>
          <w:rFonts w:ascii="Times New Roman" w:cs="Times New Roman" w:eastAsia="Times New Roman" w:hAnsi="Times New Roman"/>
          <w:sz w:val="13"/>
          <w:szCs w:val="13"/>
          <w:color w:val="auto"/>
        </w:rPr>
        <w:t xml:space="preserve"> shall be limited to an amount equal to the proceeds (net</w:t>
      </w:r>
    </w:p>
    <w:p>
      <w:pPr>
        <w:spacing w:after="0" w:line="119" w:lineRule="exact"/>
        <w:rPr>
          <w:sz w:val="20"/>
          <w:szCs w:val="20"/>
          <w:color w:val="auto"/>
        </w:rPr>
      </w:pPr>
    </w:p>
    <w:p>
      <w:pPr>
        <w:jc w:val="center"/>
        <w:ind w:right="417"/>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109855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83"/>
          </w:cols>
          <w:pgMar w:left="677" w:top="714" w:right="239" w:bottom="1440" w:gutter="0" w:footer="0" w:header="0"/>
        </w:sectPr>
      </w:pPr>
    </w:p>
    <w:bookmarkStart w:id="28" w:name="page29"/>
    <w:bookmarkEnd w:id="28"/>
    <w:p>
      <w:pPr>
        <w:ind w:left="3"/>
        <w:spacing w:after="0"/>
        <w:rPr>
          <w:sz w:val="20"/>
          <w:szCs w:val="20"/>
          <w:color w:val="auto"/>
        </w:rPr>
      </w:pPr>
      <w:r>
        <w:rPr>
          <w:rFonts w:ascii="Times New Roman" w:cs="Times New Roman" w:eastAsia="Times New Roman" w:hAnsi="Times New Roman"/>
          <w:sz w:val="13"/>
          <w:szCs w:val="13"/>
          <w:color w:val="auto"/>
        </w:rPr>
        <w:t>of underwriting discounts and commissions received by the Underwriters, but before deducting other expenses) received by such Other Stockholder from the sale of Securities under this Agreement.</w:t>
      </w:r>
    </w:p>
    <w:p>
      <w:pPr>
        <w:spacing w:after="0" w:line="86" w:lineRule="exact"/>
        <w:rPr>
          <w:sz w:val="20"/>
          <w:szCs w:val="20"/>
          <w:color w:val="auto"/>
        </w:rPr>
      </w:pPr>
    </w:p>
    <w:p>
      <w:pPr>
        <w:ind w:left="3" w:hanging="3"/>
        <w:spacing w:after="0" w:line="255" w:lineRule="auto"/>
        <w:tabs>
          <w:tab w:leader="none" w:pos="188"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Underwriter will severally and not jointly indemnify and hold harmless the Company, each of its directors and each of its officers who signs a Registration Statement and each person, if any, who controls the Company within the meaning of Section 15 of the Act or Section 20 of the Exchange Act, and each Selling Stockholder (each an “</w:t>
      </w:r>
      <w:r>
        <w:rPr>
          <w:rFonts w:ascii="Times New Roman" w:cs="Times New Roman" w:eastAsia="Times New Roman" w:hAnsi="Times New Roman"/>
          <w:sz w:val="13"/>
          <w:szCs w:val="13"/>
          <w:b w:val="1"/>
          <w:bCs w:val="1"/>
          <w:color w:val="auto"/>
        </w:rPr>
        <w:t>Underwriter Indemnified Party</w:t>
      </w:r>
      <w:r>
        <w:rPr>
          <w:rFonts w:ascii="Times New Roman" w:cs="Times New Roman" w:eastAsia="Times New Roman" w:hAnsi="Times New Roman"/>
          <w:sz w:val="13"/>
          <w:szCs w:val="13"/>
          <w:color w:val="auto"/>
        </w:rPr>
        <w:t>”), against any losses, claims, damages or liabilities to which such Underwriter Indemnified Party may become subject, under the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any Registration Statement at any time, any Statutory Prospectus at any time,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figure appearing in the fourth paragraph under the caption “Underwriting”, and the information relating to stabilizing transactions, over-allotment transactions, syndicate covering transactions and penalty bids contained in the ninth and tenth paragraphs under the caption “Underwriting”.</w:t>
      </w:r>
    </w:p>
    <w:p>
      <w:pPr>
        <w:spacing w:after="0" w:line="59" w:lineRule="exact"/>
        <w:rPr>
          <w:rFonts w:ascii="Times New Roman" w:cs="Times New Roman" w:eastAsia="Times New Roman" w:hAnsi="Times New Roman"/>
          <w:sz w:val="13"/>
          <w:szCs w:val="13"/>
          <w:color w:val="auto"/>
        </w:rPr>
      </w:pPr>
    </w:p>
    <w:p>
      <w:pPr>
        <w:ind w:left="3" w:right="40" w:hanging="3"/>
        <w:spacing w:after="0" w:line="255" w:lineRule="auto"/>
        <w:tabs>
          <w:tab w:leader="none" w:pos="181"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receipt by an indemnified party under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of notice of the commencement of any action, such indemnified party will, if a claim in respect thereof is to be made against an indemnifying party under </w:t>
      </w:r>
      <w:r>
        <w:rPr>
          <w:rFonts w:ascii="Times New Roman" w:cs="Times New Roman" w:eastAsia="Times New Roman" w:hAnsi="Times New Roman"/>
          <w:sz w:val="13"/>
          <w:szCs w:val="13"/>
          <w:u w:val="single" w:color="auto"/>
          <w:color w:val="auto"/>
        </w:rPr>
        <w:t>Sections 8(a)</w:t>
      </w:r>
      <w:r>
        <w:rPr>
          <w:rFonts w:ascii="Times New Roman" w:cs="Times New Roman" w:eastAsia="Times New Roman" w:hAnsi="Times New Roman"/>
          <w:sz w:val="13"/>
          <w:szCs w:val="13"/>
          <w:color w:val="auto"/>
        </w:rPr>
        <w:t xml:space="preserve"> through (d), notify the indemnifying party of the commencement thereof; but the failure to notify the indemnifying party shall not relieve it from any liability that it may have under </w:t>
      </w:r>
      <w:r>
        <w:rPr>
          <w:rFonts w:ascii="Times New Roman" w:cs="Times New Roman" w:eastAsia="Times New Roman" w:hAnsi="Times New Roman"/>
          <w:sz w:val="13"/>
          <w:szCs w:val="13"/>
          <w:u w:val="single" w:color="auto"/>
          <w:color w:val="auto"/>
        </w:rPr>
        <w:t>Sections 8(a)</w:t>
      </w:r>
      <w:r>
        <w:rPr>
          <w:rFonts w:ascii="Times New Roman" w:cs="Times New Roman" w:eastAsia="Times New Roman" w:hAnsi="Times New Roman"/>
          <w:sz w:val="13"/>
          <w:szCs w:val="13"/>
          <w:color w:val="auto"/>
        </w:rPr>
        <w:t xml:space="preserve"> through (d) except to the extent that it has been materially prejudiced (through the forfeiture of substantive rights or defenses) by such failure; and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that the failure to notify the indemnifying party shall not relieve it from any liability that it may have to an indemnified party otherwise than under </w:t>
      </w:r>
      <w:r>
        <w:rPr>
          <w:rFonts w:ascii="Times New Roman" w:cs="Times New Roman" w:eastAsia="Times New Roman" w:hAnsi="Times New Roman"/>
          <w:sz w:val="13"/>
          <w:szCs w:val="13"/>
          <w:u w:val="single" w:color="auto"/>
          <w:color w:val="auto"/>
        </w:rPr>
        <w:t>Sections 8(a)</w:t>
      </w:r>
      <w:r>
        <w:rPr>
          <w:rFonts w:ascii="Times New Roman" w:cs="Times New Roman" w:eastAsia="Times New Roman" w:hAnsi="Times New Roman"/>
          <w:sz w:val="13"/>
          <w:szCs w:val="13"/>
          <w:color w:val="auto"/>
        </w:rPr>
        <w:t xml:space="preserve"> through (d).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61" w:lineRule="exact"/>
        <w:rPr>
          <w:rFonts w:ascii="Times New Roman" w:cs="Times New Roman" w:eastAsia="Times New Roman" w:hAnsi="Times New Roman"/>
          <w:sz w:val="13"/>
          <w:szCs w:val="13"/>
          <w:color w:val="auto"/>
        </w:rPr>
      </w:pPr>
    </w:p>
    <w:p>
      <w:pPr>
        <w:ind w:left="3" w:right="80" w:hanging="3"/>
        <w:spacing w:after="0" w:line="286" w:lineRule="auto"/>
        <w:tabs>
          <w:tab w:leader="none" w:pos="166"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indemnification provided for in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is unavailable or insufficient to hold harmless an indemnified party under </w:t>
      </w:r>
      <w:r>
        <w:rPr>
          <w:rFonts w:ascii="Times New Roman" w:cs="Times New Roman" w:eastAsia="Times New Roman" w:hAnsi="Times New Roman"/>
          <w:sz w:val="13"/>
          <w:szCs w:val="13"/>
          <w:u w:val="single" w:color="auto"/>
          <w:color w:val="auto"/>
        </w:rPr>
        <w:t>Sections 8(a)</w:t>
      </w:r>
      <w:r>
        <w:rPr>
          <w:rFonts w:ascii="Times New Roman" w:cs="Times New Roman" w:eastAsia="Times New Roman" w:hAnsi="Times New Roman"/>
          <w:sz w:val="13"/>
          <w:szCs w:val="13"/>
          <w:color w:val="auto"/>
        </w:rPr>
        <w:t xml:space="preserve"> through (d), then, each indemnifying party shall contribute to the amount paid or payable by such indemnified party as a result of the losses, claims,</w:t>
      </w:r>
    </w:p>
    <w:p>
      <w:pPr>
        <w:spacing w:after="0" w:line="96" w:lineRule="exact"/>
        <w:rPr>
          <w:sz w:val="20"/>
          <w:szCs w:val="20"/>
          <w:color w:val="auto"/>
        </w:rPr>
      </w:pPr>
    </w:p>
    <w:p>
      <w:pPr>
        <w:jc w:val="center"/>
        <w:ind w:right="417"/>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109855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83"/>
          </w:cols>
          <w:pgMar w:left="677" w:top="716" w:right="239" w:bottom="1440" w:gutter="0" w:footer="0" w:header="0"/>
        </w:sectPr>
      </w:pPr>
    </w:p>
    <w:bookmarkStart w:id="29" w:name="page30"/>
    <w:bookmarkEnd w:id="29"/>
    <w:p>
      <w:pPr>
        <w:ind w:left="400"/>
        <w:spacing w:after="0" w:line="254" w:lineRule="auto"/>
        <w:rPr>
          <w:sz w:val="20"/>
          <w:szCs w:val="20"/>
          <w:color w:val="auto"/>
        </w:rPr>
      </w:pPr>
      <w:r>
        <w:rPr>
          <w:rFonts w:ascii="Times New Roman" w:cs="Times New Roman" w:eastAsia="Times New Roman" w:hAnsi="Times New Roman"/>
          <w:sz w:val="13"/>
          <w:szCs w:val="13"/>
          <w:color w:val="auto"/>
        </w:rPr>
        <w:t xml:space="preserve">damages or liabilities referred to in </w:t>
      </w:r>
      <w:r>
        <w:rPr>
          <w:rFonts w:ascii="Times New Roman" w:cs="Times New Roman" w:eastAsia="Times New Roman" w:hAnsi="Times New Roman"/>
          <w:sz w:val="13"/>
          <w:szCs w:val="13"/>
          <w:u w:val="single" w:color="auto"/>
          <w:color w:val="auto"/>
        </w:rPr>
        <w:t>Sections 8(a)</w:t>
      </w:r>
      <w:r>
        <w:rPr>
          <w:rFonts w:ascii="Times New Roman" w:cs="Times New Roman" w:eastAsia="Times New Roman" w:hAnsi="Times New Roman"/>
          <w:sz w:val="13"/>
          <w:szCs w:val="13"/>
          <w:color w:val="auto"/>
        </w:rPr>
        <w:t xml:space="preserve"> through (d), (i) in such proportion as is appropriate to reflect the relative benefits received by the Company and the Selling Stockholders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Selling Stockholders on the one hand and the Underwriters on the other in connection with the statements or omissions which resulted in such losses, claims, damages or liabilities as well as any other relevant equitable considerations. The relative benefits received by the Company and the Selling Stockholders on the one hand and the Underwriters on the other shall be deemed to be in the same proportion as the total net proceeds from the offering (before deducting expenses) received by the Company and the Selling Stockholders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the Selling Stockholders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w:t>
      </w:r>
      <w:r>
        <w:rPr>
          <w:rFonts w:ascii="Times New Roman" w:cs="Times New Roman" w:eastAsia="Times New Roman" w:hAnsi="Times New Roman"/>
          <w:sz w:val="13"/>
          <w:szCs w:val="13"/>
          <w:u w:val="single" w:color="auto"/>
          <w:color w:val="auto"/>
        </w:rPr>
        <w:t>Section 8(f)</w:t>
      </w:r>
      <w:r>
        <w:rPr>
          <w:rFonts w:ascii="Times New Roman" w:cs="Times New Roman" w:eastAsia="Times New Roman" w:hAnsi="Times New Roman"/>
          <w:sz w:val="13"/>
          <w:szCs w:val="13"/>
          <w:color w:val="auto"/>
        </w:rPr>
        <w:t xml:space="preserve"> shall be deemed to include any legal or other expenses reasonably incurred by such indemnified party in connection with investigating or defending any action or claim which is the subject of this </w:t>
      </w:r>
      <w:r>
        <w:rPr>
          <w:rFonts w:ascii="Times New Roman" w:cs="Times New Roman" w:eastAsia="Times New Roman" w:hAnsi="Times New Roman"/>
          <w:sz w:val="13"/>
          <w:szCs w:val="13"/>
          <w:u w:val="single" w:color="auto"/>
          <w:color w:val="auto"/>
        </w:rPr>
        <w:t>Section 8(f)</w:t>
      </w:r>
      <w:r>
        <w:rPr>
          <w:rFonts w:ascii="Times New Roman" w:cs="Times New Roman" w:eastAsia="Times New Roman" w:hAnsi="Times New Roman"/>
          <w:sz w:val="13"/>
          <w:szCs w:val="13"/>
          <w:color w:val="auto"/>
        </w:rPr>
        <w:t xml:space="preserve">. Notwithstanding the provisions of this </w:t>
      </w:r>
      <w:r>
        <w:rPr>
          <w:rFonts w:ascii="Times New Roman" w:cs="Times New Roman" w:eastAsia="Times New Roman" w:hAnsi="Times New Roman"/>
          <w:sz w:val="13"/>
          <w:szCs w:val="13"/>
          <w:u w:val="single" w:color="auto"/>
          <w:color w:val="auto"/>
        </w:rPr>
        <w:t>Section 8(f)</w:t>
      </w:r>
      <w:r>
        <w:rPr>
          <w:rFonts w:ascii="Times New Roman" w:cs="Times New Roman" w:eastAsia="Times New Roman" w:hAnsi="Times New Roman"/>
          <w:sz w:val="13"/>
          <w:szCs w:val="13"/>
          <w:color w:val="auto"/>
        </w:rPr>
        <w:t xml:space="preserve">,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w:t>
      </w:r>
      <w:r>
        <w:rPr>
          <w:rFonts w:ascii="Times New Roman" w:cs="Times New Roman" w:eastAsia="Times New Roman" w:hAnsi="Times New Roman"/>
          <w:sz w:val="13"/>
          <w:szCs w:val="13"/>
          <w:u w:val="single" w:color="auto"/>
          <w:color w:val="auto"/>
        </w:rPr>
        <w:t>Section 8(f)</w:t>
      </w:r>
      <w:r>
        <w:rPr>
          <w:rFonts w:ascii="Times New Roman" w:cs="Times New Roman" w:eastAsia="Times New Roman" w:hAnsi="Times New Roman"/>
          <w:sz w:val="13"/>
          <w:szCs w:val="13"/>
          <w:color w:val="auto"/>
        </w:rPr>
        <w:t xml:space="preserve"> to contribute are several in proportion to their respective underwriting obligations and not joint. The Company, the Selling Stockholders and the Underwriters agree that it would not be just and equitable if contribution pursuant to this </w:t>
      </w:r>
      <w:r>
        <w:rPr>
          <w:rFonts w:ascii="Times New Roman" w:cs="Times New Roman" w:eastAsia="Times New Roman" w:hAnsi="Times New Roman"/>
          <w:sz w:val="13"/>
          <w:szCs w:val="13"/>
          <w:u w:val="single" w:color="auto"/>
          <w:color w:val="auto"/>
        </w:rPr>
        <w:t>Section 8(f)</w:t>
      </w:r>
      <w:r>
        <w:rPr>
          <w:rFonts w:ascii="Times New Roman" w:cs="Times New Roman" w:eastAsia="Times New Roman" w:hAnsi="Times New Roman"/>
          <w:sz w:val="13"/>
          <w:szCs w:val="13"/>
          <w:color w:val="auto"/>
        </w:rPr>
        <w:t xml:space="preserve"> were determined by pro rata allocation (even if the Underwriters were treated as one entity for such purpose) or by any other method of allocation which does not take account of the equitable considerations referred to in this </w:t>
      </w:r>
      <w:r>
        <w:rPr>
          <w:rFonts w:ascii="Times New Roman" w:cs="Times New Roman" w:eastAsia="Times New Roman" w:hAnsi="Times New Roman"/>
          <w:sz w:val="13"/>
          <w:szCs w:val="13"/>
          <w:u w:val="single" w:color="auto"/>
          <w:color w:val="auto"/>
        </w:rPr>
        <w:t>Section 8(f)</w:t>
      </w:r>
      <w:r>
        <w:rPr>
          <w:rFonts w:ascii="Times New Roman" w:cs="Times New Roman" w:eastAsia="Times New Roman" w:hAnsi="Times New Roman"/>
          <w:sz w:val="13"/>
          <w:szCs w:val="13"/>
          <w:color w:val="auto"/>
        </w:rPr>
        <w:t>.</w:t>
      </w:r>
    </w:p>
    <w:p>
      <w:pPr>
        <w:spacing w:after="0" w:line="63" w:lineRule="exact"/>
        <w:rPr>
          <w:sz w:val="20"/>
          <w:szCs w:val="20"/>
          <w:color w:val="auto"/>
        </w:rPr>
      </w:pPr>
    </w:p>
    <w:p>
      <w:pPr>
        <w:ind w:left="-60" w:right="20" w:firstLine="162"/>
        <w:spacing w:after="0" w:line="256" w:lineRule="auto"/>
        <w:tabs>
          <w:tab w:leader="none" w:pos="23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Default of Underwriters</w:t>
      </w:r>
      <w:r>
        <w:rPr>
          <w:rFonts w:ascii="Times New Roman" w:cs="Times New Roman" w:eastAsia="Times New Roman" w:hAnsi="Times New Roman"/>
          <w:sz w:val="13"/>
          <w:szCs w:val="13"/>
          <w:color w:val="auto"/>
        </w:rPr>
        <w:t>. If any Underwriter or Underwriters default in their obligations to purchase Offered Securities hereunder on either the First or any Optional Closing Date and the aggregate number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shares of Offered Securities that such defaulting Underwriter or Underwriters agreed but failed to purchase does not exceed 10% of the total number of shares of Offered Securities that the Underwriters are obligated to purchase on such Closing Date, the Representatives may make arrangements satisfactory to the Company and the Selling Stockholders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the Representatives, the Company and the Selling Stockholders for the purchase of such Offered Securities by other persons are not made within 36 hours after such default, this Agreement will terminate without liability on the part of any non-defaulting Underwriter, the Company or the Selling Stockholders, except as provided in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Nothing herein will relieve a defaulting Underwriter from liability for its default.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109855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80" w:top="716" w:right="259" w:bottom="1440" w:gutter="0" w:footer="0" w:header="0"/>
        </w:sectPr>
      </w:pPr>
    </w:p>
    <w:bookmarkStart w:id="30" w:name="page31"/>
    <w:bookmarkEnd w:id="30"/>
    <w:p>
      <w:pPr>
        <w:ind w:right="180" w:firstLine="162"/>
        <w:spacing w:after="0" w:line="259" w:lineRule="auto"/>
        <w:tabs>
          <w:tab w:leader="none" w:pos="3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Survival of Certain Representations and Obligations</w:t>
      </w:r>
      <w:r>
        <w:rPr>
          <w:rFonts w:ascii="Times New Roman" w:cs="Times New Roman" w:eastAsia="Times New Roman" w:hAnsi="Times New Roman"/>
          <w:sz w:val="13"/>
          <w:szCs w:val="13"/>
          <w:color w:val="auto"/>
        </w:rPr>
        <w:t>. The respective indemnities, agreements, representations, warranties and other statements of the Company, the Selling Stockholders and of the several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Underwriters set forth in or made pursuant to this Agreement will remain in full force and effect, regardless of any investigation, or statement as to the results thereof, made by or on behalf of any Underwriter, the Company, any Selling Stockholder or any of their respective representatives, officers or directors or any controlling person, and will survive delivery of and payment for the Offered Securities. If the purchase of the Offered Securities by the Underwriters is not consummated for any reason other than solely because of the termination of this Agreement pursuant to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the Company and the Selling Stockholders will, jointly and severally, reimburse the Underwriters for all out-of-pocket expenses (including fees and disbursements of counsel) reasonably incurred by them in connection with the offering of the Offered Securities, and the respective obligations of the Company, the Selling Stockholders and the Underwriters pursuant to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shall remain in effect.</w:t>
      </w:r>
    </w:p>
    <w:p>
      <w:pPr>
        <w:spacing w:after="0" w:line="54" w:lineRule="exact"/>
        <w:rPr>
          <w:rFonts w:ascii="Times New Roman" w:cs="Times New Roman" w:eastAsia="Times New Roman" w:hAnsi="Times New Roman"/>
          <w:sz w:val="13"/>
          <w:szCs w:val="13"/>
          <w:color w:val="auto"/>
        </w:rPr>
      </w:pPr>
    </w:p>
    <w:p>
      <w:pPr>
        <w:ind w:firstLine="162"/>
        <w:spacing w:after="0" w:line="259" w:lineRule="auto"/>
        <w:tabs>
          <w:tab w:leader="none" w:pos="355"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Notices</w:t>
      </w:r>
      <w:r>
        <w:rPr>
          <w:rFonts w:ascii="Times New Roman" w:cs="Times New Roman" w:eastAsia="Times New Roman" w:hAnsi="Times New Roman"/>
          <w:sz w:val="13"/>
          <w:szCs w:val="13"/>
          <w:color w:val="auto"/>
        </w:rPr>
        <w:t>. All communications hereunder will be in writing and, if sent to the Underwriters, will be mailed, delivered or faxed and confirmed to the Representatives, c/o Credit Suisse Securities (USA) LLC, Eleven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Madison Avenue, New York, N.Y. 10010-3629, Attention: LCD-IBD and Merrill Lynch, Pierce, Fenner &amp; Smith, 1 Bryant Park, New York, N.Y. 10036, Attention: Global Origination Counsel Group, or, if sent to the Company, will be mailed, delivered or faxed and confirmed to it at Grand Canyon Education, Inc., 3300 West Camelback Road, Phoenix, Arizona 85017, Attention: Christopher C. Richardson, or, if sent to the Principal Stockholders or the Luke M. Buse and Staci Lin Buse Revocable Trust, will be mailed, delivered or faxed and confirmed Grand Canyon Education, Inc., 3300 West Camelback Road, Phoenix, Arizona 85017, Attention: Christopher C. Richardson, or, if sent to Endeavour Capital Fund IV, L.P. or its affiliates, will be mailed, delivered or faxed and confirmed to Endeavour Capital at 601 West Fifth Street, Suite 700, Los Angeles, California, 90071, Attention: Chad N. Heath;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any notice to an Underwriter pursuant to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will be mailed, delivered or faxed and confirmed to such Underwriter.</w:t>
      </w:r>
    </w:p>
    <w:p>
      <w:pPr>
        <w:spacing w:after="0" w:line="54" w:lineRule="exact"/>
        <w:rPr>
          <w:rFonts w:ascii="Times New Roman" w:cs="Times New Roman" w:eastAsia="Times New Roman" w:hAnsi="Times New Roman"/>
          <w:sz w:val="13"/>
          <w:szCs w:val="13"/>
          <w:color w:val="auto"/>
        </w:rPr>
      </w:pPr>
    </w:p>
    <w:p>
      <w:pPr>
        <w:ind w:right="180" w:firstLine="162"/>
        <w:spacing w:after="0" w:line="289" w:lineRule="auto"/>
        <w:tabs>
          <w:tab w:leader="none" w:pos="3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Successors</w:t>
      </w:r>
      <w:r>
        <w:rPr>
          <w:rFonts w:ascii="Times New Roman" w:cs="Times New Roman" w:eastAsia="Times New Roman" w:hAnsi="Times New Roman"/>
          <w:sz w:val="13"/>
          <w:szCs w:val="13"/>
          <w:color w:val="auto"/>
        </w:rPr>
        <w:t>. This Agreement will inure to the benefit of and be binding upon the parties hereto and their respective personal representatives and successors and the officers and directors and controlling persons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referred to in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and no other person will have any right or obligation hereunder.</w:t>
      </w:r>
    </w:p>
    <w:p>
      <w:pPr>
        <w:spacing w:after="0" w:line="33" w:lineRule="exact"/>
        <w:rPr>
          <w:rFonts w:ascii="Times New Roman" w:cs="Times New Roman" w:eastAsia="Times New Roman" w:hAnsi="Times New Roman"/>
          <w:sz w:val="13"/>
          <w:szCs w:val="13"/>
          <w:color w:val="auto"/>
        </w:rPr>
      </w:pPr>
    </w:p>
    <w:p>
      <w:pPr>
        <w:jc w:val="both"/>
        <w:ind w:right="120" w:firstLine="162"/>
        <w:spacing w:after="0" w:line="264" w:lineRule="auto"/>
        <w:tabs>
          <w:tab w:leader="none" w:pos="3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Representation</w:t>
      </w:r>
      <w:r>
        <w:rPr>
          <w:rFonts w:ascii="Times New Roman" w:cs="Times New Roman" w:eastAsia="Times New Roman" w:hAnsi="Times New Roman"/>
          <w:sz w:val="13"/>
          <w:szCs w:val="13"/>
          <w:color w:val="auto"/>
        </w:rPr>
        <w:t>. The Representatives will act for the several Underwriters in connection with the transactions contemplated by this Agreement, and any action under this Agreement taken by the Representatives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jointly will be binding upon all the Underwriters. Christopher C. Richardson will act on his own behalf and as attorney-in-fact for the Principal Stockholders and the Luke M. Buse and Staci Lin Buse Revocable Trust and Chad N. Heath will act as attorney-in-fact for each of Endeavour Capital Fund IV, L.P. and its affiliates in connection with such transactions, and any action under or in respect of this Agreement taken by either of Christopher C. Richardson or Chad N. Heath in such representative capacity will be binding upon such Selling Stockholders as applicable.</w:t>
      </w:r>
    </w:p>
    <w:p>
      <w:pPr>
        <w:spacing w:after="0" w:line="49" w:lineRule="exact"/>
        <w:rPr>
          <w:rFonts w:ascii="Times New Roman" w:cs="Times New Roman" w:eastAsia="Times New Roman" w:hAnsi="Times New Roman"/>
          <w:sz w:val="13"/>
          <w:szCs w:val="13"/>
          <w:color w:val="auto"/>
        </w:rPr>
      </w:pPr>
    </w:p>
    <w:p>
      <w:pPr>
        <w:ind w:left="360" w:hanging="198"/>
        <w:spacing w:after="0"/>
        <w:tabs>
          <w:tab w:leader="none" w:pos="3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Counterparts</w:t>
      </w:r>
      <w:r>
        <w:rPr>
          <w:rFonts w:ascii="Times New Roman" w:cs="Times New Roman" w:eastAsia="Times New Roman" w:hAnsi="Times New Roman"/>
          <w:sz w:val="13"/>
          <w:szCs w:val="13"/>
          <w:color w:val="auto"/>
        </w:rPr>
        <w:t>. This Agreement may be executed in any number of counterparts, each of which shall be deemed to be an original, but all such counterparts shall together constitute one and the same Agreement.</w:t>
      </w:r>
    </w:p>
    <w:p>
      <w:pPr>
        <w:spacing w:after="0" w:line="86" w:lineRule="exact"/>
        <w:rPr>
          <w:rFonts w:ascii="Times New Roman" w:cs="Times New Roman" w:eastAsia="Times New Roman" w:hAnsi="Times New Roman"/>
          <w:sz w:val="13"/>
          <w:szCs w:val="13"/>
          <w:color w:val="auto"/>
        </w:rPr>
      </w:pPr>
    </w:p>
    <w:p>
      <w:pPr>
        <w:ind w:left="360" w:hanging="198"/>
        <w:spacing w:after="0"/>
        <w:tabs>
          <w:tab w:leader="none" w:pos="3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Absence of Fiduciary Relationship. </w:t>
      </w:r>
      <w:r>
        <w:rPr>
          <w:rFonts w:ascii="Times New Roman" w:cs="Times New Roman" w:eastAsia="Times New Roman" w:hAnsi="Times New Roman"/>
          <w:sz w:val="13"/>
          <w:szCs w:val="13"/>
          <w:color w:val="auto"/>
        </w:rPr>
        <w:t>The Company and the Selling Stockholders acknowledge and agree that:</w:t>
      </w:r>
    </w:p>
    <w:p>
      <w:pPr>
        <w:spacing w:after="0" w:line="86" w:lineRule="exact"/>
        <w:rPr>
          <w:rFonts w:ascii="Times New Roman" w:cs="Times New Roman" w:eastAsia="Times New Roman" w:hAnsi="Times New Roman"/>
          <w:sz w:val="13"/>
          <w:szCs w:val="13"/>
          <w:color w:val="auto"/>
        </w:rPr>
      </w:pPr>
    </w:p>
    <w:p>
      <w:pPr>
        <w:ind w:left="460" w:right="280" w:hanging="3"/>
        <w:spacing w:after="0" w:line="271" w:lineRule="auto"/>
        <w:tabs>
          <w:tab w:leader="none" w:pos="63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No Other Relationship. </w:t>
      </w:r>
      <w:r>
        <w:rPr>
          <w:rFonts w:ascii="Times New Roman" w:cs="Times New Roman" w:eastAsia="Times New Roman" w:hAnsi="Times New Roman"/>
          <w:sz w:val="13"/>
          <w:szCs w:val="13"/>
          <w:color w:val="auto"/>
        </w:rPr>
        <w:t>The Representatives have been retained solely to act as underwriters in connection with the sale of the Offered Securities and that no fiduciary, advisory or agency relationship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between the Company or the Selling Stockholders, on the one hand, and the Representatives, on the other, has been created in respect of any of the transactions contemplated by this Agreement or the Final Prospectus, irrespective of whether the Representatives have advised or is advising the Company or the Selling Stockholders on other matters;</w:t>
      </w:r>
    </w:p>
    <w:p>
      <w:pPr>
        <w:spacing w:after="0" w:line="44" w:lineRule="exact"/>
        <w:rPr>
          <w:rFonts w:ascii="Times New Roman" w:cs="Times New Roman" w:eastAsia="Times New Roman" w:hAnsi="Times New Roman"/>
          <w:sz w:val="13"/>
          <w:szCs w:val="13"/>
          <w:color w:val="auto"/>
        </w:rPr>
      </w:pPr>
    </w:p>
    <w:p>
      <w:pPr>
        <w:jc w:val="both"/>
        <w:ind w:left="460" w:right="60" w:hanging="3"/>
        <w:spacing w:after="0" w:line="271" w:lineRule="auto"/>
        <w:tabs>
          <w:tab w:leader="none" w:pos="645"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Arms’ Length Negotiations. </w:t>
      </w:r>
      <w:r>
        <w:rPr>
          <w:rFonts w:ascii="Times New Roman" w:cs="Times New Roman" w:eastAsia="Times New Roman" w:hAnsi="Times New Roman"/>
          <w:sz w:val="13"/>
          <w:szCs w:val="13"/>
          <w:color w:val="auto"/>
        </w:rPr>
        <w:t>The price of the Offered Securities set forth in this Agreement was established by Company or the Selling Stockholders following discussions and arms-length negotiations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Representatives and the Company or the Selling Stockholders are capable of evaluating and understanding and understand and accept the terms, risks and conditions of the transactions contemplated by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4" w:right="219" w:bottom="1440" w:gutter="0" w:footer="0" w:header="0"/>
        </w:sectPr>
      </w:pPr>
    </w:p>
    <w:bookmarkStart w:id="31" w:name="page32"/>
    <w:bookmarkEnd w:id="31"/>
    <w:p>
      <w:pPr>
        <w:jc w:val="both"/>
        <w:ind w:left="460" w:right="20" w:hanging="3"/>
        <w:spacing w:after="0" w:line="271" w:lineRule="auto"/>
        <w:tabs>
          <w:tab w:leader="none" w:pos="638"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Absence of Obligation to Disclose. </w:t>
      </w:r>
      <w:r>
        <w:rPr>
          <w:rFonts w:ascii="Times New Roman" w:cs="Times New Roman" w:eastAsia="Times New Roman" w:hAnsi="Times New Roman"/>
          <w:sz w:val="13"/>
          <w:szCs w:val="13"/>
          <w:color w:val="auto"/>
        </w:rPr>
        <w:t>The Company and the Selling Stockholders have been advised that the Representatives and their affiliates are engaged in a broad range of transactions which may involve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interests that differ from those of the Company or the Selling Stockholders and that the Representatives have no obligation to disclose such interests and transactions to the Company or the Selling Stockholders by virtue of any fiduciary, advisory or agency relationship; and</w:t>
      </w:r>
    </w:p>
    <w:p>
      <w:pPr>
        <w:spacing w:after="0" w:line="44" w:lineRule="exact"/>
        <w:rPr>
          <w:rFonts w:ascii="Times New Roman" w:cs="Times New Roman" w:eastAsia="Times New Roman" w:hAnsi="Times New Roman"/>
          <w:sz w:val="13"/>
          <w:szCs w:val="13"/>
          <w:color w:val="auto"/>
        </w:rPr>
      </w:pPr>
    </w:p>
    <w:p>
      <w:pPr>
        <w:ind w:left="460" w:right="320" w:hanging="3"/>
        <w:spacing w:after="0" w:line="271" w:lineRule="auto"/>
        <w:tabs>
          <w:tab w:leader="none" w:pos="645"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Waiver. </w:t>
      </w:r>
      <w:r>
        <w:rPr>
          <w:rFonts w:ascii="Times New Roman" w:cs="Times New Roman" w:eastAsia="Times New Roman" w:hAnsi="Times New Roman"/>
          <w:sz w:val="13"/>
          <w:szCs w:val="13"/>
          <w:color w:val="auto"/>
        </w:rPr>
        <w:t>The Company and the Selling Stockholders waive, to the fullest extent permitted by law, any claims they may have against the Representatives for breach of fiduciary duty or alleged breach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fiduciary duty and agree that the Representatives shall have no liability (whether direct or indirect) to the Company or the Selling Stockholders in respect of such a fiduciary duty claim or to any person asserting a fiduciary duty claim on behalf of or in right of the Company, including stockholders, employees or creditors of the Company.</w:t>
      </w:r>
    </w:p>
    <w:p>
      <w:pPr>
        <w:spacing w:after="0" w:line="42" w:lineRule="exact"/>
        <w:rPr>
          <w:rFonts w:ascii="Times New Roman" w:cs="Times New Roman" w:eastAsia="Times New Roman" w:hAnsi="Times New Roman"/>
          <w:sz w:val="13"/>
          <w:szCs w:val="13"/>
          <w:color w:val="auto"/>
        </w:rPr>
      </w:pPr>
    </w:p>
    <w:p>
      <w:pPr>
        <w:ind w:left="360" w:hanging="198"/>
        <w:spacing w:after="0"/>
        <w:tabs>
          <w:tab w:leader="none" w:pos="3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Applicable Law</w:t>
      </w:r>
      <w:r>
        <w:rPr>
          <w:rFonts w:ascii="Times New Roman" w:cs="Times New Roman" w:eastAsia="Times New Roman" w:hAnsi="Times New Roman"/>
          <w:sz w:val="13"/>
          <w:szCs w:val="13"/>
          <w:b w:val="1"/>
          <w:bCs w:val="1"/>
          <w:color w:val="auto"/>
        </w:rPr>
        <w:t>. This Agreement shall be governed by, and construed in accordance with, the laws of the State of New York.</w:t>
      </w:r>
    </w:p>
    <w:p>
      <w:pPr>
        <w:spacing w:after="0" w:line="90"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3"/>
          <w:szCs w:val="13"/>
          <w:color w:val="auto"/>
        </w:rPr>
        <w:t>The Company and the Selling Stockholders hereby submit to the non-exclusive jurisdiction of the Federal and state courts in the Borough of Manhattan in The City of New York in any suit or proceeding arising out of or relating to this Agreement or the transactions contemplated hereby. The Company and the Selling Stockholders irrevocably and unconditionally waive any objection to the laying of venue of any suit or proceeding arising out of or relating to this Agreement or the transactions contemplated hereby in Federal and state courts in the Borough of Manhattan in the City of New York and irrevocably and unconditionally waive and agree not to plead or claim in any such court that any such suit or proceeding in any such court has been brought in an inconvenient forum.</w:t>
      </w: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Follows</w:t>
      </w:r>
      <w:r>
        <w:rPr>
          <w:rFonts w:ascii="Times New Roman" w:cs="Times New Roman" w:eastAsia="Times New Roman" w:hAnsi="Times New Roman"/>
          <w:sz w:val="13"/>
          <w:szCs w:val="13"/>
          <w:color w:val="auto"/>
        </w:rPr>
        <w:t>]</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4" w:right="239" w:bottom="1440" w:gutter="0" w:footer="0" w:header="0"/>
        </w:sectPr>
      </w:pPr>
    </w:p>
    <w:bookmarkStart w:id="32" w:name="page33"/>
    <w:bookmarkEnd w:id="32"/>
    <w:p>
      <w:pPr>
        <w:ind w:firstLine="164"/>
        <w:spacing w:after="0" w:line="286" w:lineRule="auto"/>
        <w:rPr>
          <w:sz w:val="20"/>
          <w:szCs w:val="20"/>
          <w:color w:val="auto"/>
        </w:rPr>
      </w:pPr>
      <w:r>
        <w:rPr>
          <w:rFonts w:ascii="Times New Roman" w:cs="Times New Roman" w:eastAsia="Times New Roman" w:hAnsi="Times New Roman"/>
          <w:sz w:val="13"/>
          <w:szCs w:val="13"/>
          <w:color w:val="auto"/>
        </w:rPr>
        <w:t>If the foregoing is in accordance with the Representatives’ understanding of our agreement, kindly sign and return to the Company one of the counterparts hereof, whereupon it will become a binding agreement among the Company, the Selling Stockholders and the several Underwriters in accordance with its terms.</w:t>
      </w:r>
    </w:p>
    <w:p>
      <w:pPr>
        <w:spacing w:after="0" w:line="1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GRAND CANYON EDUCATION, INC.</w:t>
      </w:r>
    </w:p>
    <w:p>
      <w:pPr>
        <w:spacing w:after="0" w:line="16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13335</wp:posOffset>
            </wp:positionV>
            <wp:extent cx="272732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Name:</w:t>
      </w:r>
    </w:p>
    <w:p>
      <w:pPr>
        <w:spacing w:after="0" w:line="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Title:</w:t>
      </w:r>
    </w:p>
    <w:p>
      <w:pPr>
        <w:spacing w:after="0" w:line="30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ENDEAVOUR ASSOCIATES FUND IV, L.P.</w:t>
      </w:r>
    </w:p>
    <w:p>
      <w:pPr>
        <w:spacing w:after="0" w:line="16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13335</wp:posOffset>
            </wp:positionV>
            <wp:extent cx="272732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Name:</w:t>
      </w:r>
    </w:p>
    <w:p>
      <w:pPr>
        <w:spacing w:after="0" w:line="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Title:</w:t>
      </w:r>
    </w:p>
    <w:p>
      <w:pPr>
        <w:spacing w:after="0" w:line="30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ENDEAVOUR CAPITAL FUND IV, L.P.</w:t>
      </w:r>
    </w:p>
    <w:p>
      <w:pPr>
        <w:spacing w:after="0" w:line="16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13335</wp:posOffset>
            </wp:positionV>
            <wp:extent cx="272732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Name:</w:t>
      </w:r>
    </w:p>
    <w:p>
      <w:pPr>
        <w:spacing w:after="0" w:line="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Title:</w:t>
      </w:r>
    </w:p>
    <w:p>
      <w:pPr>
        <w:spacing w:after="0" w:line="30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ENDEAVOUR CAPITAL PARALLEL FUND IV, L.P.</w:t>
      </w:r>
    </w:p>
    <w:p>
      <w:pPr>
        <w:spacing w:after="0" w:line="16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13335</wp:posOffset>
            </wp:positionV>
            <wp:extent cx="272732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Name:</w:t>
      </w:r>
    </w:p>
    <w:p>
      <w:pPr>
        <w:spacing w:after="0" w:line="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Title:</w:t>
      </w:r>
    </w:p>
    <w:p>
      <w:pPr>
        <w:spacing w:after="0" w:line="30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CHRISTOPHER C. RICHARDSON,</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individually and as attorney-in-fact for Brent D. Richardson,</w:t>
      </w:r>
    </w:p>
    <w:p>
      <w:pPr>
        <w:spacing w:after="0" w:line="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Exeter Capital, LLC and Calle Camelia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304165</wp:posOffset>
            </wp:positionV>
            <wp:extent cx="303974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397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3"/>
          <w:szCs w:val="13"/>
          <w:color w:val="auto"/>
        </w:rPr>
        <w:t>Signature Page to Underwriting Agreement</w:t>
      </w:r>
    </w:p>
    <w:p>
      <w:pPr>
        <w:spacing w:after="0" w:line="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3"/>
          <w:szCs w:val="13"/>
          <w:color w:val="auto"/>
        </w:rPr>
        <w:t>(Company and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220" w:top="716"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color w:val="auto"/>
        </w:rPr>
        <w:t>The foregoing Underwriting Agreement is hereby</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confirmed and accepted as of the date first above</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written.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Acting on behalf of themselves and as the</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Representatives of the several</w:t>
      </w:r>
    </w:p>
    <w:p>
      <w:pPr>
        <w:spacing w:after="0" w:line="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Underwriters.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ind w:left="1380"/>
              <w:spacing w:after="0"/>
              <w:rPr>
                <w:sz w:val="20"/>
                <w:szCs w:val="20"/>
                <w:color w:val="auto"/>
              </w:rPr>
            </w:pPr>
            <w:r>
              <w:rPr>
                <w:rFonts w:ascii="Times New Roman" w:cs="Times New Roman" w:eastAsia="Times New Roman" w:hAnsi="Times New Roman"/>
                <w:sz w:val="13"/>
                <w:szCs w:val="13"/>
                <w:color w:val="auto"/>
              </w:rPr>
              <w:t>By</w:t>
            </w: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8"/>
                <w:szCs w:val="8"/>
                <w:color w:val="auto"/>
              </w:rPr>
              <w:t>REDIT</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UISSE</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ECURITIES</w:t>
            </w:r>
            <w:r>
              <w:rPr>
                <w:rFonts w:ascii="Times New Roman" w:cs="Times New Roman" w:eastAsia="Times New Roman" w:hAnsi="Times New Roman"/>
                <w:sz w:val="13"/>
                <w:szCs w:val="13"/>
                <w:color w:val="auto"/>
              </w:rPr>
              <w:t xml:space="preserve"> (USA) LLC</w:t>
            </w:r>
          </w:p>
        </w:tc>
      </w:tr>
      <w:tr>
        <w:trPr>
          <w:trHeight w:val="314"/>
        </w:trPr>
        <w:tc>
          <w:tcPr>
            <w:tcW w:w="1840" w:type="dxa"/>
            <w:vAlign w:val="bottom"/>
          </w:tcPr>
          <w:p>
            <w:pPr>
              <w:ind w:left="1380"/>
              <w:spacing w:after="0"/>
              <w:rPr>
                <w:sz w:val="20"/>
                <w:szCs w:val="20"/>
                <w:color w:val="auto"/>
              </w:rPr>
            </w:pPr>
            <w:r>
              <w:rPr>
                <w:rFonts w:ascii="Times New Roman" w:cs="Times New Roman" w:eastAsia="Times New Roman" w:hAnsi="Times New Roman"/>
                <w:sz w:val="13"/>
                <w:szCs w:val="13"/>
                <w:color w:val="auto"/>
              </w:rPr>
              <w:t>By:</w:t>
            </w:r>
          </w:p>
        </w:tc>
        <w:tc>
          <w:tcPr>
            <w:tcW w:w="4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r>
      <w:tr>
        <w:trPr>
          <w:trHeight w:val="144"/>
        </w:trPr>
        <w:tc>
          <w:tcPr>
            <w:tcW w:w="1840" w:type="dxa"/>
            <w:vAlign w:val="bottom"/>
          </w:tcPr>
          <w:p>
            <w:pPr>
              <w:spacing w:after="0"/>
              <w:rPr>
                <w:sz w:val="12"/>
                <w:szCs w:val="12"/>
                <w:color w:val="auto"/>
              </w:rPr>
            </w:pPr>
          </w:p>
        </w:tc>
        <w:tc>
          <w:tcPr>
            <w:tcW w:w="45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Name:</w:t>
            </w:r>
          </w:p>
        </w:tc>
        <w:tc>
          <w:tcPr>
            <w:tcW w:w="5040" w:type="dxa"/>
            <w:vAlign w:val="bottom"/>
          </w:tcPr>
          <w:p>
            <w:pPr>
              <w:spacing w:after="0"/>
              <w:rPr>
                <w:sz w:val="12"/>
                <w:szCs w:val="12"/>
                <w:color w:val="auto"/>
              </w:rPr>
            </w:pPr>
          </w:p>
        </w:tc>
      </w:tr>
      <w:tr>
        <w:trPr>
          <w:trHeight w:val="171"/>
        </w:trPr>
        <w:tc>
          <w:tcPr>
            <w:tcW w:w="1840" w:type="dxa"/>
            <w:vAlign w:val="bottom"/>
          </w:tcPr>
          <w:p>
            <w:pPr>
              <w:spacing w:after="0"/>
              <w:rPr>
                <w:sz w:val="14"/>
                <w:szCs w:val="14"/>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w:t>
            </w:r>
          </w:p>
        </w:tc>
      </w:tr>
      <w:tr>
        <w:trPr>
          <w:trHeight w:val="315"/>
        </w:trPr>
        <w:tc>
          <w:tcPr>
            <w:tcW w:w="1840" w:type="dxa"/>
            <w:vAlign w:val="bottom"/>
          </w:tcPr>
          <w:p>
            <w:pPr>
              <w:ind w:left="1380"/>
              <w:spacing w:after="0"/>
              <w:rPr>
                <w:sz w:val="20"/>
                <w:szCs w:val="20"/>
                <w:color w:val="auto"/>
              </w:rPr>
            </w:pPr>
            <w:r>
              <w:rPr>
                <w:rFonts w:ascii="Times New Roman" w:cs="Times New Roman" w:eastAsia="Times New Roman" w:hAnsi="Times New Roman"/>
                <w:sz w:val="13"/>
                <w:szCs w:val="13"/>
                <w:color w:val="auto"/>
              </w:rPr>
              <w:t>By</w:t>
            </w: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8"/>
                <w:szCs w:val="8"/>
                <w:color w:val="auto"/>
              </w:rPr>
              <w:t>ERRILL</w:t>
            </w:r>
            <w:r>
              <w:rPr>
                <w:rFonts w:ascii="Times New Roman" w:cs="Times New Roman" w:eastAsia="Times New Roman" w:hAnsi="Times New Roman"/>
                <w:sz w:val="13"/>
                <w:szCs w:val="13"/>
                <w:color w:val="auto"/>
              </w:rPr>
              <w:t xml:space="preserve"> L</w:t>
            </w:r>
            <w:r>
              <w:rPr>
                <w:rFonts w:ascii="Times New Roman" w:cs="Times New Roman" w:eastAsia="Times New Roman" w:hAnsi="Times New Roman"/>
                <w:sz w:val="8"/>
                <w:szCs w:val="8"/>
                <w:color w:val="auto"/>
              </w:rPr>
              <w:t>YNCH</w:t>
            </w:r>
            <w:r>
              <w:rPr>
                <w:rFonts w:ascii="Times New Roman" w:cs="Times New Roman" w:eastAsia="Times New Roman" w:hAnsi="Times New Roman"/>
                <w:sz w:val="13"/>
                <w:szCs w:val="13"/>
                <w:color w:val="auto"/>
              </w:rPr>
              <w:t>, P</w:t>
            </w:r>
            <w:r>
              <w:rPr>
                <w:rFonts w:ascii="Times New Roman" w:cs="Times New Roman" w:eastAsia="Times New Roman" w:hAnsi="Times New Roman"/>
                <w:sz w:val="8"/>
                <w:szCs w:val="8"/>
                <w:color w:val="auto"/>
              </w:rPr>
              <w:t>IERCE</w:t>
            </w:r>
            <w:r>
              <w:rPr>
                <w:rFonts w:ascii="Times New Roman" w:cs="Times New Roman" w:eastAsia="Times New Roman" w:hAnsi="Times New Roman"/>
                <w:sz w:val="13"/>
                <w:szCs w:val="13"/>
                <w:color w:val="auto"/>
              </w:rPr>
              <w:t>, F</w:t>
            </w:r>
            <w:r>
              <w:rPr>
                <w:rFonts w:ascii="Times New Roman" w:cs="Times New Roman" w:eastAsia="Times New Roman" w:hAnsi="Times New Roman"/>
                <w:sz w:val="8"/>
                <w:szCs w:val="8"/>
                <w:color w:val="auto"/>
              </w:rPr>
              <w:t>ENNER</w:t>
            </w:r>
            <w:r>
              <w:rPr>
                <w:rFonts w:ascii="Times New Roman" w:cs="Times New Roman" w:eastAsia="Times New Roman" w:hAnsi="Times New Roman"/>
                <w:sz w:val="13"/>
                <w:szCs w:val="13"/>
                <w:color w:val="auto"/>
              </w:rPr>
              <w:t xml:space="preserve"> &amp; S</w:t>
            </w:r>
            <w:r>
              <w:rPr>
                <w:rFonts w:ascii="Times New Roman" w:cs="Times New Roman" w:eastAsia="Times New Roman" w:hAnsi="Times New Roman"/>
                <w:sz w:val="8"/>
                <w:szCs w:val="8"/>
                <w:color w:val="auto"/>
              </w:rPr>
              <w:t>MITH</w:t>
            </w:r>
            <w:r>
              <w:rPr>
                <w:rFonts w:ascii="Times New Roman" w:cs="Times New Roman" w:eastAsia="Times New Roman" w:hAnsi="Times New Roman"/>
                <w:sz w:val="13"/>
                <w:szCs w:val="13"/>
                <w:color w:val="auto"/>
              </w:rPr>
              <w:t xml:space="preserve"> I</w:t>
            </w:r>
            <w:r>
              <w:rPr>
                <w:rFonts w:ascii="Times New Roman" w:cs="Times New Roman" w:eastAsia="Times New Roman" w:hAnsi="Times New Roman"/>
                <w:sz w:val="8"/>
                <w:szCs w:val="8"/>
                <w:color w:val="auto"/>
              </w:rPr>
              <w:t>NCORPORATED</w:t>
            </w:r>
          </w:p>
        </w:tc>
      </w:tr>
      <w:tr>
        <w:trPr>
          <w:trHeight w:val="314"/>
        </w:trPr>
        <w:tc>
          <w:tcPr>
            <w:tcW w:w="1840" w:type="dxa"/>
            <w:vAlign w:val="bottom"/>
          </w:tcPr>
          <w:p>
            <w:pPr>
              <w:ind w:left="1380"/>
              <w:spacing w:after="0"/>
              <w:rPr>
                <w:sz w:val="20"/>
                <w:szCs w:val="20"/>
                <w:color w:val="auto"/>
              </w:rPr>
            </w:pPr>
            <w:r>
              <w:rPr>
                <w:rFonts w:ascii="Times New Roman" w:cs="Times New Roman" w:eastAsia="Times New Roman" w:hAnsi="Times New Roman"/>
                <w:sz w:val="13"/>
                <w:szCs w:val="13"/>
                <w:color w:val="auto"/>
              </w:rPr>
              <w:t>By:</w:t>
            </w:r>
          </w:p>
        </w:tc>
        <w:tc>
          <w:tcPr>
            <w:tcW w:w="4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r>
      <w:tr>
        <w:trPr>
          <w:trHeight w:val="144"/>
        </w:trPr>
        <w:tc>
          <w:tcPr>
            <w:tcW w:w="1840" w:type="dxa"/>
            <w:vAlign w:val="bottom"/>
          </w:tcPr>
          <w:p>
            <w:pPr>
              <w:spacing w:after="0"/>
              <w:rPr>
                <w:sz w:val="12"/>
                <w:szCs w:val="12"/>
                <w:color w:val="auto"/>
              </w:rPr>
            </w:pPr>
          </w:p>
        </w:tc>
        <w:tc>
          <w:tcPr>
            <w:tcW w:w="45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Name:</w:t>
            </w:r>
          </w:p>
        </w:tc>
        <w:tc>
          <w:tcPr>
            <w:tcW w:w="5040" w:type="dxa"/>
            <w:vAlign w:val="bottom"/>
          </w:tcPr>
          <w:p>
            <w:pPr>
              <w:spacing w:after="0"/>
              <w:rPr>
                <w:sz w:val="12"/>
                <w:szCs w:val="12"/>
                <w:color w:val="auto"/>
              </w:rPr>
            </w:pPr>
          </w:p>
        </w:tc>
      </w:tr>
      <w:tr>
        <w:trPr>
          <w:trHeight w:val="171"/>
        </w:trPr>
        <w:tc>
          <w:tcPr>
            <w:tcW w:w="1840" w:type="dxa"/>
            <w:vAlign w:val="bottom"/>
          </w:tcPr>
          <w:p>
            <w:pPr>
              <w:spacing w:after="0"/>
              <w:rPr>
                <w:sz w:val="14"/>
                <w:szCs w:val="14"/>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w:t>
            </w:r>
          </w:p>
        </w:tc>
      </w:tr>
      <w:tr>
        <w:trPr>
          <w:trHeight w:val="380"/>
        </w:trPr>
        <w:tc>
          <w:tcPr>
            <w:tcW w:w="1840" w:type="dxa"/>
            <w:vAlign w:val="bottom"/>
          </w:tcPr>
          <w:p>
            <w:pPr>
              <w:spacing w:after="0"/>
              <w:rPr>
                <w:sz w:val="24"/>
                <w:szCs w:val="24"/>
                <w:color w:val="auto"/>
              </w:rPr>
            </w:pPr>
          </w:p>
        </w:tc>
        <w:tc>
          <w:tcPr>
            <w:tcW w:w="9620" w:type="dxa"/>
            <w:vAlign w:val="bottom"/>
            <w:gridSpan w:val="2"/>
          </w:tcPr>
          <w:p>
            <w:pPr>
              <w:ind w:left="2760"/>
              <w:spacing w:after="0"/>
              <w:rPr>
                <w:sz w:val="20"/>
                <w:szCs w:val="20"/>
                <w:color w:val="auto"/>
              </w:rPr>
            </w:pPr>
            <w:r>
              <w:rPr>
                <w:rFonts w:ascii="Times New Roman" w:cs="Times New Roman" w:eastAsia="Times New Roman" w:hAnsi="Times New Roman"/>
                <w:sz w:val="13"/>
                <w:szCs w:val="13"/>
                <w:color w:val="auto"/>
              </w:rPr>
              <w:t>Signature Page to Underwriting Agreement</w:t>
            </w:r>
          </w:p>
        </w:tc>
      </w:tr>
      <w:tr>
        <w:trPr>
          <w:trHeight w:val="171"/>
        </w:trPr>
        <w:tc>
          <w:tcPr>
            <w:tcW w:w="1840" w:type="dxa"/>
            <w:vAlign w:val="bottom"/>
          </w:tcPr>
          <w:p>
            <w:pPr>
              <w:spacing w:after="0"/>
              <w:rPr>
                <w:sz w:val="14"/>
                <w:szCs w:val="14"/>
                <w:color w:val="auto"/>
              </w:rPr>
            </w:pPr>
          </w:p>
        </w:tc>
        <w:tc>
          <w:tcPr>
            <w:tcW w:w="9620" w:type="dxa"/>
            <w:vAlign w:val="bottom"/>
            <w:gridSpan w:val="2"/>
          </w:tcPr>
          <w:p>
            <w:pPr>
              <w:ind w:left="3500"/>
              <w:spacing w:after="0"/>
              <w:rPr>
                <w:sz w:val="20"/>
                <w:szCs w:val="20"/>
                <w:color w:val="auto"/>
              </w:rPr>
            </w:pPr>
            <w:r>
              <w:rPr>
                <w:rFonts w:ascii="Times New Roman" w:cs="Times New Roman" w:eastAsia="Times New Roman" w:hAnsi="Times New Roman"/>
                <w:sz w:val="13"/>
                <w:szCs w:val="13"/>
                <w:color w:val="auto"/>
              </w:rPr>
              <w:t>(Underwriters)</w:t>
            </w:r>
          </w:p>
        </w:tc>
      </w:tr>
      <w:tr>
        <w:trPr>
          <w:trHeight w:val="456"/>
        </w:trPr>
        <w:tc>
          <w:tcPr>
            <w:tcW w:w="184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3"/>
          <w:szCs w:val="13"/>
          <w:b w:val="1"/>
          <w:bCs w:val="1"/>
          <w:color w:val="auto"/>
        </w:rPr>
        <w:t>SCHEDULE 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rPr>
              <w:t>Optional</w:t>
            </w:r>
          </w:p>
        </w:tc>
        <w:tc>
          <w:tcPr>
            <w:tcW w:w="0" w:type="dxa"/>
            <w:vAlign w:val="bottom"/>
          </w:tcPr>
          <w:p>
            <w:pPr>
              <w:spacing w:after="0"/>
              <w:rPr>
                <w:sz w:val="1"/>
                <w:szCs w:val="1"/>
                <w:color w:val="auto"/>
              </w:rPr>
            </w:pPr>
          </w:p>
        </w:tc>
      </w:tr>
      <w:tr>
        <w:trPr>
          <w:trHeight w:val="108"/>
        </w:trPr>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Selling Stockholder</w:t>
            </w:r>
          </w:p>
        </w:tc>
        <w:tc>
          <w:tcPr>
            <w:tcW w:w="580" w:type="dxa"/>
            <w:vAlign w:val="bottom"/>
          </w:tcPr>
          <w:p>
            <w:pPr>
              <w:spacing w:after="0"/>
              <w:rPr>
                <w:sz w:val="9"/>
                <w:szCs w:val="9"/>
                <w:color w:val="auto"/>
              </w:rPr>
            </w:pPr>
          </w:p>
        </w:tc>
        <w:tc>
          <w:tcPr>
            <w:tcW w:w="820" w:type="dxa"/>
            <w:vAlign w:val="bottom"/>
            <w:gridSpan w:val="3"/>
          </w:tcPr>
          <w:p>
            <w:pPr>
              <w:jc w:val="center"/>
              <w:ind w:right="20"/>
              <w:spacing w:after="0" w:line="108" w:lineRule="exact"/>
              <w:rPr>
                <w:sz w:val="20"/>
                <w:szCs w:val="20"/>
                <w:color w:val="auto"/>
              </w:rPr>
            </w:pPr>
            <w:r>
              <w:rPr>
                <w:rFonts w:ascii="Times New Roman" w:cs="Times New Roman" w:eastAsia="Times New Roman" w:hAnsi="Times New Roman"/>
                <w:sz w:val="10"/>
                <w:szCs w:val="10"/>
                <w:b w:val="1"/>
                <w:bCs w:val="1"/>
                <w:color w:val="auto"/>
              </w:rPr>
              <w:t>Firm Securities</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rPr>
              <w:t>Securities to</w:t>
            </w:r>
          </w:p>
        </w:tc>
        <w:tc>
          <w:tcPr>
            <w:tcW w:w="0" w:type="dxa"/>
            <w:vAlign w:val="bottom"/>
          </w:tcPr>
          <w:p>
            <w:pPr>
              <w:spacing w:after="0"/>
              <w:rPr>
                <w:sz w:val="1"/>
                <w:szCs w:val="1"/>
                <w:color w:val="auto"/>
              </w:rPr>
            </w:pPr>
          </w:p>
        </w:tc>
      </w:tr>
      <w:tr>
        <w:trPr>
          <w:trHeight w:val="127"/>
        </w:trPr>
        <w:tc>
          <w:tcPr>
            <w:tcW w:w="872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to be Sold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be Sold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Endeavour Capital Fund IV, L.P.</w:t>
            </w:r>
          </w:p>
        </w:tc>
        <w:tc>
          <w:tcPr>
            <w:tcW w:w="580" w:type="dxa"/>
            <w:vAlign w:val="bottom"/>
            <w:shd w:val="clear" w:color="auto" w:fill="CCEEFF"/>
          </w:tcPr>
          <w:p>
            <w:pPr>
              <w:spacing w:after="0"/>
              <w:rPr>
                <w:sz w:val="12"/>
                <w:szCs w:val="12"/>
                <w:color w:val="auto"/>
              </w:rPr>
            </w:pPr>
          </w:p>
        </w:tc>
        <w:tc>
          <w:tcPr>
            <w:tcW w:w="820" w:type="dxa"/>
            <w:vAlign w:val="bottom"/>
            <w:tcBorders>
              <w:top w:val="single" w:sz="8" w:color="auto"/>
            </w:tcBorders>
            <w:gridSpan w:val="3"/>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2,554,346</w:t>
            </w:r>
          </w:p>
        </w:tc>
        <w:tc>
          <w:tcPr>
            <w:tcW w:w="560" w:type="dxa"/>
            <w:vAlign w:val="bottom"/>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574,728</w:t>
            </w: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Endeavour Associates Fund IV, L.P.</w:t>
            </w:r>
          </w:p>
        </w:tc>
        <w:tc>
          <w:tcPr>
            <w:tcW w:w="14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156,445</w:t>
            </w: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35,200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Endeavour Capital Parallel Fund IV, L.P.</w:t>
            </w:r>
          </w:p>
        </w:tc>
        <w:tc>
          <w:tcPr>
            <w:tcW w:w="14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289,209</w:t>
            </w: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65,072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Brent D. Richardson</w:t>
            </w:r>
          </w:p>
        </w:tc>
        <w:tc>
          <w:tcPr>
            <w:tcW w:w="14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666,667</w:t>
            </w: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75,000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Christopher C. Richardson</w:t>
            </w:r>
          </w:p>
        </w:tc>
        <w:tc>
          <w:tcPr>
            <w:tcW w:w="14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666,666</w:t>
            </w: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Luke M. Buse and Staci Lin Buse Revocable Trust</w:t>
            </w:r>
          </w:p>
        </w:tc>
        <w:tc>
          <w:tcPr>
            <w:tcW w:w="700" w:type="dxa"/>
            <w:vAlign w:val="bottom"/>
            <w:gridSpan w:val="2"/>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666,667</w:t>
            </w:r>
          </w:p>
        </w:tc>
        <w:tc>
          <w:tcPr>
            <w:tcW w:w="120" w:type="dxa"/>
            <w:vAlign w:val="bottom"/>
          </w:tcPr>
          <w:p>
            <w:pPr>
              <w:spacing w:after="0"/>
              <w:rPr>
                <w:sz w:val="13"/>
                <w:szCs w:val="13"/>
                <w:color w:val="auto"/>
              </w:rPr>
            </w:pPr>
          </w:p>
        </w:tc>
        <w:tc>
          <w:tcPr>
            <w:tcW w:w="680" w:type="dxa"/>
            <w:vAlign w:val="bottom"/>
            <w:gridSpan w:val="2"/>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gridSpan w:val="2"/>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87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7440" w:type="dxa"/>
            <w:vAlign w:val="bottom"/>
            <w:gridSpan w:val="4"/>
          </w:tcPr>
          <w:p>
            <w:pPr>
              <w:jc w:val="right"/>
              <w:ind w:right="5300"/>
              <w:spacing w:after="0"/>
              <w:rPr>
                <w:sz w:val="20"/>
                <w:szCs w:val="20"/>
                <w:color w:val="auto"/>
              </w:rPr>
            </w:pPr>
            <w:r>
              <w:rPr>
                <w:rFonts w:ascii="Times New Roman" w:cs="Times New Roman" w:eastAsia="Times New Roman" w:hAnsi="Times New Roman"/>
                <w:sz w:val="13"/>
                <w:szCs w:val="13"/>
                <w:b w:val="1"/>
                <w:bCs w:val="1"/>
                <w:color w:val="auto"/>
              </w:rPr>
              <w:t>SCHEDULE B</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rPr>
              <w:t>Firm Securities</w:t>
            </w:r>
          </w:p>
        </w:tc>
        <w:tc>
          <w:tcPr>
            <w:tcW w:w="0" w:type="dxa"/>
            <w:vAlign w:val="bottom"/>
          </w:tcPr>
          <w:p>
            <w:pPr>
              <w:spacing w:after="0"/>
              <w:rPr>
                <w:sz w:val="1"/>
                <w:szCs w:val="1"/>
                <w:color w:val="auto"/>
              </w:rPr>
            </w:pPr>
          </w:p>
        </w:tc>
      </w:tr>
      <w:tr>
        <w:trPr>
          <w:trHeight w:val="108"/>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Underwriter</w:t>
            </w:r>
          </w:p>
        </w:tc>
        <w:tc>
          <w:tcPr>
            <w:tcW w:w="5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rPr>
              <w:t>to be</w:t>
            </w:r>
          </w:p>
        </w:tc>
        <w:tc>
          <w:tcPr>
            <w:tcW w:w="0" w:type="dxa"/>
            <w:vAlign w:val="bottom"/>
          </w:tcPr>
          <w:p>
            <w:pPr>
              <w:spacing w:after="0"/>
              <w:rPr>
                <w:sz w:val="1"/>
                <w:szCs w:val="1"/>
                <w:color w:val="auto"/>
              </w:rPr>
            </w:pPr>
          </w:p>
        </w:tc>
      </w:tr>
      <w:tr>
        <w:trPr>
          <w:trHeight w:val="127"/>
        </w:trPr>
        <w:tc>
          <w:tcPr>
            <w:tcW w:w="4020" w:type="dxa"/>
            <w:vAlign w:val="bottom"/>
            <w:gridSpan w:val="2"/>
            <w:vMerge w:val="continue"/>
          </w:tcPr>
          <w:p>
            <w:pPr>
              <w:spacing w:after="0"/>
              <w:rPr>
                <w:sz w:val="11"/>
                <w:szCs w:val="11"/>
                <w:color w:val="auto"/>
              </w:rPr>
            </w:pPr>
          </w:p>
        </w:tc>
        <w:tc>
          <w:tcPr>
            <w:tcW w:w="5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Purchased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Credit Suisse Securities (USA) LLC</w:t>
            </w:r>
          </w:p>
        </w:tc>
        <w:tc>
          <w:tcPr>
            <w:tcW w:w="5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[_________]</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Merrill Lynch, Pierce, Fenner &amp; Smith Incorporated</w:t>
            </w:r>
          </w:p>
        </w:tc>
        <w:tc>
          <w:tcPr>
            <w:tcW w:w="74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[_________]</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BMO Capital Markets Corp.</w:t>
            </w:r>
          </w:p>
        </w:tc>
        <w:tc>
          <w:tcPr>
            <w:tcW w:w="74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[_________]</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William Blair &amp; Company, LLC</w:t>
            </w:r>
          </w:p>
        </w:tc>
        <w:tc>
          <w:tcPr>
            <w:tcW w:w="74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[_________]</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Piper Jaffray &amp; Co.</w:t>
            </w:r>
          </w:p>
        </w:tc>
        <w:tc>
          <w:tcPr>
            <w:tcW w:w="74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[_________]</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Barrington Research Associates, Inc.</w:t>
            </w:r>
          </w:p>
        </w:tc>
        <w:tc>
          <w:tcPr>
            <w:tcW w:w="6560" w:type="dxa"/>
            <w:vAlign w:val="bottom"/>
            <w:gridSpan w:val="2"/>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[_________]</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6560" w:type="dxa"/>
            <w:vAlign w:val="bottom"/>
            <w:gridSpan w:val="2"/>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[_________]</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59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80" w:type="dxa"/>
            <w:vAlign w:val="bottom"/>
            <w:tcBorders>
              <w:top w:val="single" w:sz="8" w:color="auto"/>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36" w:name="page37"/>
    <w:bookmarkEnd w:id="36"/>
    <w:p>
      <w:pPr>
        <w:ind w:left="5321"/>
        <w:spacing w:after="0"/>
        <w:rPr>
          <w:sz w:val="20"/>
          <w:szCs w:val="20"/>
          <w:color w:val="auto"/>
        </w:rPr>
      </w:pPr>
      <w:r>
        <w:rPr>
          <w:rFonts w:ascii="Times New Roman" w:cs="Times New Roman" w:eastAsia="Times New Roman" w:hAnsi="Times New Roman"/>
          <w:sz w:val="13"/>
          <w:szCs w:val="13"/>
          <w:b w:val="1"/>
          <w:bCs w:val="1"/>
          <w:color w:val="auto"/>
        </w:rPr>
        <w:t>SCHEDULE C</w:t>
      </w:r>
    </w:p>
    <w:p>
      <w:pPr>
        <w:spacing w:after="0" w:line="86" w:lineRule="exact"/>
        <w:rPr>
          <w:sz w:val="20"/>
          <w:szCs w:val="20"/>
          <w:color w:val="auto"/>
        </w:rPr>
      </w:pPr>
    </w:p>
    <w:p>
      <w:pPr>
        <w:ind w:left="461" w:right="4740" w:hanging="461"/>
        <w:spacing w:after="0" w:line="380" w:lineRule="auto"/>
        <w:tabs>
          <w:tab w:leader="none" w:pos="455"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General Use Issuer Free Writing Prospectuses (included in the General Disclosure Package) </w:t>
      </w:r>
      <w:r>
        <w:rPr>
          <w:rFonts w:ascii="Times New Roman" w:cs="Times New Roman" w:eastAsia="Times New Roman" w:hAnsi="Times New Roman"/>
          <w:sz w:val="13"/>
          <w:szCs w:val="13"/>
          <w:color w:val="auto"/>
        </w:rPr>
        <w:t>“General Use Issuer Free Writing Prospectus” includes each of the following documents:</w:t>
      </w:r>
    </w:p>
    <w:p>
      <w:pPr>
        <w:ind w:left="461"/>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None.</w:t>
      </w:r>
    </w:p>
    <w:p>
      <w:pPr>
        <w:spacing w:after="0" w:line="84" w:lineRule="exact"/>
        <w:rPr>
          <w:rFonts w:ascii="Times New Roman" w:cs="Times New Roman" w:eastAsia="Times New Roman" w:hAnsi="Times New Roman"/>
          <w:sz w:val="13"/>
          <w:szCs w:val="13"/>
          <w:b w:val="1"/>
          <w:bCs w:val="1"/>
          <w:color w:val="auto"/>
        </w:rPr>
      </w:pPr>
    </w:p>
    <w:p>
      <w:pPr>
        <w:ind w:left="461" w:hanging="461"/>
        <w:spacing w:after="0"/>
        <w:tabs>
          <w:tab w:leader="none" w:pos="461"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Information Included in the General Disclosure Package</w:t>
      </w:r>
    </w:p>
    <w:p>
      <w:pPr>
        <w:spacing w:after="0" w:line="88" w:lineRule="exact"/>
        <w:rPr>
          <w:rFonts w:ascii="Times New Roman" w:cs="Times New Roman" w:eastAsia="Times New Roman" w:hAnsi="Times New Roman"/>
          <w:sz w:val="13"/>
          <w:szCs w:val="13"/>
          <w:b w:val="1"/>
          <w:bCs w:val="1"/>
          <w:color w:val="auto"/>
        </w:rPr>
      </w:pPr>
    </w:p>
    <w:p>
      <w:pPr>
        <w:ind w:left="461"/>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information is also included in the General Disclosure Package:</w:t>
      </w:r>
    </w:p>
    <w:p>
      <w:pPr>
        <w:spacing w:after="0" w:line="86" w:lineRule="exact"/>
        <w:rPr>
          <w:rFonts w:ascii="Times New Roman" w:cs="Times New Roman" w:eastAsia="Times New Roman" w:hAnsi="Times New Roman"/>
          <w:sz w:val="13"/>
          <w:szCs w:val="13"/>
          <w:b w:val="1"/>
          <w:bCs w:val="1"/>
          <w:color w:val="auto"/>
        </w:rPr>
      </w:pPr>
    </w:p>
    <w:p>
      <w:pPr>
        <w:ind w:left="901" w:hanging="449"/>
        <w:spacing w:after="0"/>
        <w:tabs>
          <w:tab w:leader="none" w:pos="901"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initial price to the public of the Offered Securities.</w:t>
      </w:r>
    </w:p>
    <w:p>
      <w:pPr>
        <w:spacing w:after="0" w:line="96" w:lineRule="exact"/>
        <w:rPr>
          <w:rFonts w:ascii="Times New Roman" w:cs="Times New Roman" w:eastAsia="Times New Roman" w:hAnsi="Times New Roman"/>
          <w:sz w:val="13"/>
          <w:szCs w:val="13"/>
          <w:color w:val="auto"/>
        </w:rPr>
      </w:pPr>
    </w:p>
    <w:p>
      <w:pPr>
        <w:ind w:left="901" w:hanging="449"/>
        <w:spacing w:after="0"/>
        <w:tabs>
          <w:tab w:leader="none" w:pos="901"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Firm Securities being offered and sold by the Company and the Selling Stockholders, and the aggregate number of Firm Securities being offered and sold.</w:t>
      </w:r>
    </w:p>
    <w:p>
      <w:pPr>
        <w:spacing w:after="0" w:line="96" w:lineRule="exact"/>
        <w:rPr>
          <w:rFonts w:ascii="Times New Roman" w:cs="Times New Roman" w:eastAsia="Times New Roman" w:hAnsi="Times New Roman"/>
          <w:sz w:val="13"/>
          <w:szCs w:val="13"/>
          <w:color w:val="auto"/>
        </w:rPr>
      </w:pPr>
    </w:p>
    <w:p>
      <w:pPr>
        <w:ind w:left="901" w:hanging="449"/>
        <w:spacing w:after="0"/>
        <w:tabs>
          <w:tab w:leader="none" w:pos="901"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gross proceeds to be received by the Company and the Selling Stockholders, and the total gross proceeds, from the sale of the Firm Securities.</w:t>
      </w:r>
    </w:p>
    <w:p>
      <w:pPr>
        <w:spacing w:after="0" w:line="96" w:lineRule="exact"/>
        <w:rPr>
          <w:rFonts w:ascii="Times New Roman" w:cs="Times New Roman" w:eastAsia="Times New Roman" w:hAnsi="Times New Roman"/>
          <w:sz w:val="13"/>
          <w:szCs w:val="13"/>
          <w:color w:val="auto"/>
        </w:rPr>
      </w:pPr>
    </w:p>
    <w:p>
      <w:pPr>
        <w:ind w:left="901" w:hanging="449"/>
        <w:spacing w:after="0"/>
        <w:tabs>
          <w:tab w:leader="none" w:pos="901"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number of shares outstanding of common stock following the sale of the Firm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297180</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01"/>
          </w:cols>
          <w:pgMar w:left="219" w:top="734" w:right="1379" w:bottom="1440" w:gutter="0" w:footer="0" w:header="0"/>
        </w:sectPr>
      </w:pPr>
    </w:p>
    <w:bookmarkStart w:id="37" w:name="page38"/>
    <w:bookmarkEnd w:id="37"/>
    <w:p>
      <w:pPr>
        <w:jc w:val="right"/>
        <w:ind w:right="4079"/>
        <w:spacing w:after="0"/>
        <w:rPr>
          <w:sz w:val="20"/>
          <w:szCs w:val="20"/>
          <w:color w:val="auto"/>
        </w:rPr>
      </w:pPr>
      <w:r>
        <w:rPr>
          <w:rFonts w:ascii="Times New Roman" w:cs="Times New Roman" w:eastAsia="Times New Roman" w:hAnsi="Times New Roman"/>
          <w:sz w:val="13"/>
          <w:szCs w:val="13"/>
          <w:b w:val="1"/>
          <w:bCs w:val="1"/>
          <w:color w:val="auto"/>
        </w:rPr>
        <w:t>SCHEDULE D</w:t>
      </w:r>
    </w:p>
    <w:p>
      <w:pPr>
        <w:spacing w:after="0" w:line="88" w:lineRule="exact"/>
        <w:rPr>
          <w:sz w:val="20"/>
          <w:szCs w:val="20"/>
          <w:color w:val="auto"/>
        </w:rPr>
      </w:pPr>
    </w:p>
    <w:p>
      <w:pPr>
        <w:ind w:left="461" w:hanging="461"/>
        <w:spacing w:after="0"/>
        <w:tabs>
          <w:tab w:leader="none" w:pos="46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Exeter Capital, LLC and Brent D. Richardson, individually, jointly and severally</w:t>
      </w:r>
    </w:p>
    <w:p>
      <w:pPr>
        <w:spacing w:after="0" w:line="96" w:lineRule="exact"/>
        <w:rPr>
          <w:rFonts w:ascii="Times New Roman" w:cs="Times New Roman" w:eastAsia="Times New Roman" w:hAnsi="Times New Roman"/>
          <w:sz w:val="13"/>
          <w:szCs w:val="13"/>
          <w:color w:val="auto"/>
        </w:rPr>
      </w:pPr>
    </w:p>
    <w:p>
      <w:pPr>
        <w:ind w:left="461" w:hanging="461"/>
        <w:spacing w:after="0"/>
        <w:tabs>
          <w:tab w:leader="none" w:pos="46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Calle Camelia Investments, LLC and Christopher C. Richardson, individually, jointly and severally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297180</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34"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3"/>
          <w:szCs w:val="13"/>
          <w:b w:val="1"/>
          <w:bCs w:val="1"/>
          <w:color w:val="auto"/>
        </w:rPr>
        <w:t>SCHEDULE 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OPINION OF DLA PIPER LLP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Opinions</w:t>
      </w:r>
    </w:p>
    <w:p>
      <w:pPr>
        <w:spacing w:after="0" w:line="88" w:lineRule="exact"/>
        <w:rPr>
          <w:sz w:val="20"/>
          <w:szCs w:val="20"/>
          <w:color w:val="auto"/>
        </w:rPr>
      </w:pPr>
    </w:p>
    <w:p>
      <w:pPr>
        <w:ind w:right="280" w:firstLine="162"/>
        <w:spacing w:after="0" w:line="269" w:lineRule="auto"/>
        <w:tabs>
          <w:tab w:leader="none" w:pos="292"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is validly existing as a corporation and in good standing under the laws of the State of Delaware and has the corporate power and authority to conduct its business as described under the caption “Part I. Item 1. Business” in the 10-K incorporated by reference into the General Disclosure Package and the Final Prospectus. The Company is qualified to do business as a foreign corporation in and is in good standing in those jurisdictions identified on </w:t>
      </w:r>
      <w:r>
        <w:rPr>
          <w:rFonts w:ascii="Times New Roman" w:cs="Times New Roman" w:eastAsia="Times New Roman" w:hAnsi="Times New Roman"/>
          <w:sz w:val="13"/>
          <w:szCs w:val="13"/>
          <w:u w:val="single" w:color="auto"/>
          <w:color w:val="auto"/>
        </w:rPr>
        <w:t>Schedule 1</w:t>
      </w:r>
      <w:r>
        <w:rPr>
          <w:rFonts w:ascii="Times New Roman" w:cs="Times New Roman" w:eastAsia="Times New Roman" w:hAnsi="Times New Roman"/>
          <w:sz w:val="13"/>
          <w:szCs w:val="13"/>
          <w:color w:val="auto"/>
        </w:rPr>
        <w:t xml:space="preserve"> to this letter.</w:t>
      </w:r>
    </w:p>
    <w:p>
      <w:pPr>
        <w:spacing w:after="0" w:line="47" w:lineRule="exact"/>
        <w:rPr>
          <w:rFonts w:ascii="Times New Roman" w:cs="Times New Roman" w:eastAsia="Times New Roman" w:hAnsi="Times New Roman"/>
          <w:sz w:val="13"/>
          <w:szCs w:val="13"/>
          <w:color w:val="auto"/>
        </w:rPr>
      </w:pPr>
    </w:p>
    <w:p>
      <w:pPr>
        <w:ind w:right="40" w:firstLine="162"/>
        <w:spacing w:after="0" w:line="269" w:lineRule="auto"/>
        <w:tabs>
          <w:tab w:leader="none" w:pos="295"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Grand Canyon University, Inc. is validly existing as a corporation and in good standing under the laws of the State of Delaware and has the corporate power and authority to conduct its business as described under the caption “Part I. Item 1. Business” in the 10-K incorporated by reference into the General Disclosure Package and the Final Prospectus. Grand Canyon University, Inc. is qualified to do business as a foreign corporation in and is in good standing in those jurisdictions identified on </w:t>
      </w:r>
      <w:r>
        <w:rPr>
          <w:rFonts w:ascii="Times New Roman" w:cs="Times New Roman" w:eastAsia="Times New Roman" w:hAnsi="Times New Roman"/>
          <w:sz w:val="13"/>
          <w:szCs w:val="13"/>
          <w:u w:val="single" w:color="auto"/>
          <w:color w:val="auto"/>
        </w:rPr>
        <w:t>Schedule 2</w:t>
      </w:r>
      <w:r>
        <w:rPr>
          <w:rFonts w:ascii="Times New Roman" w:cs="Times New Roman" w:eastAsia="Times New Roman" w:hAnsi="Times New Roman"/>
          <w:sz w:val="13"/>
          <w:szCs w:val="13"/>
          <w:color w:val="auto"/>
        </w:rPr>
        <w:t xml:space="preserve"> to this letter.</w:t>
      </w:r>
    </w:p>
    <w:p>
      <w:pPr>
        <w:spacing w:after="0" w:line="47" w:lineRule="exact"/>
        <w:rPr>
          <w:rFonts w:ascii="Times New Roman" w:cs="Times New Roman" w:eastAsia="Times New Roman" w:hAnsi="Times New Roman"/>
          <w:sz w:val="13"/>
          <w:szCs w:val="13"/>
          <w:color w:val="auto"/>
        </w:rPr>
      </w:pPr>
    </w:p>
    <w:p>
      <w:pPr>
        <w:ind w:left="300" w:hanging="138"/>
        <w:spacing w:after="0"/>
        <w:tabs>
          <w:tab w:leader="none" w:pos="3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the Company is as set forth under the caption “Description of Capital Stock” in the General Disclosure Package and the Final Prospectus.</w:t>
      </w:r>
    </w:p>
    <w:p>
      <w:pPr>
        <w:spacing w:after="0" w:line="86" w:lineRule="exact"/>
        <w:rPr>
          <w:rFonts w:ascii="Times New Roman" w:cs="Times New Roman" w:eastAsia="Times New Roman" w:hAnsi="Times New Roman"/>
          <w:sz w:val="13"/>
          <w:szCs w:val="13"/>
          <w:color w:val="auto"/>
        </w:rPr>
      </w:pPr>
    </w:p>
    <w:p>
      <w:pPr>
        <w:ind w:right="180" w:firstLine="162"/>
        <w:spacing w:after="0" w:line="286" w:lineRule="auto"/>
        <w:tabs>
          <w:tab w:leader="none" w:pos="295"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outstanding share of Common Stock of the Company has been duly authorized and validly issued and is fully paid and non-assessable. Each outstanding share of capital stock of Grand Canyon University, Inc. has been duly authorized and validly issued and is fully paid and nonassessable, and is owned of record by the Company.</w:t>
      </w:r>
    </w:p>
    <w:p>
      <w:pPr>
        <w:spacing w:after="0" w:line="34" w:lineRule="exact"/>
        <w:rPr>
          <w:rFonts w:ascii="Times New Roman" w:cs="Times New Roman" w:eastAsia="Times New Roman" w:hAnsi="Times New Roman"/>
          <w:sz w:val="13"/>
          <w:szCs w:val="13"/>
          <w:color w:val="auto"/>
        </w:rPr>
      </w:pPr>
    </w:p>
    <w:p>
      <w:pPr>
        <w:jc w:val="both"/>
        <w:ind w:right="80" w:firstLine="162"/>
        <w:spacing w:after="0" w:line="264" w:lineRule="auto"/>
        <w:tabs>
          <w:tab w:leader="none" w:pos="292"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Offered Securities to be issued and sold by the Company under the Underwriting Agreement (the “</w:t>
      </w:r>
      <w:r>
        <w:rPr>
          <w:rFonts w:ascii="Times New Roman" w:cs="Times New Roman" w:eastAsia="Times New Roman" w:hAnsi="Times New Roman"/>
          <w:sz w:val="13"/>
          <w:szCs w:val="13"/>
          <w:b w:val="1"/>
          <w:bCs w:val="1"/>
          <w:color w:val="auto"/>
        </w:rPr>
        <w:t>Primary Shares</w:t>
      </w:r>
      <w:r>
        <w:rPr>
          <w:rFonts w:ascii="Times New Roman" w:cs="Times New Roman" w:eastAsia="Times New Roman" w:hAnsi="Times New Roman"/>
          <w:sz w:val="13"/>
          <w:szCs w:val="13"/>
          <w:color w:val="auto"/>
        </w:rPr>
        <w:t>”) have been duly authorized, and when delivered to and paid for by the Underwriters in accordance with the terms of the Underwriting Agreement, will be validly issued, fully paid and nonassessable. The Offered Securities to be sold by the Selling Stockholders under the Underwriting Agreement (the “</w:t>
      </w:r>
      <w:r>
        <w:rPr>
          <w:rFonts w:ascii="Times New Roman" w:cs="Times New Roman" w:eastAsia="Times New Roman" w:hAnsi="Times New Roman"/>
          <w:sz w:val="13"/>
          <w:szCs w:val="13"/>
          <w:b w:val="1"/>
          <w:bCs w:val="1"/>
          <w:color w:val="auto"/>
        </w:rPr>
        <w:t>Secondary Shares</w:t>
      </w:r>
      <w:r>
        <w:rPr>
          <w:rFonts w:ascii="Times New Roman" w:cs="Times New Roman" w:eastAsia="Times New Roman" w:hAnsi="Times New Roman"/>
          <w:sz w:val="13"/>
          <w:szCs w:val="13"/>
          <w:color w:val="auto"/>
        </w:rPr>
        <w:t>”) have been duly authorized and are validly issued, fully paid and nonassessable. The issuance of the Offered Securities is not subject to any preemptive rights pursuant to the Company’s charter or bylaws or, to our knowledge, otherwise.</w:t>
      </w:r>
    </w:p>
    <w:p>
      <w:pPr>
        <w:spacing w:after="0" w:line="51" w:lineRule="exact"/>
        <w:rPr>
          <w:rFonts w:ascii="Times New Roman" w:cs="Times New Roman" w:eastAsia="Times New Roman" w:hAnsi="Times New Roman"/>
          <w:sz w:val="13"/>
          <w:szCs w:val="13"/>
          <w:color w:val="auto"/>
        </w:rPr>
      </w:pPr>
    </w:p>
    <w:p>
      <w:pPr>
        <w:ind w:right="360" w:firstLine="162"/>
        <w:spacing w:after="0" w:line="286" w:lineRule="auto"/>
        <w:tabs>
          <w:tab w:leader="none" w:pos="292"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our knowledge, except as described in the General Disclosure Package and the Final Prospectus, there are no contracts, agreements, or understandings between the Company and any person granting such person registration rights. Any person who has been identified to us as possessing registration rights in connection with the issuance and sale of the Offered Securities has agreed not to exercise such rights.</w:t>
      </w:r>
    </w:p>
    <w:p>
      <w:pPr>
        <w:spacing w:after="0" w:line="36" w:lineRule="exact"/>
        <w:rPr>
          <w:rFonts w:ascii="Times New Roman" w:cs="Times New Roman" w:eastAsia="Times New Roman" w:hAnsi="Times New Roman"/>
          <w:sz w:val="13"/>
          <w:szCs w:val="13"/>
          <w:color w:val="auto"/>
        </w:rPr>
      </w:pPr>
    </w:p>
    <w:p>
      <w:pPr>
        <w:ind w:right="160" w:firstLine="162"/>
        <w:spacing w:after="0" w:line="286" w:lineRule="auto"/>
        <w:tabs>
          <w:tab w:leader="none" w:pos="292"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and, after giving effect to the issuance and sale of the Offered Securities and the application of the proceeds thereof as described in the General Disclosure Package and the Final Prospectus, will not be an “investment company” as defined in the Investment Company Act.</w:t>
      </w:r>
    </w:p>
    <w:p>
      <w:pPr>
        <w:spacing w:after="0" w:line="36" w:lineRule="exact"/>
        <w:rPr>
          <w:rFonts w:ascii="Times New Roman" w:cs="Times New Roman" w:eastAsia="Times New Roman" w:hAnsi="Times New Roman"/>
          <w:sz w:val="13"/>
          <w:szCs w:val="13"/>
          <w:color w:val="auto"/>
        </w:rPr>
      </w:pPr>
    </w:p>
    <w:p>
      <w:pPr>
        <w:ind w:right="40" w:firstLine="162"/>
        <w:spacing w:after="0" w:line="269" w:lineRule="auto"/>
        <w:tabs>
          <w:tab w:leader="none" w:pos="295"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consent, approval, authorization, or order of, or filing with, any person (including any governmental agency or body or any court) is required to be obtained or made by the Company in connection with the execution and delivery by the Company of the Underwriting Agreement or the performance by the Company of its obligations thereunder, including the issuance and sale of the Offered Securities being delivered on the Closing Date, except for the registration of the Offered Securities under the Act and such consents, approvals, authorizations, orders, or filings as may be required under state securities laws.</w:t>
      </w:r>
    </w:p>
    <w:p>
      <w:pPr>
        <w:spacing w:after="0" w:line="47" w:lineRule="exact"/>
        <w:rPr>
          <w:rFonts w:ascii="Times New Roman" w:cs="Times New Roman" w:eastAsia="Times New Roman" w:hAnsi="Times New Roman"/>
          <w:sz w:val="13"/>
          <w:szCs w:val="13"/>
          <w:color w:val="auto"/>
        </w:rPr>
      </w:pPr>
    </w:p>
    <w:p>
      <w:pPr>
        <w:ind w:firstLine="162"/>
        <w:spacing w:after="0" w:line="286" w:lineRule="auto"/>
        <w:tabs>
          <w:tab w:leader="none" w:pos="292"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by the Company of the Underwriting Agreement and the consummation by the Company of the transactions contemplated by the Underwriting Agreement will not (a) violate the charter or bylaws of the Company; (b) result in a breach or violation of any of the terms and provisions of, or constitute a default under, or result in the imposition of any lien, charge, or encumbrance upon any property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39" w:name="page40"/>
    <w:bookmarkEnd w:id="39"/>
    <w:p>
      <w:pPr>
        <w:ind w:right="20"/>
        <w:spacing w:after="0" w:line="289" w:lineRule="auto"/>
        <w:rPr>
          <w:sz w:val="20"/>
          <w:szCs w:val="20"/>
          <w:color w:val="auto"/>
        </w:rPr>
      </w:pPr>
      <w:r>
        <w:rPr>
          <w:rFonts w:ascii="Times New Roman" w:cs="Times New Roman" w:eastAsia="Times New Roman" w:hAnsi="Times New Roman"/>
          <w:sz w:val="13"/>
          <w:szCs w:val="13"/>
          <w:color w:val="auto"/>
        </w:rPr>
        <w:t>assets of the Company or Grand Canyon University, Inc. pursuant to any agreement listed as Exhibit 10.1 to Exhibit 10.23, inclusive, in the Registration Statement (each a “</w:t>
      </w:r>
      <w:r>
        <w:rPr>
          <w:rFonts w:ascii="Times New Roman" w:cs="Times New Roman" w:eastAsia="Times New Roman" w:hAnsi="Times New Roman"/>
          <w:sz w:val="13"/>
          <w:szCs w:val="13"/>
          <w:b w:val="1"/>
          <w:bCs w:val="1"/>
          <w:color w:val="auto"/>
        </w:rPr>
        <w:t>Material Agreement</w:t>
      </w:r>
      <w:r>
        <w:rPr>
          <w:rFonts w:ascii="Times New Roman" w:cs="Times New Roman" w:eastAsia="Times New Roman" w:hAnsi="Times New Roman"/>
          <w:sz w:val="13"/>
          <w:szCs w:val="13"/>
          <w:color w:val="auto"/>
        </w:rPr>
        <w:t>”); (c) violate New York or federal law or the Delaware General Corporation Law; or (d) violate any court order, judgment, or decree that is applicable to it and known to us.</w:t>
      </w:r>
    </w:p>
    <w:p>
      <w:pPr>
        <w:spacing w:after="0" w:line="35" w:lineRule="exact"/>
        <w:rPr>
          <w:sz w:val="20"/>
          <w:szCs w:val="20"/>
          <w:color w:val="auto"/>
        </w:rPr>
      </w:pPr>
    </w:p>
    <w:p>
      <w:pPr>
        <w:ind w:firstLine="162"/>
        <w:spacing w:after="0" w:line="256" w:lineRule="auto"/>
        <w:tabs>
          <w:tab w:leader="none" w:pos="35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statements relating to legal matters in the General Disclosure Package and the Final Prospectus set forth under the captions “Description of Capital Stock” and “U.S. Federal Tax Considerations,” in each case insofar as such statements constitute summaries of the legal matters, documents, or proceedings referred to therein, fairly summarize in all material respects such legal matters, documents, or proceedings; the statements relating to certain legal proceedings in the General Disclosure Package and the Final Prospectus set forth under the captions “Risk Factors — The Office of Inspector General of the Department of Education has commenced an investigation of Grand Canyon University, which is ongoing and which may result in fines, penalties, other sanctions, and damage to our reputation in the industry,” “Risk Factors — A qui tam lawsuit has been filed against us alleging, among other things, that we have improperly compensated certain of our enrollment counselors, and we may incur liability, be subject to sanctions, or experience damage to our reputation as a result of this lawsuit,” and “Regulation — Regulation of Federal Student Financial Aid Programs — Incentive compensation rule,” in each case insofar as such statements constitute summaries of the status of such legal proceedings referred to therein, fairly summarize in all material respects the status of such proceedings; and, to our knowledge, there are no (a) current or pending legal or governmental proceedings that are required under the Act to be described in the Registration Statement or the Final Prospectus that are not so described as required, or (b) contracts or documents that are required under the Act to be described in the Registration Statement or the Final Prospectus or to be filed as exhibits to the Registration Statement that have not been so described or filed as required.</w:t>
      </w:r>
    </w:p>
    <w:p>
      <w:pPr>
        <w:spacing w:after="0" w:line="58" w:lineRule="exact"/>
        <w:rPr>
          <w:rFonts w:ascii="Times New Roman" w:cs="Times New Roman" w:eastAsia="Times New Roman" w:hAnsi="Times New Roman"/>
          <w:sz w:val="13"/>
          <w:szCs w:val="13"/>
          <w:color w:val="auto"/>
        </w:rPr>
      </w:pPr>
    </w:p>
    <w:p>
      <w:pPr>
        <w:ind w:left="360" w:hanging="198"/>
        <w:spacing w:after="0"/>
        <w:tabs>
          <w:tab w:leader="none" w:pos="3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Underwriting Agreement has been duly authorized, executed, and delivered by the Company.</w:t>
      </w:r>
    </w:p>
    <w:p>
      <w:pPr>
        <w:spacing w:after="0" w:line="86" w:lineRule="exact"/>
        <w:rPr>
          <w:rFonts w:ascii="Times New Roman" w:cs="Times New Roman" w:eastAsia="Times New Roman" w:hAnsi="Times New Roman"/>
          <w:sz w:val="13"/>
          <w:szCs w:val="13"/>
          <w:color w:val="auto"/>
        </w:rPr>
      </w:pPr>
    </w:p>
    <w:p>
      <w:pPr>
        <w:ind w:right="40" w:firstLine="162"/>
        <w:spacing w:after="0" w:line="269" w:lineRule="auto"/>
        <w:tabs>
          <w:tab w:leader="none" w:pos="35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Initial Registration Statement, including any information deemed to be part thereof pursuant to Rule 430A under the Act, as of its effective date, and the Final Prospectus and each supplement thereto, as of their respective issue dates (and, in each case, other than the financial statements and related schedules therein, as to which we do not express any opinion or belief), appeared on their face to be appropriately responsive in all material respects with the requirements of the Act and the Rules and Regulations.</w:t>
      </w:r>
    </w:p>
    <w:p>
      <w:pPr>
        <w:spacing w:after="0" w:line="47" w:lineRule="exact"/>
        <w:rPr>
          <w:rFonts w:ascii="Times New Roman" w:cs="Times New Roman" w:eastAsia="Times New Roman" w:hAnsi="Times New Roman"/>
          <w:sz w:val="13"/>
          <w:szCs w:val="13"/>
          <w:color w:val="auto"/>
        </w:rPr>
      </w:pPr>
    </w:p>
    <w:p>
      <w:pPr>
        <w:ind w:right="80" w:firstLine="162"/>
        <w:spacing w:after="0" w:line="263" w:lineRule="auto"/>
        <w:tabs>
          <w:tab w:leader="none" w:pos="35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our knowledge, the Company meets the requirements to incorporate documents by reference into the Registration Statement pursuant to General Instruction VII to Form S-1 under the Act and the Rules and Regulations. The documents incorporated by reference in the General Disclosure Package and the Final Prospectus (and, in each case, other than the financial statements, schedules and other financial data contained therein or omitted therefrom, as to which we do not express any opinion or belief), when they were filed with the Commission each appeared on their face to be appropriately responsive in all material respects with the requirements of the Exchange Act and the Rules and Regulations.</w:t>
      </w:r>
    </w:p>
    <w:p>
      <w:pPr>
        <w:spacing w:after="0" w:line="52" w:lineRule="exact"/>
        <w:rPr>
          <w:rFonts w:ascii="Times New Roman" w:cs="Times New Roman" w:eastAsia="Times New Roman" w:hAnsi="Times New Roman"/>
          <w:sz w:val="13"/>
          <w:szCs w:val="13"/>
          <w:color w:val="auto"/>
        </w:rPr>
      </w:pPr>
    </w:p>
    <w:p>
      <w:pPr>
        <w:ind w:firstLine="162"/>
        <w:spacing w:after="0" w:line="286" w:lineRule="auto"/>
        <w:tabs>
          <w:tab w:leader="none" w:pos="353"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time immediately preceding the time of delivery of the Secondary Shares to be sold to the Underwriters, each Selling Stockholder that is not a natural person had the power to enter into the Underwriting Agreement, the Power of Attorney and the Custody Agreement and to sell, transfer and deliver the Secondary Shares to be sold by such Selling Stockholder pursuant thereto.</w:t>
      </w:r>
    </w:p>
    <w:p>
      <w:pPr>
        <w:spacing w:after="0" w:line="36" w:lineRule="exact"/>
        <w:rPr>
          <w:rFonts w:ascii="Times New Roman" w:cs="Times New Roman" w:eastAsia="Times New Roman" w:hAnsi="Times New Roman"/>
          <w:sz w:val="13"/>
          <w:szCs w:val="13"/>
          <w:color w:val="auto"/>
        </w:rPr>
      </w:pPr>
    </w:p>
    <w:p>
      <w:pPr>
        <w:jc w:val="both"/>
        <w:ind w:right="60" w:firstLine="162"/>
        <w:spacing w:after="0" w:line="269" w:lineRule="auto"/>
        <w:tabs>
          <w:tab w:leader="none" w:pos="3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consent, approval, authorization or order of, or filing with, any Delaware, New York or federal governmental agency or body is required to be obtained or made by any Selling Stockholder in connection with the execution and delivery by or on behalf of such Selling Stockholder of the Custody Agreement or the Underwriting Agreement or the performance by such Selling Stockholder of its obligations thereunder, including the sale of the Secondary Shares, except for the registration of the Secondary Shares under the Act and such consents, approvals, authorizations, orders, or filings as may be required under state securities laws.</w:t>
      </w:r>
    </w:p>
    <w:p>
      <w:pPr>
        <w:spacing w:after="0" w:line="47" w:lineRule="exact"/>
        <w:rPr>
          <w:rFonts w:ascii="Times New Roman" w:cs="Times New Roman" w:eastAsia="Times New Roman" w:hAnsi="Times New Roman"/>
          <w:sz w:val="13"/>
          <w:szCs w:val="13"/>
          <w:color w:val="auto"/>
        </w:rPr>
      </w:pPr>
    </w:p>
    <w:p>
      <w:pPr>
        <w:ind w:right="100" w:firstLine="162"/>
        <w:spacing w:after="0" w:line="269" w:lineRule="auto"/>
        <w:tabs>
          <w:tab w:leader="none" w:pos="35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of the Custody Agreement and the Underwriting Agreement and the consummation of the transactions contemplated therein and herein contemplated will not (a) violate the charter or bylaws of any Selling Stockholder that is a corporation or the constituent documents of any Selling Stockholder that is not a natural person or a corporation; (b) violate New York or federal law or the Delaware General Corporation Law; or (c) violate any court order, judgment, or decree that is applicable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4" w:right="2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color w:val="auto"/>
        </w:rPr>
        <w:t>Selling Stockholder and known to us.</w:t>
      </w:r>
    </w:p>
    <w:p>
      <w:pPr>
        <w:spacing w:after="0" w:line="86" w:lineRule="exact"/>
        <w:rPr>
          <w:sz w:val="20"/>
          <w:szCs w:val="20"/>
          <w:color w:val="auto"/>
        </w:rPr>
      </w:pPr>
    </w:p>
    <w:p>
      <w:pPr>
        <w:jc w:val="both"/>
        <w:ind w:right="380" w:firstLine="162"/>
        <w:spacing w:after="0" w:line="269" w:lineRule="auto"/>
        <w:tabs>
          <w:tab w:leader="none" w:pos="35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Underwriting Agreement, Power of Attorney and related Custody Agreement with respect to each Selling Stockholder has been duly authorized, executed and delivered by or on behalf of such Selling Stockholder and constitute valid and legally binding obligations of each such Selling Stockholder enforceable in accordance with their terms, subject to bankruptcy, insolvency, fraudulent transfer, reorganization, moratorium and similar laws of general applicability relating to or affecting creditors’ rights and to general equity principles.</w:t>
      </w:r>
    </w:p>
    <w:p>
      <w:pPr>
        <w:spacing w:after="0" w:line="47" w:lineRule="exact"/>
        <w:rPr>
          <w:rFonts w:ascii="Times New Roman" w:cs="Times New Roman" w:eastAsia="Times New Roman" w:hAnsi="Times New Roman"/>
          <w:sz w:val="13"/>
          <w:szCs w:val="13"/>
          <w:color w:val="auto"/>
        </w:rPr>
      </w:pPr>
    </w:p>
    <w:p>
      <w:pPr>
        <w:ind w:firstLine="162"/>
        <w:spacing w:after="0" w:line="261" w:lineRule="auto"/>
        <w:tabs>
          <w:tab w:leader="none" w:pos="3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confirmation by Computershare Trust Company, N.A. that the Secondary Shares owned by the Selling Stockholders have been credited to book entry securities accounts maintained by the Representatives for the account of the several Underwriters at the Depository Trust Company, each Underwriter will have acquired a security entitlement (within the meaning of Section 8-102(a)(17) of the New York UCC) with respect to such Secondary Shares, and, assuming that the Representatives have made payment for such Secondary Shares on behalf of the several Underwriters in accordance with the terms of the Underwriting Agreement, then, pursuant to Section 8-502 of the New York UCC, an action based on an adverse claim to such Secondary Shares, whether framed in conversion, replevin, constructive trust, equitable lien or other theory, may not be asserted against an Underwriter that does not have notice of the adverse claim (within the meaning of Section 8-105 of the New York UCC).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Confirmations</w:t>
      </w:r>
    </w:p>
    <w:p>
      <w:pPr>
        <w:spacing w:after="0" w:line="88" w:lineRule="exact"/>
        <w:rPr>
          <w:sz w:val="20"/>
          <w:szCs w:val="20"/>
          <w:color w:val="auto"/>
        </w:rPr>
      </w:pPr>
    </w:p>
    <w:p>
      <w:pPr>
        <w:ind w:right="20" w:firstLine="162"/>
        <w:spacing w:after="0" w:line="269" w:lineRule="auto"/>
        <w:tabs>
          <w:tab w:leader="none" w:pos="292"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confirm that the Initial Registration Statement was declared effective under the Act as of [___] on September [___], 2009; the Final Prospectus was filed with the Commission pursuant to Rule 424(b)(1) under the Act on September [___], 2009; each Issuer Free Writing Prospectus has been filed in accordance with Rule 433(d) under the Act; and, to our knowledge, no stop order suspending the effectiveness of a Registration Statement or any part thereof has been issued and no proceedings for that purpose have been instituted or are pending or contemplated under the Act.</w:t>
      </w:r>
    </w:p>
    <w:p>
      <w:pPr>
        <w:spacing w:after="0" w:line="47" w:lineRule="exact"/>
        <w:rPr>
          <w:rFonts w:ascii="Times New Roman" w:cs="Times New Roman" w:eastAsia="Times New Roman" w:hAnsi="Times New Roman"/>
          <w:sz w:val="13"/>
          <w:szCs w:val="13"/>
          <w:color w:val="auto"/>
        </w:rPr>
      </w:pPr>
    </w:p>
    <w:p>
      <w:pPr>
        <w:ind w:right="40" w:firstLine="162"/>
        <w:spacing w:after="0" w:line="259" w:lineRule="auto"/>
        <w:tabs>
          <w:tab w:leader="none" w:pos="292"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establishment or confirmation of factual matters or financial or quantitative information is beyond the scope and purpose of our professional engagement in this matter. Therefore, we are not passing upon and do not assume any responsibility for the accuracy, completeness or fairness of the statements contained in, or incorporated by reference in, the Registration Statement, the Final Prospectus or the General Disclosure Package (except for those specifically referred to in Paragraph B.10 above), and we have not made any independent check or verification thereof. However, in the course of acting as counsel to the Company in connection with the preparation by the Company of the Registration Statement, the Final Prospectus and the General Disclosure Package, we have participated in conferences with officers and other representatives of the Company, representatives of the Underwriters, counsel for the Underwriters and the independent registered public accounting firm for the Company during which conferences the contents of the Registration Statement, the Final Prospectus and the General Disclosure Package (and certain of the documents incorporated by reference into each of the foregoing) and related matters were discussed.</w:t>
      </w:r>
    </w:p>
    <w:p>
      <w:pPr>
        <w:spacing w:after="0" w:line="54" w:lineRule="exact"/>
        <w:rPr>
          <w:sz w:val="20"/>
          <w:szCs w:val="20"/>
          <w:color w:val="auto"/>
        </w:rPr>
      </w:pPr>
    </w:p>
    <w:p>
      <w:pPr>
        <w:ind w:right="20" w:firstLine="164"/>
        <w:spacing w:after="0" w:line="258" w:lineRule="auto"/>
        <w:rPr>
          <w:sz w:val="20"/>
          <w:szCs w:val="20"/>
          <w:color w:val="auto"/>
        </w:rPr>
      </w:pPr>
      <w:r>
        <w:rPr>
          <w:rFonts w:ascii="Times New Roman" w:cs="Times New Roman" w:eastAsia="Times New Roman" w:hAnsi="Times New Roman"/>
          <w:sz w:val="13"/>
          <w:szCs w:val="13"/>
          <w:color w:val="auto"/>
        </w:rPr>
        <w:t>Based upon our participation described above, we advise you that nothing has come to our attention that caused us to believe that (a) the Registration Statement (other than the financial statements, schedules, and other financial data contained therein or omitted therefrom, as to which we express no view), as of the time it became effective, contained any untrue statement of a material fact or omitted to state a material fact required to be stated therein or necessary to make the statements therein not misleading, (b) the General Disclosure Package (other than the financial statements, schedules, and other financial data contained therein or omitted therefrom, as to which we express no view), as of the Applicable Time or as of the date hereof, contained or contains any untrue statement of a material fact or omitted or omits to state a material fact necessary in order to make the statements therein, in the light of the circumstances under which they were made, not misleading, or (c) the Final Prospectus (other than the financial statements, schedules, and other financial data contained therein or omitted therefrom, as to which we express no view), as of its date or the date hereof, contained or contains an untrue statement of a material fact or omitted or omits to state a material fact necessary to make the statements therein, in the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3"/>
          <w:szCs w:val="13"/>
          <w:b w:val="1"/>
          <w:bCs w:val="1"/>
          <w:color w:val="auto"/>
        </w:rPr>
        <w:t>SCHEDULE F</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DOW LOHNES PLLC OPINION</w:t>
      </w:r>
    </w:p>
    <w:p>
      <w:pPr>
        <w:spacing w:after="0" w:line="88" w:lineRule="exact"/>
        <w:rPr>
          <w:sz w:val="20"/>
          <w:szCs w:val="20"/>
          <w:color w:val="auto"/>
        </w:rPr>
      </w:pPr>
    </w:p>
    <w:p>
      <w:pPr>
        <w:ind w:left="-60" w:right="300" w:firstLine="162"/>
        <w:spacing w:after="0" w:line="286" w:lineRule="auto"/>
        <w:tabs>
          <w:tab w:leader="none" w:pos="232"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statements contained in the Prospectus under the headings “Risk Factors-Risks Related to Our Industry” and “Regulation”, solely to the extent that such statements are statements summarizing particular provisions of or documents or proceedings concerning Education Law, taken together, accurately describe in all material respects the Education Law matters referred to therein.</w:t>
      </w:r>
    </w:p>
    <w:p>
      <w:pPr>
        <w:spacing w:after="0" w:line="36" w:lineRule="exact"/>
        <w:rPr>
          <w:rFonts w:ascii="Times New Roman" w:cs="Times New Roman" w:eastAsia="Times New Roman" w:hAnsi="Times New Roman"/>
          <w:sz w:val="13"/>
          <w:szCs w:val="13"/>
          <w:color w:val="auto"/>
        </w:rPr>
      </w:pPr>
    </w:p>
    <w:p>
      <w:pPr>
        <w:ind w:left="-60" w:firstLine="162"/>
        <w:spacing w:after="0" w:line="286" w:lineRule="auto"/>
        <w:tabs>
          <w:tab w:leader="none" w:pos="232"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the Underwriting Agreement by the Company and the Selling Stockholders and the issuance and sale by the Company and the Selling Stockholders of the Securities contemplated by the Prospectus will not result in a breach or violation of any Education Law.</w:t>
      </w:r>
    </w:p>
    <w:p>
      <w:pPr>
        <w:spacing w:after="0" w:line="36" w:lineRule="exact"/>
        <w:rPr>
          <w:rFonts w:ascii="Times New Roman" w:cs="Times New Roman" w:eastAsia="Times New Roman" w:hAnsi="Times New Roman"/>
          <w:sz w:val="13"/>
          <w:szCs w:val="13"/>
          <w:color w:val="auto"/>
        </w:rPr>
      </w:pPr>
    </w:p>
    <w:p>
      <w:pPr>
        <w:ind w:left="-60" w:right="40" w:firstLine="162"/>
        <w:spacing w:after="0" w:line="269" w:lineRule="auto"/>
        <w:tabs>
          <w:tab w:leader="none" w:pos="235"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those consents which have been obtained or that are required or permitted to be obtained after the Closing Date, no consent, approval, authorization, order, registration or qualification of, or filing with, the Department of Education under Title IV of the HEA, the Arizona State Board for Private Postsecondary Education, or NCA (collectively, “Consents”) is required for the consummation by the Company and the Selling Stockholders of the issuance and sale of Securities contemplated by the Prospectus.</w:t>
      </w:r>
    </w:p>
    <w:p>
      <w:pPr>
        <w:spacing w:after="0" w:line="45" w:lineRule="exact"/>
        <w:rPr>
          <w:rFonts w:ascii="Times New Roman" w:cs="Times New Roman" w:eastAsia="Times New Roman" w:hAnsi="Times New Roman"/>
          <w:sz w:val="13"/>
          <w:szCs w:val="13"/>
          <w:color w:val="auto"/>
        </w:rPr>
      </w:pPr>
    </w:p>
    <w:p>
      <w:pPr>
        <w:ind w:left="-60" w:right="240" w:firstLine="162"/>
        <w:spacing w:after="0" w:line="289" w:lineRule="auto"/>
        <w:tabs>
          <w:tab w:leader="none" w:pos="232"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University has all the necessary authorizations, approvals, certifications and accreditations (collectively, “</w:t>
      </w:r>
      <w:r>
        <w:rPr>
          <w:rFonts w:ascii="Times New Roman" w:cs="Times New Roman" w:eastAsia="Times New Roman" w:hAnsi="Times New Roman"/>
          <w:sz w:val="13"/>
          <w:szCs w:val="13"/>
          <w:b w:val="1"/>
          <w:bCs w:val="1"/>
          <w:color w:val="auto"/>
        </w:rPr>
        <w:t>Licenses</w:t>
      </w:r>
      <w:r>
        <w:rPr>
          <w:rFonts w:ascii="Times New Roman" w:cs="Times New Roman" w:eastAsia="Times New Roman" w:hAnsi="Times New Roman"/>
          <w:sz w:val="13"/>
          <w:szCs w:val="13"/>
          <w:color w:val="auto"/>
        </w:rPr>
        <w:t>”) from the Department of Education, the Arizona State Board for Private Postsecondary Education and NCA required for the University to participate in the Title IV Programs as described in the Registration Statement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264160</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80" w:top="734" w:right="259" w:bottom="1440" w:gutter="0" w:footer="0" w:header="0"/>
        </w:sectPr>
      </w:pPr>
    </w:p>
    <w:bookmarkStart w:id="42" w:name="page43"/>
    <w:bookmarkEnd w:id="42"/>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SCHEDULE G</w:t>
      </w:r>
    </w:p>
    <w:p>
      <w:pPr>
        <w:spacing w:after="0" w:line="2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 STOCKHOLDER INFORMATION</w:t>
      </w:r>
    </w:p>
    <w:p>
      <w:pPr>
        <w:spacing w:after="0" w:line="88" w:lineRule="exact"/>
        <w:rPr>
          <w:sz w:val="20"/>
          <w:szCs w:val="20"/>
          <w:color w:val="auto"/>
        </w:rPr>
      </w:pPr>
    </w:p>
    <w:p>
      <w:pPr>
        <w:ind w:left="461" w:hanging="461"/>
        <w:spacing w:after="0" w:line="286" w:lineRule="auto"/>
        <w:tabs>
          <w:tab w:leader="none" w:pos="46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of each Other Stockholder, the number of Firm Securities and Optional Securities to be sold by such Other Stockholder and other information with respect to such Other Stockholder (excluding any percentages) which appears under the caption “Selling Stockholders” in the General Disclosure Package and the Final Prospectus.</w:t>
      </w:r>
    </w:p>
    <w:sectPr>
      <w:pgSz w:w="11900" w:h="16838" w:orient="portrait"/>
      <w:cols w:equalWidth="0" w:num="1">
        <w:col w:w="11321"/>
      </w:cols>
      <w:pgMar w:left="219" w:top="7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lvl w:ilvl="1">
      <w:lvlJc w:val="left"/>
      <w:lvlText w:val="(%2)"/>
      <w:numFmt w:val="lowerLetter"/>
      <w:start w:val="2"/>
    </w:lvl>
  </w:abstractNum>
  <w:abstractNum w:abstractNumId="2">
    <w:nsid w:val="2D1D5AE9"/>
    <w:multiLevelType w:val="hybridMultilevel"/>
    <w:lvl w:ilvl="0">
      <w:lvlJc w:val="left"/>
      <w:lvlText w:val="(%1)"/>
      <w:numFmt w:val="lowerRoman"/>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lvl w:ilvl="1">
      <w:lvlJc w:val="left"/>
      <w:lvlText w:val="(%2)"/>
      <w:numFmt w:val="lowerLetter"/>
      <w:start w:val="1"/>
    </w:lvl>
  </w:abstractNum>
  <w:abstractNum w:abstractNumId="6">
    <w:nsid w:val="79838CB2"/>
    <w:multiLevelType w:val="hybridMultilevel"/>
    <w:lvl w:ilvl="0">
      <w:lvlJc w:val="left"/>
      <w:lvlText w:val="(%1)"/>
      <w:numFmt w:val="lowerRoman"/>
      <w:start w:val="1"/>
    </w:lvl>
  </w:abstractNum>
  <w:abstractNum w:abstractNumId="7">
    <w:nsid w:val="4353D0CD"/>
    <w:multiLevelType w:val="hybridMultilevel"/>
    <w:lvl w:ilvl="0">
      <w:lvlJc w:val="left"/>
      <w:lvlText w:val="(%1)"/>
      <w:numFmt w:val="lowerRoman"/>
      <w:start w:val="2"/>
    </w:lvl>
  </w:abstractNum>
  <w:abstractNum w:abstractNumId="8">
    <w:nsid w:val="B03E0C6"/>
    <w:multiLevelType w:val="hybridMultilevel"/>
    <w:lvl w:ilvl="0">
      <w:lvlJc w:val="left"/>
      <w:lvlText w:val="(%1)"/>
      <w:numFmt w:val="lowerRoman"/>
      <w:start w:val="6"/>
    </w:lvl>
  </w:abstractNum>
  <w:abstractNum w:abstractNumId="9">
    <w:nsid w:val="189A769B"/>
    <w:multiLevelType w:val="hybridMultilevel"/>
    <w:lvl w:ilvl="0">
      <w:lvlJc w:val="left"/>
      <w:lvlText w:val="(%1)"/>
      <w:numFmt w:val="lowerRoman"/>
      <w:start w:val="10"/>
    </w:lvl>
  </w:abstractNum>
  <w:abstractNum w:abstractNumId="10">
    <w:nsid w:val="54E49EB4"/>
    <w:multiLevelType w:val="hybridMultilevel"/>
    <w:lvl w:ilvl="0">
      <w:lvlJc w:val="left"/>
      <w:lvlText w:val="(%1)"/>
      <w:numFmt w:val="lowerRoman"/>
      <w:start w:val="17"/>
    </w:lvl>
  </w:abstractNum>
  <w:abstractNum w:abstractNumId="11">
    <w:nsid w:val="71F32454"/>
    <w:multiLevelType w:val="hybridMultilevel"/>
    <w:lvl w:ilvl="0">
      <w:lvlJc w:val="left"/>
      <w:lvlText w:val="(%1)"/>
      <w:numFmt w:val="lowerRoman"/>
      <w:start w:val="21"/>
    </w:lvl>
  </w:abstractNum>
  <w:abstractNum w:abstractNumId="12">
    <w:nsid w:val="2CA88611"/>
    <w:multiLevelType w:val="hybridMultilevel"/>
    <w:lvl w:ilvl="0">
      <w:lvlJc w:val="left"/>
      <w:lvlText w:val="(%1)"/>
      <w:numFmt w:val="lowerRoman"/>
      <w:start w:val="22"/>
    </w:lvl>
  </w:abstractNum>
  <w:abstractNum w:abstractNumId="13">
    <w:nsid w:val="836C40E"/>
    <w:multiLevelType w:val="hybridMultilevel"/>
    <w:lvl w:ilvl="0">
      <w:lvlJc w:val="left"/>
      <w:lvlText w:val="(%1)"/>
      <w:numFmt w:val="lowerRoman"/>
      <w:start w:val="28"/>
    </w:lvl>
  </w:abstractNum>
  <w:abstractNum w:abstractNumId="14">
    <w:nsid w:val="2901D82"/>
    <w:multiLevelType w:val="hybridMultilevel"/>
    <w:lvl w:ilvl="0">
      <w:lvlJc w:val="left"/>
      <w:lvlText w:val="%1"/>
      <w:numFmt w:val="lowerLetter"/>
      <w:start w:val="1"/>
    </w:lvl>
    <w:lvl w:ilvl="1">
      <w:lvlJc w:val="left"/>
      <w:lvlText w:val="(%2)"/>
      <w:numFmt w:val="lowerRoman"/>
      <w:start w:val="33"/>
    </w:lvl>
  </w:abstractNum>
  <w:abstractNum w:abstractNumId="15">
    <w:nsid w:val="3A95F874"/>
    <w:multiLevelType w:val="hybridMultilevel"/>
    <w:lvl w:ilvl="0">
      <w:lvlJc w:val="left"/>
      <w:lvlText w:val="(%1)"/>
      <w:numFmt w:val="lowerLetter"/>
      <w:start w:val="2"/>
    </w:lvl>
    <w:lvl w:ilvl="1">
      <w:lvlJc w:val="left"/>
      <w:lvlText w:val="(%2)"/>
      <w:numFmt w:val="lowerRoman"/>
      <w:start w:val="1"/>
    </w:lvl>
  </w:abstractNum>
  <w:abstractNum w:abstractNumId="16">
    <w:nsid w:val="8138641"/>
    <w:multiLevelType w:val="hybridMultilevel"/>
    <w:lvl w:ilvl="0">
      <w:lvlJc w:val="left"/>
      <w:lvlText w:val="%1"/>
      <w:numFmt w:val="lowerLetter"/>
      <w:start w:val="1"/>
    </w:lvl>
    <w:lvl w:ilvl="1">
      <w:lvlJc w:val="left"/>
      <w:lvlText w:val="(%2)"/>
      <w:numFmt w:val="lowerRoman"/>
      <w:start w:val="2"/>
    </w:lvl>
  </w:abstractNum>
  <w:abstractNum w:abstractNumId="17">
    <w:nsid w:val="1E7FF521"/>
    <w:multiLevelType w:val="hybridMultilevel"/>
    <w:lvl w:ilvl="0">
      <w:lvlJc w:val="left"/>
      <w:lvlText w:val="(%1)"/>
      <w:numFmt w:val="lowerLetter"/>
      <w:start w:val="3"/>
    </w:lvl>
    <w:lvl w:ilvl="1">
      <w:lvlJc w:val="left"/>
      <w:lvlText w:val="%2"/>
      <w:numFmt w:val="lowerRoman"/>
      <w:start w:val="1"/>
    </w:lvl>
  </w:abstractNum>
  <w:abstractNum w:abstractNumId="18">
    <w:nsid w:val="7C3DBD3D"/>
    <w:multiLevelType w:val="hybridMultilevel"/>
    <w:lvl w:ilvl="0">
      <w:lvlJc w:val="left"/>
      <w:lvlText w:val="%1"/>
      <w:numFmt w:val="lowerLetter"/>
      <w:start w:val="1"/>
    </w:lvl>
    <w:lvl w:ilvl="1">
      <w:lvlJc w:val="left"/>
      <w:lvlText w:val="(%2)"/>
      <w:numFmt w:val="lowerRoman"/>
      <w:start w:val="1"/>
    </w:lvl>
  </w:abstractNum>
  <w:abstractNum w:abstractNumId="19">
    <w:nsid w:val="737B8DDC"/>
    <w:multiLevelType w:val="hybridMultilevel"/>
    <w:lvl w:ilvl="0">
      <w:lvlJc w:val="left"/>
      <w:lvlText w:val="(%1)"/>
      <w:numFmt w:val="lowerLetter"/>
      <w:start w:val="4"/>
    </w:lvl>
    <w:lvl w:ilvl="1">
      <w:lvlJc w:val="left"/>
      <w:lvlText w:val="%2"/>
      <w:numFmt w:val="lowerRoman"/>
      <w:start w:val="1"/>
    </w:lvl>
  </w:abstractNum>
  <w:abstractNum w:abstractNumId="20">
    <w:nsid w:val="6CEAF087"/>
    <w:multiLevelType w:val="hybridMultilevel"/>
    <w:lvl w:ilvl="0">
      <w:lvlJc w:val="left"/>
      <w:lvlText w:val="%1."/>
      <w:numFmt w:val="decimal"/>
      <w:start w:val="3"/>
    </w:lvl>
  </w:abstractNum>
  <w:abstractNum w:abstractNumId="21">
    <w:nsid w:val="22221A70"/>
    <w:multiLevelType w:val="hybridMultilevel"/>
    <w:lvl w:ilvl="0">
      <w:lvlJc w:val="left"/>
      <w:lvlText w:val="%1."/>
      <w:numFmt w:val="decimal"/>
      <w:start w:val="4"/>
    </w:lvl>
    <w:lvl w:ilvl="1">
      <w:lvlJc w:val="left"/>
      <w:lvlText w:val="(%2)"/>
      <w:numFmt w:val="lowerLetter"/>
      <w:start w:val="1"/>
    </w:lvl>
  </w:abstractNum>
  <w:abstractNum w:abstractNumId="22">
    <w:nsid w:val="4516DDE9"/>
    <w:multiLevelType w:val="hybridMultilevel"/>
    <w:lvl w:ilvl="0">
      <w:lvlJc w:val="left"/>
      <w:lvlText w:val="(%1)"/>
      <w:numFmt w:val="lowerLetter"/>
      <w:start w:val="5"/>
    </w:lvl>
  </w:abstractNum>
  <w:abstractNum w:abstractNumId="23">
    <w:nsid w:val="3006C83E"/>
    <w:multiLevelType w:val="hybridMultilevel"/>
    <w:lvl w:ilvl="0">
      <w:lvlJc w:val="left"/>
      <w:lvlText w:val="%1"/>
      <w:numFmt w:val="decimal"/>
      <w:start w:val="1"/>
    </w:lvl>
    <w:lvl w:ilvl="1">
      <w:lvlJc w:val="left"/>
      <w:lvlText w:val="(%2)"/>
      <w:numFmt w:val="lowerLetter"/>
      <w:start w:val="10"/>
    </w:lvl>
  </w:abstractNum>
  <w:abstractNum w:abstractNumId="24">
    <w:nsid w:val="614FD4A1"/>
    <w:multiLevelType w:val="hybridMultilevel"/>
    <w:lvl w:ilvl="0">
      <w:lvlJc w:val="left"/>
      <w:lvlText w:val="%1"/>
      <w:numFmt w:val="decimal"/>
      <w:start w:val="1"/>
    </w:lvl>
    <w:lvl w:ilvl="1">
      <w:lvlJc w:val="left"/>
      <w:lvlText w:val="(%2)"/>
      <w:numFmt w:val="lowerLetter"/>
      <w:start w:val="26"/>
    </w:lvl>
  </w:abstractNum>
  <w:abstractNum w:abstractNumId="25">
    <w:nsid w:val="419AC241"/>
    <w:multiLevelType w:val="hybridMultilevel"/>
    <w:lvl w:ilvl="0">
      <w:lvlJc w:val="left"/>
      <w:lvlText w:val="%1."/>
      <w:numFmt w:val="decimal"/>
      <w:start w:val="6"/>
    </w:lvl>
    <w:lvl w:ilvl="1">
      <w:lvlJc w:val="left"/>
      <w:lvlText w:val="(%2)"/>
      <w:numFmt w:val="lowerLetter"/>
      <w:start w:val="1"/>
    </w:lvl>
  </w:abstractNum>
  <w:abstractNum w:abstractNumId="26">
    <w:nsid w:val="5577F8E1"/>
    <w:multiLevelType w:val="hybridMultilevel"/>
    <w:lvl w:ilvl="0">
      <w:lvlJc w:val="left"/>
      <w:lvlText w:val="(%1)"/>
      <w:numFmt w:val="lowerLetter"/>
      <w:start w:val="2"/>
    </w:lvl>
  </w:abstractNum>
  <w:abstractNum w:abstractNumId="27">
    <w:nsid w:val="440BADFC"/>
    <w:multiLevelType w:val="hybridMultilevel"/>
    <w:lvl w:ilvl="0">
      <w:lvlJc w:val="left"/>
      <w:lvlText w:val="(%1)"/>
      <w:numFmt w:val="lowerLetter"/>
      <w:start w:val="8"/>
    </w:lvl>
  </w:abstractNum>
  <w:abstractNum w:abstractNumId="28">
    <w:nsid w:val="5072367"/>
    <w:multiLevelType w:val="hybridMultilevel"/>
    <w:lvl w:ilvl="0">
      <w:lvlJc w:val="left"/>
      <w:lvlText w:val="%1."/>
      <w:numFmt w:val="decimal"/>
      <w:start w:val="8"/>
    </w:lvl>
    <w:lvl w:ilvl="1">
      <w:lvlJc w:val="left"/>
      <w:lvlText w:val="(%2)"/>
      <w:numFmt w:val="lowerLetter"/>
      <w:start w:val="1"/>
    </w:lvl>
  </w:abstractNum>
  <w:abstractNum w:abstractNumId="29">
    <w:nsid w:val="3804823E"/>
    <w:multiLevelType w:val="hybridMultilevel"/>
    <w:lvl w:ilvl="0">
      <w:lvlJc w:val="left"/>
      <w:lvlText w:val="(%1)"/>
      <w:numFmt w:val="lowerLetter"/>
      <w:start w:val="3"/>
    </w:lvl>
  </w:abstractNum>
  <w:abstractNum w:abstractNumId="30">
    <w:nsid w:val="77465F01"/>
    <w:multiLevelType w:val="hybridMultilevel"/>
    <w:lvl w:ilvl="0">
      <w:lvlJc w:val="left"/>
      <w:lvlText w:val="(%1)"/>
      <w:numFmt w:val="lowerLetter"/>
      <w:start w:val="4"/>
    </w:lvl>
  </w:abstractNum>
  <w:abstractNum w:abstractNumId="31">
    <w:nsid w:val="7724C67E"/>
    <w:multiLevelType w:val="hybridMultilevel"/>
    <w:lvl w:ilvl="0">
      <w:lvlJc w:val="left"/>
      <w:lvlText w:val="%1."/>
      <w:numFmt w:val="decimal"/>
      <w:start w:val="9"/>
    </w:lvl>
  </w:abstractNum>
  <w:abstractNum w:abstractNumId="32">
    <w:nsid w:val="5C482A97"/>
    <w:multiLevelType w:val="hybridMultilevel"/>
    <w:lvl w:ilvl="0">
      <w:lvlJc w:val="left"/>
      <w:lvlText w:val="%1."/>
      <w:numFmt w:val="decimal"/>
      <w:start w:val="10"/>
    </w:lvl>
    <w:lvl w:ilvl="1">
      <w:lvlJc w:val="left"/>
      <w:lvlText w:val="(%2)"/>
      <w:numFmt w:val="lowerLetter"/>
      <w:start w:val="1"/>
    </w:lvl>
  </w:abstractNum>
  <w:abstractNum w:abstractNumId="33">
    <w:nsid w:val="2463B9EA"/>
    <w:multiLevelType w:val="hybridMultilevel"/>
    <w:lvl w:ilvl="0">
      <w:lvlJc w:val="left"/>
      <w:lvlText w:val="%1"/>
      <w:numFmt w:val="decimal"/>
      <w:start w:val="1"/>
    </w:lvl>
    <w:lvl w:ilvl="1">
      <w:lvlJc w:val="left"/>
      <w:lvlText w:val="(%2)"/>
      <w:numFmt w:val="lowerLetter"/>
      <w:start w:val="3"/>
    </w:lvl>
  </w:abstractNum>
  <w:abstractNum w:abstractNumId="34">
    <w:nsid w:val="5E884ADC"/>
    <w:multiLevelType w:val="hybridMultilevel"/>
    <w:lvl w:ilvl="0">
      <w:lvlJc w:val="left"/>
      <w:lvlText w:val="%1."/>
      <w:numFmt w:val="decimal"/>
      <w:start w:val="16"/>
    </w:lvl>
    <w:lvl w:ilvl="1">
      <w:lvlJc w:val="left"/>
      <w:lvlText w:val="%2"/>
      <w:numFmt w:val="lowerLetter"/>
      <w:start w:val="1"/>
    </w:lvl>
  </w:abstractNum>
  <w:abstractNum w:abstractNumId="35">
    <w:nsid w:val="51EAD36B"/>
    <w:multiLevelType w:val="hybridMultilevel"/>
    <w:lvl w:ilvl="0">
      <w:lvlJc w:val="left"/>
      <w:lvlText w:val="%1."/>
      <w:numFmt w:val="decimal"/>
      <w:start w:val="1"/>
    </w:lvl>
    <w:lvl w:ilvl="1">
      <w:lvlJc w:val="left"/>
      <w:lvlText w:val="%2."/>
      <w:numFmt w:val="upperLetter"/>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0"/>
    </w:lvl>
  </w:abstractNum>
  <w:abstractNum w:abstractNumId="39">
    <w:nsid w:val="3855585C"/>
    <w:multiLevelType w:val="hybridMultilevel"/>
    <w:lvl w:ilvl="0">
      <w:lvlJc w:val="left"/>
      <w:lvlText w:val="%1."/>
      <w:numFmt w:val="decimal"/>
      <w:start w:val="17"/>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2019-12-15T14:04:23Z</dcterms:created>
  <dcterms:modified xsi:type="dcterms:W3CDTF">2019-12-15T14:04:23Z</dcterms:modified>
</cp:coreProperties>
</file>