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 w:space="1" w:color="000000"/>
        </w:pBdr>
        <w:bidi w:val="0"/>
        <w:spacing w:before="0" w:after="0"/>
        <w:ind w:left="0" w:right="0" w:hanging="0"/>
        <w:jc w:val="center"/>
        <w:rPr/>
      </w:pPr>
      <w:bookmarkStart w:id="0" w:name="lope-20240426xdefa14a.htm"/>
      <w:bookmarkStart w:id="1" w:name="kslope20240426xdefa14a"/>
      <w:bookmarkEnd w:id="0"/>
      <w:bookmarkEnd w:id="1"/>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00"/>
        <w:ind w:left="0" w:right="0" w:hanging="0"/>
        <w:jc w:val="center"/>
        <w:rPr>
          <w:rFonts w:ascii="Times New Roman;Times;serif" w:hAnsi="Times New Roman;Times;serif"/>
          <w:b/>
          <w:sz w:val="36"/>
        </w:rPr>
      </w:pPr>
      <w:r>
        <w:rPr>
          <w:rFonts w:ascii="Times New Roman;Times;serif" w:hAnsi="Times New Roman;Times;serif"/>
          <w:b/>
          <w:sz w:val="36"/>
        </w:rPr>
        <w:t>SCHEDULE 14A</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Proxy Statement Pursuant to Section 14(a)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(Amendment No.     )</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Filed by the Registrant ☒                             Filed by a Party other than the Registrant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0"/>
        <w:ind w:left="0" w:right="0" w:hanging="0"/>
        <w:jc w:val="left"/>
        <w:rPr/>
      </w:pPr>
      <w:r>
        <w:rPr/>
        <w:t>​</w:t>
      </w:r>
    </w:p>
    <w:tbl>
      <w:tblPr>
        <w:tblW w:w="7217" w:type="dxa"/>
        <w:jc w:val="center"/>
        <w:tblInd w:w="0" w:type="dxa"/>
        <w:tblLayout w:type="fixed"/>
        <w:tblCellMar>
          <w:top w:w="0" w:type="dxa"/>
          <w:left w:w="0" w:type="dxa"/>
          <w:bottom w:w="0" w:type="dxa"/>
          <w:right w:w="0" w:type="dxa"/>
        </w:tblCellMar>
      </w:tblPr>
      <w:tblGrid>
        <w:gridCol w:w="331"/>
        <w:gridCol w:w="688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72610" cy="175260"/>
                      <wp:effectExtent l="0" t="0" r="0" b="0"/>
                      <wp:wrapNone/>
                      <wp:docPr id="2" name="Frame2"/>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 as Specified in Its Charter)</w:t>
      </w:r>
    </w:p>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(Name of Person(s) Filing Proxy Statement, if Other Than the Registrant)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p>
      <w:pPr>
        <w:pStyle w:val="TextBody"/>
        <w:bidi w:val="0"/>
        <w:spacing w:before="0" w:after="0"/>
        <w:ind w:left="0" w:right="0" w:hanging="0"/>
        <w:jc w:val="left"/>
        <w:rPr/>
      </w:pPr>
      <w:r>
        <w:rPr/>
        <w:t>​</w:t>
      </w:r>
    </w:p>
    <w:tbl>
      <w:tblPr>
        <w:tblW w:w="8686" w:type="dxa"/>
        <w:jc w:val="center"/>
        <w:tblInd w:w="0" w:type="dxa"/>
        <w:tblLayout w:type="fixed"/>
        <w:tblCellMar>
          <w:top w:w="0" w:type="dxa"/>
          <w:left w:w="0" w:type="dxa"/>
          <w:bottom w:w="0" w:type="dxa"/>
          <w:right w:w="0" w:type="dxa"/>
        </w:tblCellMar>
      </w:tblPr>
      <w:tblGrid>
        <w:gridCol w:w="331"/>
        <w:gridCol w:w="3451"/>
        <w:gridCol w:w="4904"/>
      </w:tblGrid>
      <w:tr>
        <w:trPr/>
        <w:tc>
          <w:tcPr>
            <w:tcW w:w="331"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1385" cy="175260"/>
                      <wp:effectExtent l="0" t="0" r="0" b="0"/>
                      <wp:wrapNone/>
                      <wp:docPr id="3" name="Frame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114675" cy="175260"/>
                      <wp:effectExtent l="0" t="0" r="0" b="0"/>
                      <wp:wrapNone/>
                      <wp:docPr id="4" name="Frame4"/>
                      <a:graphic xmlns:a="http://schemas.openxmlformats.org/drawingml/2006/main">
                        <a:graphicData uri="http://schemas.microsoft.com/office/word/2010/wordprocessingShape">
                          <wps:wsp>
                            <wps:cNvSpPr txBox="1"/>
                            <wps:spPr>
                              <a:xfrm>
                                <a:off x="0" y="0"/>
                                <a:ext cx="311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3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c>
          <w:tcPr>
            <w:tcW w:w="490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c>
          <w:tcPr>
            <w:tcW w:w="490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3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w:t>
            </w:r>
          </w:p>
        </w:tc>
      </w:tr>
      <w:tr>
        <w:trPr/>
        <w:tc>
          <w:tcPr>
            <w:tcW w:w="331"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c>
          <w:tcPr>
            <w:tcW w:w="490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3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331"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c>
          <w:tcPr>
            <w:tcW w:w="490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2995" w:type="dxa"/>
        <w:jc w:val="center"/>
        <w:tblInd w:w="0" w:type="dxa"/>
        <w:tblLayout w:type="fixed"/>
        <w:tblCellMar>
          <w:top w:w="0" w:type="dxa"/>
          <w:left w:w="0" w:type="dxa"/>
          <w:bottom w:w="0" w:type="dxa"/>
          <w:right w:w="0" w:type="dxa"/>
        </w:tblCellMar>
      </w:tblPr>
      <w:tblGrid>
        <w:gridCol w:w="12735"/>
        <w:gridCol w:w="26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Online Go to www.envisionreports.com/LOPE or scan the QR code — login details are located in the shaded bar below. Votes submitted electronically must be received by 11:00 p.m., Pacific Time, on Tuesday, June 11, 2024. Important Notice Regarding the Availability of Proxy Materials for the Grand Canyon Education, Inc. Stockholder Meeting to be Held on June 12, 2024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 Easy Online Access — View your proxy materials and vote. Step 1: Go to www.envisionreports.com/LOPE . Step 2: Click on Cast Your Vote or Request Materials. Step 3: Follow the instructions on the screen to log in. Step 4: Make your selections as instructed on each screen for your delivery preferences. Step 5: Vote your shares.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June 3, 2024 to facilitate timely delivery. 03ZULB Stockholder Meeting Notice www.envisionreports.com/LOPE </w:t>
            </w:r>
          </w:p>
        </w:tc>
      </w:tr>
    </w:tbl>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Grand Canyon Education, Inc.’s Annual Meeting of Stockholders will be held on Wednesday, June 12, 2024 at the offices of Grand Canyon Education, Inc., located at 2600 W. Camelback Road, Phoenix, Arizona 85017 at 10:30 a.m. Arizona Time. Proposals to be voted on at the meeting are listed below along with the Board of Directors’ recommendations. The Board of Directors recommends a vote FOR each of the nominees listed below and FOR Proposals 2 and 3: 1. Election of Directors: 01 - Brian E. Mueller 02 - Sara Ward 03 - Jack A. Henry 04 - Lisa Graham Keegan 05 - Chevy Humphrey 06 - Kevin F. Warren 2. To approve, on an advisory basis, the compensation of our named executive officers as disclosed in the Proxy Statement. 3. To ratify the appointment of KPMG LLP as our independent registered public accounting firm for the fiscal year ending December 31, 2024. PLEASE NOTE – YOU CANNOT VOTE BY RETURNING THIS NOTICE. To vote your shares you must go online or request a paper copy of the proxy materials to receive a proxy card. If you wish to attend and vote at the meeting, please bring this notice with you.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www.envisionreports.com/LOPE. Click Cast Your Vote or Request Materials. — Phone – Call us free of charge at 1-866-641-4276. — Email – Send an email to investorvote@computershare.com with “Proxy Materials Grand Canyon Education,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June 3, 2024. Stockholder Meeting Notice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3993</Characters>
  <CharactersWithSpaces>4833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