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31102x8k.htm"/>
      <w:bookmarkStart w:id="1" w:name="kslope20231102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b2f749c_7866_432d_a895_9829dd020194"/>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November 2, 2023</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eNJbxaEvZka1VqkZyUGQcw_3_0"/>
      <w:bookmarkStart w:id="4" w:name="Tc_1rysIA810kGJhGC1yYCaZw_2_4"/>
      <w:bookmarkStart w:id="5" w:name="Tc_gdJE21DveUGa1lqPTV_E3A_2_2"/>
      <w:bookmarkStart w:id="6" w:name="Tc_t5lT4Lf_50qq8bPnVUGo2A_2_0"/>
      <w:bookmarkStart w:id="7" w:name="_7fa0ebfc_0c79_4dbe_87e0_6617c5cbb49e"/>
      <w:bookmarkStart w:id="8" w:name="Tc_eNJbxaEvZka1VqkZyUGQcw_3_0"/>
      <w:bookmarkStart w:id="9" w:name="Tc_1rysIA810kGJhGC1yYCaZw_2_4"/>
      <w:bookmarkStart w:id="10" w:name="Tc_gdJE21DveUGa1lqPTV_E3A_2_2"/>
      <w:bookmarkStart w:id="11" w:name="Tc_t5lT4Lf_50qq8bPnVUGo2A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_ocniNE7Y027gNpyhcatcA_3_1"/>
      <w:bookmarkStart w:id="14" w:name="Tc_Eb99AZPZm02gESvZ_l6CTQ_3_0"/>
      <w:bookmarkStart w:id="15" w:name="Tc_McoYGlBmWU22wbSdZ1sNRg_2_0"/>
      <w:bookmarkStart w:id="16" w:name="_9a323b27_c53c_42df_98ef_985e5341818d"/>
      <w:bookmarkStart w:id="17" w:name="Tc__ocniNE7Y027gNpyhcatcA_3_1"/>
      <w:bookmarkStart w:id="18" w:name="Tc_Eb99AZPZm02gESvZ_l6CTQ_3_0"/>
      <w:bookmarkStart w:id="19" w:name="Tc_McoYGlBmWU22wbSdZ1sNRg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iFUM0quUOk23kwdrpEg3Aw_0_2"/>
      <w:bookmarkStart w:id="22" w:name="Tc_ql9yqfrOuEagvfo6NTSQwQ_0_1"/>
      <w:bookmarkStart w:id="23" w:name="Tc_S94WXivmhUyCOFnCLB_ijQ_0_0"/>
      <w:bookmarkStart w:id="24" w:name="_2f4b5bca_6f5b_4b11_908f_f1dd216d9493"/>
      <w:bookmarkStart w:id="25" w:name="Tc_iFUM0quUOk23kwdrpEg3Aw_0_2"/>
      <w:bookmarkStart w:id="26" w:name="Tc_ql9yqfrOuEagvfo6NTSQwQ_0_1"/>
      <w:bookmarkStart w:id="27" w:name="Tc_S94WXivmhUyCOFnCLB_ijQ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2023, the Company reported its results for the third quarter of 2023.  The press release dated November 2, 2023 is furnished as Exhibit 99.1 to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8.01. Other Events.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On October 25, 2023, the Board of Directors of Grand Canyon Education, Inc. increased the authorization under its existing stock repurchase program by $200.0 million, reflecting an aggregate authorization for share repurchases since the initiation of our program of $2,045.0 million. The expiration date on the repurchase authorization is March 1, 2025. Repurchases occur at the Company’s discretion. Repurchases may be made in the open market or in privately negotiated transactions, pursuant to the applicable Securities and Exchange Commission rules.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Consolidated Financial Statements and Exhibits.</w:t>
      </w:r>
    </w:p>
    <w:p>
      <w:pPr>
        <w:pStyle w:val="TextBody"/>
        <w:bidi w:val="0"/>
        <w:spacing w:before="0" w:after="0"/>
        <w:ind w:left="0" w:right="0" w:hanging="0"/>
        <w:jc w:val="both"/>
        <w:rPr/>
      </w:pPr>
      <w:r>
        <w:rPr>
          <w:rFonts w:ascii="Times New Roman;Times;serif" w:hAnsi="Times New Roman;Times;serif"/>
          <w:sz w:val="20"/>
        </w:rPr>
        <w:t>99.1       </w:t>
      </w:r>
      <w:hyperlink w:anchor="lope-20231102xex99d1.htm">
        <w:r>
          <w:rPr>
            <w:rStyle w:val="InternetLink"/>
            <w:rFonts w:ascii="Times New Roman;Times;serif" w:hAnsi="Times New Roman;Times;serif"/>
            <w:b w:val="false"/>
            <w:i w:val="false"/>
            <w:caps w:val="false"/>
            <w:smallCaps w:val="false"/>
            <w:sz w:val="20"/>
          </w:rPr>
          <w:t>Press Release dated November 2, 2023</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Date File (imbedded within the XBRL document)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318" w:type="dxa"/>
        <w:jc w:val="left"/>
        <w:tblInd w:w="0" w:type="dxa"/>
        <w:tblLayout w:type="fixed"/>
        <w:tblCellMar>
          <w:top w:w="0" w:type="dxa"/>
          <w:left w:w="0" w:type="dxa"/>
          <w:bottom w:w="0" w:type="dxa"/>
          <w:right w:w="0" w:type="dxa"/>
        </w:tblCellMar>
      </w:tblPr>
      <w:tblGrid>
        <w:gridCol w:w="946"/>
        <w:gridCol w:w="326"/>
        <w:gridCol w:w="604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4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60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pPr>
            <w:hyperlink w:anchor="lope-20231102xex99d1.htm">
              <w:r>
                <w:rPr>
                  <w:rStyle w:val="InternetLink"/>
                  <w:rFonts w:ascii="Times New Roman;Times;serif" w:hAnsi="Times New Roman;Times;serif"/>
                  <w:b w:val="false"/>
                  <w:i w:val="false"/>
                  <w:caps w:val="false"/>
                  <w:smallCaps w:val="false"/>
                  <w:sz w:val="20"/>
                </w:rPr>
                <w:t>Press Release dated November 2, 2023</w:t>
              </w:r>
            </w:hyperlink>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(imbedded within the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02" w:type="dxa"/>
        <w:jc w:val="left"/>
        <w:tblInd w:w="0" w:type="dxa"/>
        <w:tblLayout w:type="fixed"/>
        <w:tblCellMar>
          <w:top w:w="0" w:type="dxa"/>
          <w:left w:w="0" w:type="dxa"/>
          <w:bottom w:w="0" w:type="dxa"/>
          <w:right w:w="0" w:type="dxa"/>
        </w:tblCellMar>
      </w:tblPr>
      <w:tblGrid>
        <w:gridCol w:w="2101"/>
        <w:gridCol w:w="422"/>
        <w:gridCol w:w="2879"/>
      </w:tblGrid>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10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9" w:name="lope-20231102xex99d1.htm"/>
      <w:bookmarkStart w:id="30" w:name="kslope20231102xex99d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THIRD QUARTER 2023 RESULTS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PHOENIX, AZ., November 2, 2023</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25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September 30, 2023.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2023 Results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revenue for the three months ended September 30, 2023 was $221.9 million, an increase of $13.2 million, or 6.3%, as compared to service revenue of $208.7 million for the three months ended September 30, 2022. The increase year over year in service revenue was primarily due to an increase in GCU enrollments to 118,227 at September 30, 2023, an increase of 6.6% over enrollments at September 30, 2022 and an increase in revenue per student year over year. The increase in revenue per student between years is primarily due to the service revenue impact of the increased room, board and other ancillary revenues at GCU in the third quarter of 2023 as compared to the prior year period. In addition, service revenue per student for Accelerated Bachelor of Science in Nursing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September 30, 2023 was also positively impacted by the timing of the Fall semester for the ground traditional campus. The Fall semester started one day earlier in 2023 than in 2022, which had the effect of shifting $1.2 million in service revenue from the fourth quarter of 2023 to the third quarter of 2023 in comparison to the prior year.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Partner enrollments totaled 123,165 at September 30, 2023 as compared to 116,202 at September 30, 2022. University partner enrollments at our off-campus classroom and laboratory sites were 5,448, a decrease of 4.3% over enrollments at September 30, 2022, which includes 510 and 421 GCU students at September 30, 2023 and 2022, respectively. We opened six new off-campus classroom and laboratory sites in the year ended December 31, 2022 and five sites in the nine months ended September 30, 2023 increasing the total number of these sites to 40 at September 30, 2023. Enrollments for GCU ground students were 25,232 at September 30, 2023 up from 25,083 at September 30, 2022. GCU online enrollments were 92,995 at September 30, 2023, up from 85,845 at September 30, 2022, an increase of 8.3% between years.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three months ended September 30, 2023 was $41.5 million, an increase of $6.0 million as compared to $35.5 million for the same period in 2022. The operating margin for the three months ended September 30, 2023 was 18.7%, compared to 17.0% for the same period in 2022.</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for the three months ended September 30, 2023 was $8.5 million, an increase of $2.3 million, or 36.6%, as compared to income tax expense of $6.2 million for the three months ended September 30, 2022. Our effective tax rate was 19.3% during the third quarter of 2023 compared to 17.2% during the third quarter of 2022. The increase in our effective tax rate between periods was primarily driven by changes in the magnitude of contributions in lieu of state income taxes as compared to prior periods.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19.1% to $35.7 million for the third quarter of 2023, compared to $30.0 million for the same period in 2022. As adjusted net income was $37.8 million and $32.2 million for the third quarters of 2023 and 2022,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$1.19 and $0.96 for the third quarters of 2023 and 2022, respectively. As adjusted diluted net income per share was $1.26 and $1.02 for the third quarters of 2023 and 2022,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7.4% to $57.0 million for the third quarter of 2023, compared to $53.1 million for the same period in 2022.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Service revenue for the nine months ended September 30, 2023 was $682.6 million, an increase of $30.0 million, or 4.6%, as compared to service revenue of $652.6 million for the nine months ended September 30, 2022. The increase year over year in service revenue was primarily due to an increase in GCU enrollments to 118,227 at September 30, 2023, an increase of 6.6% over enrollments at September 30, 2022.</w:t>
            </w:r>
            <w:r>
              <w:rPr>
                <w:caps w:val="false"/>
                <w:smallCaps w:val="false"/>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nine months ended September 30, 2023 was $151.5 million, an increase of $4.7 million as compared to $146.8 million for the same period in 2022. The operating margin for the nine months ended September 30, 2023 was 22.2%, compared to 22.5% for the same period in 2022.</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for the nine months ended September 30, 2023 was $34.6 million, an increase of $0.1 million, or 0.5%, as compared to income tax expense of $34.5 million for the nine months ended September 30, 2022. Our effective tax rate was 21.8% during the nine months ended September 30, 2023 compared to 23.3% during the nine months ended September 30, 2022. The slight decrease in our effective tax rate between periods is attributable to changes in the magnitude of contributions in lieu of state income taxes as well as a mix of other discrete tax items recorded in the respective periods.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9.4% to $124.3 million for the nine months ended September 30, 2023, compared to $113.6 million for the same period in 2022. As adjusted net income was $129.7 million and $119.4 million for the nine months ended September 30, 2023 and 2022,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$4.10 and $3.47 for the nine months ended September 30, 2023 and 2022, respectively. As adjusted diluted net income per share was $4.28 and $3.65 for the nine months ended September 30, 2023 and 2022,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1.2% to $191.4 million for the nine months ended September 30, 2023, compared to $189.1 million for the same period in 2022.</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$27.3 million between December 31, 2022 and September 30, 2023, which was largely attributable to share repurchases and capital expenditures exceeding cash flows from operations during the nine months ended September 30, 2023. Our unrestricted cash and cash equivalents and investments were $154.4 million and $181.7 million at September 30, 2023 and December 31, 2022,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 Repurchase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GCE announced today that on October 25, 2023, the Company’s Board of Directors increased the authorization under its existing stock repurchase program by $200.0 million, reflecting an aggregate authorization for share repurchases since the initiation of our program of $2,045.0 million. The current expiration date on the repurchase authorization by our Board of Directors is March 1, 2025. As of October 31, 2023, there remained $272.4 million available under our current share repurchase authorization, which includes the increased authorization of $200.0 million. As of October 31, 2023, the Company had 30,010,536 shares of common stock outstanding. The plan permits the Company to make purchases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GCE to acquire any particular amount of common stock and may be suspended or discontinued at any time. The repurchase program may be funded using the Company’s available cash, investments and positive operating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 Reports Third Quarter 2023 Results and Full Year Outlook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2023 Outlook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Q4 2023:</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$274.5 million and $275.5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35.4% and 35.6%;</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20.3%;</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$2.64 and $2.67;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 million diluted shares.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$1.7 million, which equates to a $0.06 impact on diluted EPS. Thus, as adjusted, Non-GAAP diluted income per share of between $2.70 and $2.73. </w:t>
      </w:r>
    </w:p>
    <w:p>
      <w:pPr>
        <w:pStyle w:val="TextBody"/>
        <w:pBdr/>
        <w:bidi w:val="0"/>
        <w:spacing w:before="0" w:after="0"/>
        <w:ind w:left="0" w:right="0" w:hanging="2160"/>
        <w:jc w:val="left"/>
        <w:rPr>
          <w:rFonts w:ascii="Times New Roman;Times;serif" w:hAnsi="Times New Roman;Times;serif"/>
          <w:b/>
          <w:sz w:val="20"/>
        </w:rPr>
      </w:pPr>
      <w:r>
        <w:rPr>
          <w:rFonts w:ascii="Times New Roman;Times;serif" w:hAnsi="Times New Roman;Times;serif"/>
          <w:b/>
          <w:sz w:val="20"/>
        </w:rPr>
        <w:t>Full Year 2023:</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$957.1 million and $958.1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26.0% and 26.1%;</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21.2%;</w:t>
            </w:r>
          </w:p>
        </w:tc>
      </w:tr>
    </w:tbl>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$6.74 and $6.77;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million diluted shares.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$6.6 million and losses on fixed asset disposals net of taxes of $0.5 million, which equates to a $0.24 impact on diluted EPS. Thus, as adjusted, Non-GAAP diluted income per share of between $6.98 and $7.01.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bidi w:val="0"/>
        <w:spacing w:before="0" w:after="0"/>
        <w:ind w:left="0" w:right="0" w:hanging="0"/>
        <w:jc w:val="left"/>
        <w:rPr/>
      </w:pPr>
      <w:r>
        <w:rPr/>
        <w: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the harm to our business, results of operations, and financial condition, and harm to our university partners resulting from epidemics, pandemics,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regulatory actions taken against our university partners that impact their businesses and that directly or indirectly reduce the service revenue we can earn under our master services agreements;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in Part I, Item 1A of our Annual Report on Form 10-K for period ended December 31, 2022, as updated in our subsequent reports filed with the Securities and Exchange Commission on Form 10Q or Form 8-K.</w:t>
      </w:r>
    </w:p>
    <w:p>
      <w:pPr>
        <w:pStyle w:val="TextBody"/>
        <w:bidi w:val="0"/>
        <w:spacing w:before="0" w:after="0"/>
        <w:ind w:left="0" w:right="0" w:hanging="0"/>
        <w:jc w:val="left"/>
        <w:rPr/>
      </w:pPr>
      <w:r>
        <w:rPr/>
        <w:t>​</w:t>
      </w:r>
    </w:p>
    <w:p>
      <w:pPr>
        <w:pStyle w:val="TextBody"/>
        <w:bidi w:val="0"/>
        <w:spacing w:lineRule="atLeast" w:line="220" w:before="0" w:after="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2023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Grand Canyon Education, Inc. will discuss its third quarter 2023 results and full year 2023 outlook during a conference call scheduled for today, November 2, 2023 at 4:30 p.m. Eastern time (ET). </w:t>
      </w:r>
    </w:p>
    <w:p>
      <w:pPr>
        <w:pStyle w:val="TextBody"/>
        <w:pBdr/>
        <w:shd w:fill="FFFFFF" w:val="clear"/>
        <w:bidi w:val="0"/>
        <w:spacing w:before="28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 </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Q3 2023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bidi w:val="0"/>
        <w:spacing w:before="28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bidi w:val="0"/>
        <w:spacing w:before="0" w:after="10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25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2023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203" w:type="dxa"/>
        <w:jc w:val="left"/>
        <w:tblInd w:w="0" w:type="dxa"/>
        <w:tblLayout w:type="fixed"/>
        <w:tblCellMar>
          <w:top w:w="0" w:type="dxa"/>
          <w:left w:w="0" w:type="dxa"/>
          <w:bottom w:w="0" w:type="dxa"/>
          <w:right w:w="0" w:type="dxa"/>
        </w:tblCellMar>
      </w:tblPr>
      <w:tblGrid>
        <w:gridCol w:w="3886"/>
        <w:gridCol w:w="32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24510" cy="175260"/>
                      <wp:effectExtent l="0" t="0" r="0" b="0"/>
                      <wp:wrapNone/>
                      <wp:docPr id="15" name="Frame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 except per share data)</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682,615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652,606</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112,136</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200,773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151,237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505,784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146,822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148,111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34,463</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113,648</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32,709</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2023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850"/>
        <w:gridCol w:w="326"/>
        <w:gridCol w:w="231"/>
        <w:gridCol w:w="1113"/>
        <w:gridCol w:w="326"/>
        <w:gridCol w:w="225"/>
        <w:gridCol w:w="1134"/>
      </w:tblGrid>
      <w:tr>
        <w:trPr/>
        <w:tc>
          <w:tcPr>
            <w:tcW w:w="6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49750" cy="175260"/>
                      <wp:effectExtent l="0" t="0" r="0" b="0"/>
                      <wp:wrapNone/>
                      <wp:docPr id="16" name="Frame16"/>
                      <a:graphic xmlns:a="http://schemas.openxmlformats.org/drawingml/2006/main">
                        <a:graphicData uri="http://schemas.microsoft.com/office/word/2010/wordprocessingShape">
                          <wps:wsp>
                            <wps:cNvSpPr txBox="1"/>
                            <wps:spPr>
                              <a:xfrm>
                                <a:off x="0" y="0"/>
                                <a:ext cx="434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6685" cy="175260"/>
                      <wp:effectExtent l="0" t="0" r="0" b="0"/>
                      <wp:wrapNone/>
                      <wp:docPr id="18" name="Frame1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06755" cy="175260"/>
                      <wp:effectExtent l="0" t="0" r="0" b="0"/>
                      <wp:wrapNone/>
                      <wp:docPr id="19" name="Frame19"/>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2875" cy="175260"/>
                      <wp:effectExtent l="0" t="0" r="0" b="0"/>
                      <wp:wrapNone/>
                      <wp:docPr id="21" name="Frame2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0090" cy="175260"/>
                      <wp:effectExtent l="0" t="0" r="0" b="0"/>
                      <wp:wrapNone/>
                      <wp:docPr id="22" name="Frame22"/>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8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326" w:type="dxa"/>
            <w:tcBorders/>
            <w:vAlign w:val="center"/>
          </w:tcPr>
          <w:p>
            <w:pPr>
              <w:pStyle w:val="TableContents"/>
              <w:bidi w:val="0"/>
              <w:spacing w:before="0" w:after="0"/>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5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pPr>
            <w:r>
              <w:rPr/>
              <w:t>​</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pPr>
            <w:r>
              <w:rPr/>
              <w:t>  </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56,871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120,409</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97,553</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61,295</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104,475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77,413</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11,368</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274,738</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273,273</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164,638</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147,504</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90,393</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72,719</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170,485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176,800</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863,156</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832,749</w:t>
            </w:r>
          </w:p>
        </w:tc>
      </w:tr>
      <w:tr>
        <w:trPr/>
        <w:tc>
          <w:tcPr>
            <w:tcW w:w="6850"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  </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pPr>
            <w:r>
              <w:rPr/>
              <w:t>  </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20,006</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25,446</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36,412</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22,473</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8,648</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99,515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99,706</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26,694</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26,195</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86,001</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68,793</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212,626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195,130</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pPr>
            <w:r>
              <w:rPr/>
              <w:t>  </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  </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September 30, 2022 and December 31, 2022</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pPr>
            <w:r>
              <w:rPr/>
              <w:t>—</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53,970 and 53,830 shares issued and 30,092 and 31,058 shares outstanding at September 30, 2023 and December 31,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23,878 and 22,772 shares of common stock at September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(1,832,686)</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(1,711,423)</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319,266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309,310</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2,164,003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2,039,727</w:t>
            </w:r>
          </w:p>
        </w:tc>
      </w:tr>
      <w:tr>
        <w:trPr/>
        <w:tc>
          <w:tcPr>
            <w:tcW w:w="68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650,530</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637,619</w:t>
            </w:r>
          </w:p>
        </w:tc>
      </w:tr>
      <w:tr>
        <w:trPr/>
        <w:tc>
          <w:tcPr>
            <w:tcW w:w="68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863,156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832,749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2023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642" w:type="dxa"/>
        <w:jc w:val="left"/>
        <w:tblInd w:w="0" w:type="dxa"/>
        <w:tblLayout w:type="fixed"/>
        <w:tblCellMar>
          <w:top w:w="0" w:type="dxa"/>
          <w:left w:w="0" w:type="dxa"/>
          <w:bottom w:w="0" w:type="dxa"/>
          <w:right w:w="0" w:type="dxa"/>
        </w:tblCellMar>
      </w:tblPr>
      <w:tblGrid>
        <w:gridCol w:w="6721"/>
        <w:gridCol w:w="326"/>
        <w:gridCol w:w="211"/>
        <w:gridCol w:w="901"/>
        <w:gridCol w:w="32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67835" cy="175260"/>
                      <wp:effectExtent l="0" t="0" r="0" b="0"/>
                      <wp:wrapNone/>
                      <wp:docPr id="23" name="Frame2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2135" cy="175260"/>
                      <wp:effectExtent l="0" t="0" r="0" b="0"/>
                      <wp:wrapNone/>
                      <wp:docPr id="26" name="Frame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0710" cy="175260"/>
                      <wp:effectExtent l="0" t="0" r="0" b="0"/>
                      <wp:wrapNone/>
                      <wp:docPr id="29" name="Frame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6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124,276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113,648</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including fixed asset impairments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from university partners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110,470</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of amortizable content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maturity of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63,373</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(95,318)</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(576,206)</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(576,206)</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decrease in cash and cash equivalents and restricted cash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(561,054)</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600,941</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39,887</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41,118</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 and Liability recognition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treasury stock repurchases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Third Quarter 2023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bidi w:val="0"/>
        <w:spacing w:before="0" w:after="0"/>
        <w:ind w:left="0" w:right="0" w:firstLine="28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pStyle w:val="TextBody"/>
        <w:bidi w:val="0"/>
        <w:spacing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p>
      <w:pPr>
        <w:pStyle w:val="TextBody"/>
        <w:pBdr/>
        <w:bidi w:val="0"/>
        <w:spacing w:before="0" w:after="0"/>
        <w:ind w:left="360" w:right="0" w:hanging="360"/>
        <w:jc w:val="left"/>
        <w:rPr/>
      </w:pPr>
      <w:r>
        <w:rPr/>
        <w:t>​</w:t>
      </w:r>
    </w:p>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p>
      <w:pPr>
        <w:pStyle w:val="TextBody"/>
        <w:pBdr/>
        <w:bidi w:val="0"/>
        <w:spacing w:before="0" w:after="0"/>
        <w:ind w:left="360" w:right="0" w:hanging="360"/>
        <w:jc w:val="left"/>
        <w:rPr/>
      </w:pPr>
      <w:r>
        <w:rPr/>
        <w:t>​</w:t>
      </w:r>
    </w:p>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p>
      <w:pPr>
        <w:pStyle w:val="TextBody"/>
        <w:bidi w:val="0"/>
        <w:spacing w:before="0" w:after="0"/>
        <w:ind w:left="0" w:right="0" w:hanging="0"/>
        <w:jc w:val="both"/>
        <w:rPr/>
      </w:pPr>
      <w:r>
        <w:rPr/>
        <w:t>​</w:t>
      </w:r>
    </w:p>
    <w:tbl>
      <w:tblPr>
        <w:tblW w:w="9168" w:type="dxa"/>
        <w:jc w:val="center"/>
        <w:tblInd w:w="0" w:type="dxa"/>
        <w:tblLayout w:type="fixed"/>
        <w:tblCellMar>
          <w:top w:w="0" w:type="dxa"/>
          <w:left w:w="0" w:type="dxa"/>
          <w:bottom w:w="0" w:type="dxa"/>
          <w:right w:w="0" w:type="dxa"/>
        </w:tblCellMar>
      </w:tblPr>
      <w:tblGrid>
        <w:gridCol w:w="3976"/>
        <w:gridCol w:w="326"/>
        <w:gridCol w:w="211"/>
        <w:gridCol w:w="691"/>
        <w:gridCol w:w="326"/>
        <w:gridCol w:w="211"/>
        <w:gridCol w:w="676"/>
        <w:gridCol w:w="326"/>
        <w:gridCol w:w="211"/>
        <w:gridCol w:w="781"/>
        <w:gridCol w:w="326"/>
        <w:gridCol w:w="211"/>
        <w:gridCol w:w="89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524760" cy="175260"/>
                      <wp:effectExtent l="0" t="0" r="0" b="0"/>
                      <wp:wrapNone/>
                      <wp:docPr id="30" name="Frame3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29260" cy="175260"/>
                      <wp:effectExtent l="0" t="0" r="0" b="0"/>
                      <wp:wrapNone/>
                      <wp:docPr id="36" name="Frame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9595" cy="175260"/>
                      <wp:effectExtent l="0" t="0" r="0" b="0"/>
                      <wp:wrapNone/>
                      <wp:docPr id="42" name="Frame42"/>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1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2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34,463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170,160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contributions in lieu of 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fixed asset disposal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litigation and regulatory reserves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189,115</w:t>
            </w:r>
          </w:p>
        </w:tc>
      </w:tr>
    </w:tbl>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three-months and nine-months ended September 30, 2023 and 2022, the table below provides reconciliations of these non-GAAP items to GAAP net income and GAAP diluted income per share, respectively:</w:t>
      </w:r>
    </w:p>
    <w:p>
      <w:pPr>
        <w:pStyle w:val="TextBody"/>
        <w:bidi w:val="0"/>
        <w:spacing w:before="0" w:after="0"/>
        <w:ind w:left="0" w:right="0" w:hanging="0"/>
        <w:jc w:val="left"/>
        <w:rPr/>
      </w:pPr>
      <w:r>
        <w:rPr/>
        <w:t>​</w:t>
      </w:r>
    </w:p>
    <w:tbl>
      <w:tblPr>
        <w:tblW w:w="8859" w:type="dxa"/>
        <w:jc w:val="center"/>
        <w:tblInd w:w="0" w:type="dxa"/>
        <w:tblLayout w:type="fixed"/>
        <w:tblCellMar>
          <w:top w:w="0" w:type="dxa"/>
          <w:left w:w="0" w:type="dxa"/>
          <w:bottom w:w="0" w:type="dxa"/>
          <w:right w:w="0" w:type="dxa"/>
        </w:tblCellMar>
      </w:tblPr>
      <w:tblGrid>
        <w:gridCol w:w="4186"/>
        <w:gridCol w:w="326"/>
        <w:gridCol w:w="211"/>
        <w:gridCol w:w="676"/>
        <w:gridCol w:w="109"/>
        <w:gridCol w:w="211"/>
        <w:gridCol w:w="676"/>
        <w:gridCol w:w="326"/>
        <w:gridCol w:w="211"/>
        <w:gridCol w:w="781"/>
        <w:gridCol w:w="109"/>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58110" cy="175260"/>
                      <wp:effectExtent l="0" t="0" r="0" b="0"/>
                      <wp:wrapNone/>
                      <wp:docPr id="43" name="Frame4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6" name="Frame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29260" cy="175260"/>
                      <wp:effectExtent l="0" t="0" r="0" b="0"/>
                      <wp:wrapNone/>
                      <wp:docPr id="49" name="Frame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5935" cy="175260"/>
                      <wp:effectExtent l="0" t="0" r="0" b="0"/>
                      <wp:wrapNone/>
                      <wp:docPr id="52"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4510" cy="175260"/>
                      <wp:effectExtent l="0" t="0" r="0" b="0"/>
                      <wp:wrapNone/>
                      <wp:docPr id="55" name="Frame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92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2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85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4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 except per share data)</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effects of adjustments(1)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119,380</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Diluted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Diluted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3.65</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effects of adjustments are based on the effective income tax rate applicable to adjusted (non-GAAP) results. </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$0.01 for each of the three months ended September 30, 2023 and 2022, and net of an income tax benefit of $0.05 and $0.04 for the nine months ended September 30, 2023 and 2022, respectively.</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$0.00 for each of the three months ended September 30, 2023 and 2022, respectively, and net of an income tax benefit of $0.00 and $0.01 for the nine months ended September 30, 2023 and 2022,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4833</Words>
  <Characters>26748</Characters>
  <CharactersWithSpaces>31857</CharactersWithSpaces>
  <Paragraphs>1515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