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40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5400040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4055745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-1788795</wp:posOffset>
            </wp:positionH>
            <wp:positionV relativeFrom="paragraph">
              <wp:posOffset>13970</wp:posOffset>
            </wp:positionV>
            <wp:extent cx="732663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663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5. Relationship of Reporting Person(s) to Issuer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Buse Staci L.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60"/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LOPE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Officer (give 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restart"/>
          </w:tcPr>
          <w:p>
            <w:pPr>
              <w:ind w:left="1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3300 W. CAMELBACK ROAD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Rich Crow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11/19/2008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155,719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(1)(2)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12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3,215,195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Enterprises,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Masters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jc w:val="center"/>
              <w:ind w:right="183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287,976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Online,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60" w:type="dxa"/>
            <w:vAlign w:val="bottom"/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C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266.95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155,719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1"/>
                <w:vertAlign w:val="superscript"/>
              </w:rPr>
              <w:t>(1)(2)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Rich Crow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Preferred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11/19/2008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Enterprises,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shares attributable to, and benefically owned by, Ms. Buse in her capacity as a member of Rich Crow Enterprises, LLC and Masters Online, LLC.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the closing of the initial public offering of the Issuer's Common Stock, the shares of Series C Preferred Stock reported in Column 5 of Table II automatically converted into the number of shares of the Issuer's Common Stock reported in Column 7 of Table II, for no additional consideration.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Lyn Bickle, Attorney-in-Fact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11/21/2008</w:t>
            </w:r>
          </w:p>
        </w:tc>
      </w:tr>
      <w:tr>
        <w:trPr>
          <w:trHeight w:val="20"/>
        </w:trPr>
        <w:tc>
          <w:tcPr>
            <w:tcW w:w="2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412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8028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2019-12-24T02:22:05Z</dcterms:created>
  <dcterms:modified xsi:type="dcterms:W3CDTF">2019-12-24T02:22:05Z</dcterms:modified>
</cp:coreProperties>
</file>