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78"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135255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197485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940" w:type="dxa"/>
            <w:vAlign w:val="bottom"/>
          </w:tcPr>
          <w:p>
            <w:pPr>
              <w:jc w:val="center"/>
              <w:ind w:right="153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000" w:type="dxa"/>
            <w:vAlign w:val="bottom"/>
          </w:tcPr>
          <w:p>
            <w:pPr>
              <w:jc w:val="center"/>
              <w:ind w:left="153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jc w:val="both"/>
        <w:ind w:left="340" w:right="21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ind w:left="340" w:right="199" w:firstLine="38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7" w:lineRule="exact"/>
        <w:rPr>
          <w:sz w:val="20"/>
          <w:szCs w:val="20"/>
          <w:color w:val="auto"/>
        </w:rPr>
      </w:pPr>
    </w:p>
    <w:p>
      <w:pPr>
        <w:ind w:left="340" w:right="23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300"/>
              <w:spacing w:after="0"/>
              <w:rPr>
                <w:sz w:val="20"/>
                <w:szCs w:val="20"/>
                <w:color w:val="auto"/>
              </w:rPr>
            </w:pPr>
            <w:r>
              <w:rPr>
                <w:rFonts w:ascii="Arial" w:cs="Arial" w:eastAsia="Arial" w:hAnsi="Arial"/>
                <w:sz w:val="18"/>
                <w:szCs w:val="18"/>
                <w:color w:val="auto"/>
              </w:rPr>
              <w:t>Accelerated filer o</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240" w:type="dxa"/>
            <w:vAlign w:val="bottom"/>
          </w:tcPr>
          <w:p>
            <w:pPr>
              <w:ind w:left="14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880" w:type="dxa"/>
            <w:vAlign w:val="bottom"/>
          </w:tcPr>
          <w:p>
            <w:pPr>
              <w:spacing w:after="0"/>
              <w:rPr>
                <w:sz w:val="24"/>
                <w:szCs w:val="24"/>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720" w:right="39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July 29, 2011, was 44,294,925.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146685</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18"/>
          </w:tcPr>
          <w:p>
            <w:pPr>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17"/>
                <w:szCs w:val="17"/>
                <w:color w:val="auto"/>
              </w:rPr>
            </w:pPr>
          </w:p>
        </w:tc>
      </w:tr>
      <w:tr>
        <w:trPr>
          <w:trHeight w:val="407"/>
        </w:trPr>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rPr>
              <w:t>GRAND CANYON EDUCATION, INC.</w:t>
            </w:r>
          </w:p>
        </w:tc>
        <w:tc>
          <w:tcPr>
            <w:tcW w:w="9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w w:val="99"/>
              </w:rPr>
              <w:t>FORM 10-Q</w:t>
            </w:r>
          </w:p>
        </w:tc>
        <w:tc>
          <w:tcPr>
            <w:tcW w:w="9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rPr>
              <w:t>INDEX</w:t>
            </w:r>
          </w:p>
        </w:tc>
        <w:tc>
          <w:tcPr>
            <w:tcW w:w="98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385"/>
        </w:trPr>
        <w:tc>
          <w:tcPr>
            <w:tcW w:w="324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40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6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864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4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2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Item 4 Controls and Procedures</w:t>
              </w:r>
            </w:hyperlink>
          </w:p>
        </w:tc>
        <w:tc>
          <w:tcPr>
            <w:tcW w:w="636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29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570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8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1 Legal Proceedings</w:t>
              </w:r>
            </w:hyperlink>
          </w:p>
        </w:tc>
        <w:tc>
          <w:tcPr>
            <w:tcW w:w="68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1A Risk Factors</w:t>
              </w:r>
            </w:hyperlink>
          </w:p>
        </w:tc>
        <w:tc>
          <w:tcPr>
            <w:tcW w:w="710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48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2 Unregistered Sales of Equity Securities and Use of Proceeds</w:t>
              </w:r>
            </w:hyperlink>
          </w:p>
        </w:tc>
        <w:tc>
          <w:tcPr>
            <w:tcW w:w="378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86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 Defaults Upon Senior Securities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4 Reserved</w:t>
              </w:r>
            </w:hyperlink>
          </w:p>
        </w:tc>
        <w:tc>
          <w:tcPr>
            <w:tcW w:w="1640" w:type="dxa"/>
            <w:vAlign w:val="bottom"/>
            <w:tcBorders>
              <w:top w:val="single" w:sz="8" w:color="0000EE"/>
            </w:tcBorders>
            <w:gridSpan w:val="7"/>
          </w:tcPr>
          <w:p>
            <w:pPr>
              <w:spacing w:after="0"/>
              <w:rPr>
                <w:sz w:val="24"/>
                <w:szCs w:val="24"/>
                <w:color w:val="auto"/>
              </w:rPr>
            </w:pPr>
          </w:p>
        </w:tc>
        <w:tc>
          <w:tcPr>
            <w:tcW w:w="58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5 Other Information</w:t>
              </w:r>
            </w:hyperlink>
          </w:p>
        </w:tc>
        <w:tc>
          <w:tcPr>
            <w:tcW w:w="68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1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Item 6 Exhibits</w:t>
              </w:r>
            </w:hyperlink>
          </w:p>
        </w:tc>
        <w:tc>
          <w:tcPr>
            <w:tcW w:w="752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SIGNATURES</w:t>
              </w:r>
            </w:hyperlink>
          </w:p>
        </w:tc>
        <w:tc>
          <w:tcPr>
            <w:tcW w:w="754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40" w:type="dxa"/>
            <w:vAlign w:val="bottom"/>
          </w:tcPr>
          <w:p>
            <w:pPr>
              <w:spacing w:after="0"/>
              <w:rPr>
                <w:sz w:val="24"/>
                <w:szCs w:val="24"/>
                <w:color w:val="auto"/>
              </w:rPr>
            </w:pPr>
          </w:p>
        </w:tc>
        <w:tc>
          <w:tcPr>
            <w:tcW w:w="8600" w:type="dxa"/>
            <w:vAlign w:val="bottom"/>
            <w:gridSpan w:val="17"/>
          </w:tcPr>
          <w:p>
            <w:pPr>
              <w:spacing w:after="0"/>
              <w:rPr>
                <w:sz w:val="20"/>
                <w:szCs w:val="20"/>
                <w:color w:val="auto"/>
              </w:rPr>
            </w:pPr>
            <w:r>
              <w:rPr>
                <w:rFonts w:ascii="Arial" w:cs="Arial" w:eastAsia="Arial" w:hAnsi="Arial"/>
                <w:sz w:val="18"/>
                <w:szCs w:val="18"/>
                <w:color w:val="0000EE"/>
              </w:rPr>
              <w:t>Exhibit 31.1</w:t>
            </w:r>
          </w:p>
        </w:tc>
        <w:tc>
          <w:tcPr>
            <w:tcW w:w="9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103,118</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97,522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204,827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186,848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91,539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78,402</w:t>
            </w: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5"/>
              </w:rPr>
              <w:t>Selling and promotional, including $2 and $2,628 for the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three months ended June 30, 2011 and 2010,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6"/>
              </w:rPr>
              <w:t>respectively, and $403 and $4,975 for the six months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2"/>
              </w:rPr>
              <w:t>ended June 30, 2011 and 2010, respectively, to related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parties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27,709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28,976</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57,541</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13,870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Exit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77,010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162,950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146,739</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41,877</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20,387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41,799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7,991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17,243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15,825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13,258</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23,876</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Shares used in computing net income per common</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44,658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45,724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45,122</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45,699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45,551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11"/>
          </w:tcPr>
          <w:p>
            <w:pPr>
              <w:jc w:val="center"/>
              <w:ind w:left="127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00" w:type="dxa"/>
            <w:vAlign w:val="bottom"/>
            <w:gridSpan w:val="11"/>
          </w:tcPr>
          <w:p>
            <w:pPr>
              <w:jc w:val="center"/>
              <w:ind w:left="1290"/>
              <w:spacing w:after="0"/>
              <w:rPr>
                <w:sz w:val="20"/>
                <w:szCs w:val="20"/>
                <w:color w:val="auto"/>
              </w:rPr>
            </w:pPr>
            <w:r>
              <w:rPr>
                <w:rFonts w:ascii="Arial" w:cs="Arial" w:eastAsia="Arial" w:hAnsi="Arial"/>
                <w:sz w:val="18"/>
                <w:szCs w:val="18"/>
                <w:b w:val="1"/>
                <w:bCs w:val="1"/>
                <w:color w:val="auto"/>
                <w:w w:val="88"/>
              </w:rPr>
              <w:t>Consolidated Statements of Comprehensive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13,258</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losses on hedging derivatives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Unrealized losses on available for sale securities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Realized gains on available for sale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12,189</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24,555</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rPr>
              <w:t>GRAND CANYON EDUCATION, INC.</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jc w:val="center"/>
              <w:ind w:left="165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par value)</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14,652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33,637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$18,103 and $14,961 at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June 30, 2011 and December 31, 2010, respectively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32,120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289,943</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vMerge w:val="restart"/>
          </w:tcPr>
          <w:p>
            <w:pPr>
              <w:jc w:val="center"/>
              <w:ind w:left="165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27,480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litigation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exit costs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Student deposits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46,778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20,769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w w:val="91"/>
              </w:rPr>
              <w:t>Preferred stock, $0.01 par value, 10,000 shares authorized; 0 shares issued and outstanding at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June 30, 2011 and December 31, 2010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45,865 and 45,811 shares issued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and 44,258 and 45,761 shares outstanding at June 30, 2011 and December 31, 2010,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Treasury stock, at cost, 1,607 and 50 shares of common stock at June 30, 2011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December 31, 2010, respectively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(23,151)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59,980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142,659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289,943</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11"/>
          </w:tcPr>
          <w:p>
            <w:pPr>
              <w:jc w:val="center"/>
              <w:ind w:left="290"/>
              <w:spacing w:after="0"/>
              <w:rPr>
                <w:sz w:val="20"/>
                <w:szCs w:val="20"/>
                <w:color w:val="auto"/>
              </w:rPr>
            </w:pPr>
            <w:r>
              <w:rPr>
                <w:rFonts w:ascii="Arial" w:cs="Arial" w:eastAsia="Arial" w:hAnsi="Arial"/>
                <w:sz w:val="18"/>
                <w:szCs w:val="18"/>
                <w:b w:val="1"/>
                <w:bCs w:val="1"/>
                <w:color w:val="auto"/>
              </w:rPr>
              <w:t>GRAND CANYON EDUCATION, INC.</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12"/>
          </w:tcPr>
          <w:p>
            <w:pPr>
              <w:jc w:val="center"/>
              <w:spacing w:after="0"/>
              <w:rPr>
                <w:sz w:val="20"/>
                <w:szCs w:val="20"/>
                <w:color w:val="auto"/>
              </w:rPr>
            </w:pPr>
            <w:r>
              <w:rPr>
                <w:rFonts w:ascii="Arial" w:cs="Arial" w:eastAsia="Arial" w:hAnsi="Arial"/>
                <w:sz w:val="18"/>
                <w:szCs w:val="18"/>
                <w:b w:val="1"/>
                <w:bCs w:val="1"/>
                <w:color w:val="auto"/>
                <w:w w:val="89"/>
              </w:rPr>
              <w:t>Consolidated Statement of Stockholders’ Equity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gridSpan w:val="6"/>
            <w:vMerge w:val="restart"/>
          </w:tcPr>
          <w:p>
            <w:pPr>
              <w:ind w:left="140"/>
              <w:spacing w:after="0"/>
              <w:rPr>
                <w:sz w:val="20"/>
                <w:szCs w:val="20"/>
                <w:color w:val="auto"/>
              </w:rPr>
            </w:pPr>
            <w:r>
              <w:rPr>
                <w:rFonts w:ascii="Arial" w:cs="Arial" w:eastAsia="Arial" w:hAnsi="Arial"/>
                <w:sz w:val="18"/>
                <w:szCs w:val="18"/>
                <w:b w:val="1"/>
                <w:bCs w:val="1"/>
                <w:color w:val="auto"/>
              </w:rPr>
              <w:t>Common Stock</w:t>
            </w:r>
          </w:p>
        </w:tc>
        <w:tc>
          <w:tcPr>
            <w:tcW w:w="1820" w:type="dxa"/>
            <w:vAlign w:val="bottom"/>
            <w:gridSpan w:val="6"/>
            <w:vMerge w:val="restart"/>
          </w:tcPr>
          <w:p>
            <w:pPr>
              <w:jc w:val="right"/>
              <w:ind w:right="320"/>
              <w:spacing w:after="0"/>
              <w:rPr>
                <w:sz w:val="20"/>
                <w:szCs w:val="20"/>
                <w:color w:val="auto"/>
              </w:rPr>
            </w:pPr>
            <w:r>
              <w:rPr>
                <w:rFonts w:ascii="Arial" w:cs="Arial" w:eastAsia="Arial" w:hAnsi="Arial"/>
                <w:sz w:val="18"/>
                <w:szCs w:val="18"/>
                <w:b w:val="1"/>
                <w:bCs w:val="1"/>
                <w:color w:val="auto"/>
              </w:rPr>
              <w:t>Treasury Stock</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320" w:type="dxa"/>
            <w:vAlign w:val="bottom"/>
          </w:tcPr>
          <w:p>
            <w:pPr>
              <w:spacing w:after="0"/>
              <w:rPr>
                <w:sz w:val="19"/>
                <w:szCs w:val="19"/>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gridSpan w:val="6"/>
            <w:vMerge w:val="continue"/>
          </w:tcPr>
          <w:p>
            <w:pPr>
              <w:spacing w:after="0"/>
              <w:rPr>
                <w:sz w:val="19"/>
                <w:szCs w:val="19"/>
                <w:color w:val="auto"/>
              </w:rPr>
            </w:pPr>
          </w:p>
        </w:tc>
        <w:tc>
          <w:tcPr>
            <w:tcW w:w="182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86"/>
              </w:rPr>
              <w:t>Shares</w:t>
            </w:r>
          </w:p>
        </w:tc>
        <w:tc>
          <w:tcPr>
            <w:tcW w:w="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0"/>
              </w:rPr>
              <w:t>Par Value</w:t>
            </w:r>
          </w:p>
        </w:tc>
        <w:tc>
          <w:tcPr>
            <w:tcW w:w="140" w:type="dxa"/>
            <w:vAlign w:val="bottom"/>
          </w:tcPr>
          <w:p>
            <w:pPr>
              <w:spacing w:after="0"/>
              <w:rPr>
                <w:sz w:val="18"/>
                <w:szCs w:val="18"/>
                <w:color w:val="auto"/>
              </w:rPr>
            </w:pPr>
          </w:p>
        </w:tc>
        <w:tc>
          <w:tcPr>
            <w:tcW w:w="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Stated Value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320" w:type="dxa"/>
            <w:vAlign w:val="bottom"/>
          </w:tcPr>
          <w:p>
            <w:pPr>
              <w:spacing w:after="0"/>
              <w:rPr>
                <w:sz w:val="18"/>
                <w:szCs w:val="18"/>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Earnings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0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8"/>
              </w:rPr>
              <w:t>Balance at December 31,</w:t>
            </w: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0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45,811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77,449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59,980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$136,660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24,556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loss on</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hedging derivative, net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taxes of $0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purchased</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for treasury</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(22,369)</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(22,369)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20" w:type="dxa"/>
            <w:vAlign w:val="bottom"/>
            <w:gridSpan w:val="2"/>
          </w:tcPr>
          <w:p>
            <w:pPr>
              <w:spacing w:after="0" w:line="201" w:lineRule="exact"/>
              <w:rPr>
                <w:sz w:val="20"/>
                <w:szCs w:val="20"/>
                <w:color w:val="auto"/>
              </w:rPr>
            </w:pPr>
            <w:r>
              <w:rPr>
                <w:rFonts w:ascii="Arial" w:cs="Arial" w:eastAsia="Arial" w:hAnsi="Arial"/>
                <w:sz w:val="18"/>
                <w:szCs w:val="18"/>
                <w:color w:val="auto"/>
              </w:rPr>
              <w:t>Excess tax benefits from</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share-based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Share-based compensation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w w:val="97"/>
              </w:rPr>
              <w:t>Balance at June 30, 2011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45,865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81,261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84,536</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24,556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3,130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7,826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Non-capitalizable system conversion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Litigation settlement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(5,200)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2,881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4,996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liabilities and employee related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 receivable/payable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2,295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6,755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Student deposits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36,026</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(38,276)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(31,283)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(49,254)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shares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(23,728)</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33,637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for income taxes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11,793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6,791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Shortfall tax expense from share-based compensation</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Grand Canyon Education, Inc. ( together with its subsidiaries, the “University”) is a regionally accredited provider of postsecondary education services focused on offering graduate and undergraduate degree programs in its core disciplines of education, business, healthcare, and liberal arts. The University offers courses online, at its approximately 110 acre traditional ground campus in Phoenix, Arizona and onsite at the facilities of employers. The University’s wholly-owned subsidiaries are currently dormant subsidiaries. The University is accredited by The Higher Learning Commission of the North Central Association of Colleges and Schools.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consolidated financial statements include the accounts of Grand Canyon Education, Inc. and its wholly-owned subsidiaries.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98" w:lineRule="exact"/>
        <w:rPr>
          <w:sz w:val="20"/>
          <w:szCs w:val="20"/>
          <w:color w:val="auto"/>
        </w:rPr>
      </w:pPr>
    </w:p>
    <w:p>
      <w:pPr>
        <w:ind w:left="340" w:right="199" w:firstLine="389"/>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2010.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University’s audited financial statements and footnotes included in its Annual Report on Form 10-K for the fiscal year ended December 31, 2010 from which the December 31, 2010 balance sheet information was derived.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85" w:lineRule="exact"/>
        <w:rPr>
          <w:sz w:val="20"/>
          <w:szCs w:val="20"/>
          <w:color w:val="auto"/>
        </w:rPr>
      </w:pPr>
    </w:p>
    <w:p>
      <w:pPr>
        <w:ind w:left="340" w:right="259" w:firstLine="389"/>
        <w:spacing w:after="0" w:line="288" w:lineRule="auto"/>
        <w:rPr>
          <w:sz w:val="20"/>
          <w:szCs w:val="20"/>
          <w:color w:val="auto"/>
        </w:rPr>
      </w:pPr>
      <w:r>
        <w:rPr>
          <w:rFonts w:ascii="Arial" w:cs="Arial" w:eastAsia="Arial" w:hAnsi="Arial"/>
          <w:sz w:val="16"/>
          <w:szCs w:val="16"/>
          <w:color w:val="auto"/>
        </w:rPr>
        <w:t xml:space="preserve">A significant portion of the University’s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 In addition, the University had also classified the $5,200 that it agreed to pay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that it settled in 2010 as restricted cash; this amount was paid during the second quarter of 2011 in final payment of all amounts due under the settlement agreement.</w:t>
      </w:r>
    </w:p>
    <w:p>
      <w:pPr>
        <w:spacing w:after="0" w:line="142" w:lineRule="exact"/>
        <w:rPr>
          <w:sz w:val="20"/>
          <w:szCs w:val="20"/>
          <w:color w:val="auto"/>
        </w:rPr>
      </w:pPr>
    </w:p>
    <w:p>
      <w:pPr>
        <w:ind w:left="340" w:right="539" w:firstLine="389"/>
        <w:spacing w:after="0" w:line="342" w:lineRule="auto"/>
        <w:rPr>
          <w:sz w:val="20"/>
          <w:szCs w:val="20"/>
          <w:color w:val="auto"/>
        </w:rPr>
      </w:pPr>
      <w:r>
        <w:rPr>
          <w:rFonts w:ascii="Arial" w:cs="Arial" w:eastAsia="Arial" w:hAnsi="Arial"/>
          <w:sz w:val="16"/>
          <w:szCs w:val="16"/>
          <w:color w:val="auto"/>
        </w:rPr>
        <w:t>In the fourth quarter of 2010, the counterparty to the University’s interest rate swap made a collateral call and the University posted $760 of pledged collateral as noncurrent restricted cash. The pledged collateral was reduced to $555 as of June 30, 2011.</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85" w:lineRule="exact"/>
        <w:rPr>
          <w:sz w:val="20"/>
          <w:szCs w:val="20"/>
          <w:color w:val="auto"/>
        </w:rPr>
      </w:pPr>
    </w:p>
    <w:p>
      <w:pPr>
        <w:ind w:left="340" w:right="279" w:firstLine="389"/>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219" w:firstLine="389"/>
        <w:spacing w:after="0" w:line="257" w:lineRule="auto"/>
        <w:rPr>
          <w:sz w:val="20"/>
          <w:szCs w:val="20"/>
          <w:color w:val="auto"/>
        </w:rPr>
      </w:pPr>
      <w:r>
        <w:rPr>
          <w:rFonts w:ascii="Arial" w:cs="Arial" w:eastAsia="Arial" w:hAnsi="Arial"/>
          <w:sz w:val="18"/>
          <w:szCs w:val="18"/>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48"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On June 30, 2009, the University entered into an interest rate corridor instrument and an interest rate swap to manage its 30 Day LIBOR interest exposure related to its variable rate debt, which commenced in April 2009 and matures in March 2016. The fair value of the interest rate corridor instrument as of June 30, 2011 and December 31, 2010 was $10 and $27, respectively, which is included in other assets. The fair value of the interest rate swap is a liability of $659 and $686 as of June 30, 2011 and December 31, 2010, respectively, which is included in other noncurrent liabilities. The fair values of each derivative instrument were determined using a hypothetical derivative transaction and Level 2 of the hierarchy of valuation inputs. These derivative instruments were designated as cash flow hedges of variable rate debt obligations. The adjustment of $1 and $354 in the first six months of 2011 and 2010, respectively, for the effective portion of the loss on the derivatives is included as a component of other comprehensive income, net of taxes.</w:t>
      </w:r>
    </w:p>
    <w:p>
      <w:pPr>
        <w:spacing w:after="0" w:line="141" w:lineRule="exact"/>
        <w:rPr>
          <w:sz w:val="20"/>
          <w:szCs w:val="20"/>
          <w:color w:val="auto"/>
        </w:rPr>
      </w:pPr>
    </w:p>
    <w:p>
      <w:pPr>
        <w:ind w:left="340" w:right="179" w:firstLine="389"/>
        <w:spacing w:after="0" w:line="276" w:lineRule="auto"/>
        <w:rPr>
          <w:sz w:val="20"/>
          <w:szCs w:val="20"/>
          <w:color w:val="auto"/>
        </w:rPr>
      </w:pPr>
      <w:r>
        <w:rPr>
          <w:rFonts w:ascii="Arial" w:cs="Arial" w:eastAsia="Arial" w:hAnsi="Arial"/>
          <w:sz w:val="17"/>
          <w:szCs w:val="17"/>
          <w:color w:val="auto"/>
        </w:rPr>
        <w:t>The interest rate corridor instrument hedges variable interest rate risk starting July 1, 2009 through April 30, 2014 with a notional amount of $11,055 as of June 30, 2011. The corridor instrument permits the University to hedge its interest rate risk at several thresholds; the University will pay variable interest rates based on the 30 Day LIBOR rates monthly until that index reaches 4%. If 30 Day LIBOR is equal to 4% through 6%, the University will pay 4%. If 30 Day LIBOR exceeds 6%, the University will pay actual 30 Day LIBOR less 2%. This reduces the University’s exposure to potential increases in interest rates.</w:t>
      </w:r>
    </w:p>
    <w:p>
      <w:pPr>
        <w:spacing w:after="0" w:line="146" w:lineRule="exact"/>
        <w:rPr>
          <w:sz w:val="20"/>
          <w:szCs w:val="20"/>
          <w:color w:val="auto"/>
        </w:rPr>
      </w:pPr>
    </w:p>
    <w:p>
      <w:pPr>
        <w:ind w:left="340" w:right="339" w:firstLine="389"/>
        <w:spacing w:after="0" w:line="297"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$11,055 as of June 30, 2011. The University will receive 30 Day LIBOR and pay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June 30, 2011 and December 31, 2010 in the amount of $555 and $760, respectively.</w:t>
      </w:r>
    </w:p>
    <w:p>
      <w:pPr>
        <w:spacing w:after="0" w:line="118" w:lineRule="exact"/>
        <w:rPr>
          <w:sz w:val="20"/>
          <w:szCs w:val="20"/>
          <w:color w:val="auto"/>
        </w:rPr>
      </w:pPr>
    </w:p>
    <w:p>
      <w:pPr>
        <w:jc w:val="both"/>
        <w:ind w:left="340" w:right="339" w:firstLine="389"/>
        <w:spacing w:after="0" w:line="302" w:lineRule="auto"/>
        <w:rPr>
          <w:sz w:val="20"/>
          <w:szCs w:val="20"/>
          <w:color w:val="auto"/>
        </w:rPr>
      </w:pPr>
      <w:r>
        <w:rPr>
          <w:rFonts w:ascii="Arial" w:cs="Arial" w:eastAsia="Arial" w:hAnsi="Arial"/>
          <w:sz w:val="16"/>
          <w:szCs w:val="16"/>
          <w:color w:val="auto"/>
        </w:rPr>
        <w:t>As of June 30, 2011 no derivative ineffectiveness was identified. Any ineffectiveness in the University’s derivative instruments designated as hedges would be reported in interest expense in the income statement. For the six months ended June 30, 2011 $11 of credit risk was recorded in interest expense on the derivatives. At June 30, 2011, the University is not expected to reclassify gains or losses on derivative instruments from accumulated other comprehensive (loss) income into earnings during the next 12 months.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As of June 30, 2011,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340" w:right="159" w:firstLine="389"/>
        <w:spacing w:after="0" w:line="286"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110 acre traditional campus in Phoenix, Arizona, and onsite at the facilities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six months ended June 30, 2011 and 2010, the University’s revenue was reduced by approximately $34,939 and $25,043,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on a pro-rata basis over the applicable period of instruction. Since the University recognizes revenue pro-rata over the applicable period of instruction and because, under its institutional refund policy, the amount subject to refund is never greater than the amount of the revenue that has been deferred, under the University’s accounting policies revenue is not recognized with respect to amounts that could potentially be refunded. The University’s change in April 2010 to a non-term borrower-based institution from a term based institution for federal student financial aid funding purposes does not have any impact on the timing and recognition of revenues.</w:t>
      </w:r>
    </w:p>
    <w:p>
      <w:pPr>
        <w:sectPr>
          <w:pgSz w:w="11900" w:h="16838" w:orient="portrait"/>
          <w:cols w:equalWidth="0" w:num="1">
            <w:col w:w="10219"/>
          </w:cols>
          <w:pgMar w:left="240" w:top="419" w:right="1440" w:bottom="1057"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57"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Statement Presentation</w:t>
      </w:r>
    </w:p>
    <w:p>
      <w:pPr>
        <w:spacing w:after="0" w:line="185" w:lineRule="exact"/>
        <w:rPr>
          <w:sz w:val="20"/>
          <w:szCs w:val="20"/>
          <w:color w:val="auto"/>
        </w:rPr>
      </w:pPr>
    </w:p>
    <w:p>
      <w:pPr>
        <w:ind w:left="340" w:right="179" w:firstLine="389"/>
        <w:spacing w:after="0" w:line="293" w:lineRule="auto"/>
        <w:rPr>
          <w:sz w:val="20"/>
          <w:szCs w:val="20"/>
          <w:color w:val="auto"/>
        </w:rPr>
      </w:pPr>
      <w:r>
        <w:rPr>
          <w:rFonts w:ascii="Arial" w:cs="Arial" w:eastAsia="Arial" w:hAnsi="Arial"/>
          <w:sz w:val="16"/>
          <w:szCs w:val="16"/>
          <w:color w:val="auto"/>
        </w:rPr>
        <w:t>In the first quarter of 2011, the University made changes in its presentation of costs and expenses and reclassified prior periods to conform to the current presentation. Previously, the University reported bad debt expense as a general and administrative expense and royalty to former owner on a separate line item in the income statement. Both bad debt expense and royalty to former owner are now included in instructional costs and services. The University believes that these changes provide greater comparability to other institutions in its industry sector. There were no changes to total costs and expenses as a result of these reclassifications. Below are descriptions of the nature of the costs and expenses included in the University’s operating expense categories.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98" w:lineRule="exact"/>
        <w:rPr>
          <w:sz w:val="20"/>
          <w:szCs w:val="20"/>
          <w:color w:val="auto"/>
        </w:rPr>
      </w:pPr>
    </w:p>
    <w:p>
      <w:pPr>
        <w:ind w:left="340" w:right="179" w:firstLine="389"/>
        <w:spacing w:after="0" w:line="273" w:lineRule="auto"/>
        <w:rPr>
          <w:sz w:val="20"/>
          <w:szCs w:val="20"/>
          <w:color w:val="auto"/>
        </w:rPr>
      </w:pPr>
      <w:r>
        <w:rPr>
          <w:rFonts w:ascii="Arial" w:cs="Arial" w:eastAsia="Arial" w:hAnsi="Arial"/>
          <w:sz w:val="17"/>
          <w:szCs w:val="17"/>
          <w:color w:val="auto"/>
        </w:rPr>
        <w:t>Instructional costs and services expenses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85" w:lineRule="exact"/>
        <w:rPr>
          <w:sz w:val="20"/>
          <w:szCs w:val="20"/>
          <w:color w:val="auto"/>
        </w:rPr>
      </w:pPr>
    </w:p>
    <w:p>
      <w:pPr>
        <w:ind w:left="340" w:right="499" w:firstLine="389"/>
        <w:spacing w:after="0" w:line="257"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University’s facilities in Arizona. Selling and promotional costs are expensed as incurred.</w:t>
      </w:r>
    </w:p>
    <w:p>
      <w:pPr>
        <w:spacing w:after="0" w:line="161"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Through December 2010, the University was a party to a revenue sharing arrangement (the Collaboration Agreement) with Mind Streams, L.L.C. (Mind Streams), a related party pursuant to which it paid a percentage of the net revenue that it actually received from applicants recruited by Mind Streams that matriculated at Grand Canyon University. Mind Streams bore all costs associated with the recruitment of these applicants.</w:t>
      </w:r>
    </w:p>
    <w:p>
      <w:pPr>
        <w:spacing w:after="0" w:line="146" w:lineRule="exact"/>
        <w:rPr>
          <w:sz w:val="20"/>
          <w:szCs w:val="20"/>
          <w:color w:val="auto"/>
        </w:rPr>
      </w:pPr>
    </w:p>
    <w:p>
      <w:pPr>
        <w:ind w:left="340" w:right="259" w:firstLine="389"/>
        <w:spacing w:after="0" w:line="286" w:lineRule="auto"/>
        <w:rPr>
          <w:sz w:val="20"/>
          <w:szCs w:val="20"/>
          <w:color w:val="auto"/>
        </w:rPr>
      </w:pPr>
      <w:r>
        <w:rPr>
          <w:rFonts w:ascii="Arial" w:cs="Arial" w:eastAsia="Arial" w:hAnsi="Arial"/>
          <w:sz w:val="16"/>
          <w:szCs w:val="16"/>
          <w:color w:val="auto"/>
        </w:rPr>
        <w:t>As a result of new rules adopted by the U.S. Department of Education in 2010 and effective July 1, 2011, the University determined that revenue sharing arrangements like the Collaboration Agreement, and the manner in which it paid amounts under the Collaboration Agreement, would most likely no longer be permitted. Accordingly, the University and Mind Streams entered into an agreement, dated December 30, 2010, pursuant to which the University agreed to pay Mind Streams an amount equal to (a) $8,500, plus (b) Mind Streams’ applicable share of any net revenue actually received by the University on or before February 28, 2011 with respect to any students recruited by Mind Streams that commenced University courses prior to November 1, 2010. In return, Mind Streams agreed to (i) accept such amounts in full and complete satisfaction of all amounts owed by the University to Mind Streams under the Collaboration Agreement, and (ii) transfer to the University a proprietary database of potential student leads. A payment of $8,500 was made in January 2011 in conjunction with this agreement, which was expensed in 2010. Additionally in 2010, Gail Richardson, the father of Brent D. Richardson, the University’s Executive Chairman, and Christopher C. Richardson, the University’s General Counsel and a director, formed a new entity, Lifetime Learning, for the purpose of generating and selling leads to the University and other entities in the education sector. For the six months ended June 30, 2011 and 2010, the University expensed approximately $403 and $4,975, respectively, pursuant to these arrangements, exclusive of the settlement arrangement discussed above. As of June 30, 2011 and December 31, 2010, $67 and $9,367, respectively, were due to these related parties.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Costs</w:t>
      </w:r>
    </w:p>
    <w:p>
      <w:pPr>
        <w:spacing w:after="0" w:line="185" w:lineRule="exact"/>
        <w:rPr>
          <w:sz w:val="20"/>
          <w:szCs w:val="20"/>
          <w:color w:val="auto"/>
        </w:rPr>
      </w:pPr>
    </w:p>
    <w:p>
      <w:pPr>
        <w:ind w:left="340" w:right="259" w:firstLine="389"/>
        <w:spacing w:after="0" w:line="257" w:lineRule="auto"/>
        <w:rPr>
          <w:sz w:val="20"/>
          <w:szCs w:val="20"/>
          <w:color w:val="auto"/>
        </w:rPr>
      </w:pPr>
      <w:r>
        <w:rPr>
          <w:rFonts w:ascii="Arial" w:cs="Arial" w:eastAsia="Arial" w:hAnsi="Arial"/>
          <w:sz w:val="18"/>
          <w:szCs w:val="18"/>
          <w:color w:val="auto"/>
        </w:rPr>
        <w:t>In November 2009, the University finalized a plan to centralize its student services operations in Arizona and, as a result, closed its student services facility in Utah. The exit costs incurred in connection with this decision have been expensed and are presented separately on the income statement. The costs incurred included severance payments; relocation expenses; future lease payments, net of estimated sublease rentals; and the write off of leasehold improvements associated with this leased space. The following is a summary of the University’s exit activities: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Accrued Exit</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Accrued</w:t>
            </w:r>
          </w:p>
        </w:tc>
      </w:tr>
      <w:tr>
        <w:trPr>
          <w:trHeight w:val="216"/>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Costs at</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89"/>
              </w:rPr>
              <w:t>Exit Costs at</w:t>
            </w:r>
          </w:p>
        </w:tc>
      </w:tr>
      <w:tr>
        <w:trPr>
          <w:trHeight w:val="216"/>
        </w:trPr>
        <w:tc>
          <w:tcPr>
            <w:tcW w:w="4560" w:type="dxa"/>
            <w:vAlign w:val="bottom"/>
          </w:tcPr>
          <w:p>
            <w:pPr>
              <w:spacing w:after="0"/>
              <w:rPr>
                <w:sz w:val="18"/>
                <w:szCs w:val="18"/>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6"/>
              </w:rPr>
              <w:t>Payments in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Exit Costs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exit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340" w:right="359" w:firstLine="389"/>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left="340" w:right="379" w:firstLine="389"/>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right="839" w:firstLine="389"/>
        <w:spacing w:after="0" w:line="308" w:lineRule="auto"/>
        <w:rPr>
          <w:sz w:val="20"/>
          <w:szCs w:val="20"/>
          <w:color w:val="auto"/>
        </w:rPr>
      </w:pPr>
      <w:r>
        <w:rPr>
          <w:rFonts w:ascii="Arial" w:cs="Arial" w:eastAsia="Arial" w:hAnsi="Arial"/>
          <w:sz w:val="17"/>
          <w:szCs w:val="17"/>
          <w:color w:val="auto"/>
        </w:rPr>
        <w:t>The University has reviewed and evaluated all recent accounting pronouncements and believes there are none that could potentially have a material impact on the University’s financial condition, results of operations, or disclosures.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Net Income Per Common Share</w:t>
      </w:r>
    </w:p>
    <w:p>
      <w:pPr>
        <w:spacing w:after="0" w:line="189" w:lineRule="exact"/>
        <w:rPr>
          <w:sz w:val="20"/>
          <w:szCs w:val="20"/>
          <w:color w:val="auto"/>
        </w:rPr>
      </w:pPr>
    </w:p>
    <w:p>
      <w:pPr>
        <w:ind w:left="340" w:right="259" w:firstLine="389"/>
        <w:spacing w:after="0" w:line="257" w:lineRule="auto"/>
        <w:rPr>
          <w:sz w:val="20"/>
          <w:szCs w:val="20"/>
          <w:color w:val="auto"/>
        </w:rPr>
      </w:pPr>
      <w:r>
        <w:rPr>
          <w:rFonts w:ascii="Arial" w:cs="Arial" w:eastAsia="Arial" w:hAnsi="Arial"/>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660" w:firstLine="389"/>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7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4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580" w:type="dxa"/>
            <w:vAlign w:val="bottom"/>
          </w:tcPr>
          <w:p>
            <w:pPr>
              <w:spacing w:after="0"/>
              <w:rPr>
                <w:sz w:val="20"/>
                <w:szCs w:val="20"/>
                <w:color w:val="auto"/>
              </w:rPr>
            </w:pPr>
          </w:p>
        </w:tc>
        <w:tc>
          <w:tcPr>
            <w:tcW w:w="160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458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44,658</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45,724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45,122</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45,699</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46,557</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45,551</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46,441</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500" w:firstLine="389"/>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six months ended June 30, 2011 and 2010, approximately 2,735 and 690, respectively, of the University’s stock options outstanding were excluded from the calculation of diluted earnings per share as their inclusion would have been anti-dilutive. These options could be dilutive in the future.</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4. Valuation and Qualifying Accounts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5"/>
              </w:rPr>
              <w:t>Balance at</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880" w:type="dxa"/>
            <w:vAlign w:val="bottom"/>
          </w:tcPr>
          <w:p>
            <w:pPr>
              <w:spacing w:after="0"/>
              <w:rPr>
                <w:sz w:val="18"/>
                <w:szCs w:val="18"/>
                <w:color w:val="auto"/>
              </w:rPr>
            </w:pPr>
          </w:p>
        </w:tc>
        <w:tc>
          <w:tcPr>
            <w:tcW w:w="2040" w:type="dxa"/>
            <w:vAlign w:val="bottom"/>
            <w:gridSpan w:val="4"/>
          </w:tcPr>
          <w:p>
            <w:pPr>
              <w:ind w:left="700"/>
              <w:spacing w:after="0"/>
              <w:rPr>
                <w:sz w:val="20"/>
                <w:szCs w:val="20"/>
                <w:color w:val="auto"/>
              </w:rPr>
            </w:pPr>
            <w:r>
              <w:rPr>
                <w:rFonts w:ascii="Arial" w:cs="Arial" w:eastAsia="Arial" w:hAnsi="Arial"/>
                <w:sz w:val="18"/>
                <w:szCs w:val="18"/>
                <w:b w:val="1"/>
                <w:bCs w:val="1"/>
                <w:color w:val="auto"/>
              </w:rPr>
              <w:t>Beginning of</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Charged to</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Period</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Expense</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6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Six months ended June 30, 2011</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14,961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14,586</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(11,444)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18,103</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10,273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11,182</w:t>
            </w:r>
          </w:p>
        </w:tc>
      </w:tr>
    </w:tbl>
    <w:p>
      <w:pPr>
        <w:spacing w:after="0" w:line="40"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8"/>
                <w:szCs w:val="18"/>
                <w:color w:val="auto"/>
              </w:rPr>
              <w:t>Property and equipment consist of the following:</w:t>
            </w: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Land improvements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Computer equipment</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40,166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55,394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(31,887)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161,532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900" w:type="dxa"/>
            <w:vAlign w:val="bottom"/>
            <w:vMerge w:val="restart"/>
          </w:tcPr>
          <w:p>
            <w:pPr>
              <w:jc w:val="right"/>
              <w:ind w:right="221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left="340" w:right="579" w:firstLine="389"/>
        <w:spacing w:after="0" w:line="342" w:lineRule="auto"/>
        <w:rPr>
          <w:sz w:val="20"/>
          <w:szCs w:val="20"/>
          <w:color w:val="auto"/>
        </w:rPr>
      </w:pPr>
      <w:r>
        <w:rPr>
          <w:rFonts w:ascii="Arial" w:cs="Arial" w:eastAsia="Arial" w:hAnsi="Arial"/>
          <w:sz w:val="16"/>
          <w:szCs w:val="16"/>
          <w:color w:val="auto"/>
        </w:rPr>
        <w:t>The University leases certain land, buildings and equipment under non-cancelable operating leases expiring at various dates through 2023. Future minimum lease payments under operating leases due each year are as follows at June 30, 2011:</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5,344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5,280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13,615</w:t>
            </w:r>
          </w:p>
        </w:tc>
      </w:tr>
      <w:tr>
        <w:trPr>
          <w:trHeight w:val="27"/>
        </w:trPr>
        <w:tc>
          <w:tcPr>
            <w:tcW w:w="8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36,739</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379" w:firstLine="389"/>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2011 and 2010 were $3,249 and $2,327,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40" w:lineRule="exact"/>
        <w:rPr>
          <w:sz w:val="20"/>
          <w:szCs w:val="20"/>
          <w:color w:val="auto"/>
        </w:rPr>
      </w:pPr>
    </w:p>
    <w:p>
      <w:pPr>
        <w:ind w:left="340" w:right="299" w:firstLine="389"/>
        <w:spacing w:after="0" w:line="259" w:lineRule="auto"/>
        <w:rPr>
          <w:sz w:val="20"/>
          <w:szCs w:val="20"/>
          <w:color w:val="auto"/>
        </w:rPr>
      </w:pPr>
      <w:r>
        <w:rPr>
          <w:rFonts w:ascii="Arial" w:cs="Arial" w:eastAsia="Arial" w:hAnsi="Arial"/>
          <w:sz w:val="18"/>
          <w:szCs w:val="18"/>
          <w:color w:val="auto"/>
        </w:rPr>
        <w:t xml:space="preserve">In connection with the settlement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that had been filed against the University in August 2007 in the United States District Court for the District of Arizona (the “Court”), which settlement was approved by the Court in August 2010, the University paid $5,200 in accordance with the settlement agreement in the second quarter of 2011. This amount had been accrued for payment since September 2009.</w:t>
      </w:r>
    </w:p>
    <w:p>
      <w:pPr>
        <w:spacing w:after="0" w:line="146" w:lineRule="exact"/>
        <w:rPr>
          <w:sz w:val="20"/>
          <w:szCs w:val="20"/>
          <w:color w:val="auto"/>
        </w:rPr>
      </w:pPr>
    </w:p>
    <w:p>
      <w:pPr>
        <w:jc w:val="both"/>
        <w:ind w:left="340" w:right="579" w:firstLine="389"/>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98" w:lineRule="exact"/>
        <w:rPr>
          <w:sz w:val="20"/>
          <w:szCs w:val="20"/>
          <w:color w:val="auto"/>
        </w:rPr>
      </w:pPr>
    </w:p>
    <w:p>
      <w:pPr>
        <w:jc w:val="both"/>
        <w:ind w:left="340" w:right="599" w:firstLine="389"/>
        <w:spacing w:after="0" w:line="31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At June 30, 2011 and December 31, 2010, the University had reserved approximately $83 and $92, respectively, for tax matters where its ultimate exposure is considered probable and the potential loss can be reasonably estimated.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ind w:left="340" w:right="639" w:firstLine="389"/>
        <w:spacing w:after="0" w:line="342" w:lineRule="auto"/>
        <w:rPr>
          <w:sz w:val="20"/>
          <w:szCs w:val="20"/>
          <w:color w:val="auto"/>
        </w:rPr>
      </w:pPr>
      <w:r>
        <w:rPr>
          <w:rFonts w:ascii="Arial" w:cs="Arial" w:eastAsia="Arial" w:hAnsi="Arial"/>
          <w:sz w:val="16"/>
          <w:szCs w:val="16"/>
          <w:color w:val="auto"/>
        </w:rPr>
        <w:t>The University’s uncertain tax positions are related to tax years that remain subject to examination by tax authorities. As of June 30, 2011, the earliest tax year still subject to examination for federal and state purposes is 2007 and 2005, respectively.</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Share-Based Compensation</w:t>
      </w:r>
    </w:p>
    <w:p>
      <w:pPr>
        <w:spacing w:after="0" w:line="189" w:lineRule="exact"/>
        <w:rPr>
          <w:sz w:val="20"/>
          <w:szCs w:val="20"/>
          <w:color w:val="auto"/>
        </w:rPr>
      </w:pPr>
    </w:p>
    <w:p>
      <w:pPr>
        <w:ind w:left="340" w:right="199" w:firstLine="389"/>
        <w:spacing w:after="0" w:line="272" w:lineRule="auto"/>
        <w:rPr>
          <w:sz w:val="20"/>
          <w:szCs w:val="20"/>
          <w:color w:val="auto"/>
        </w:rPr>
      </w:pPr>
      <w:r>
        <w:rPr>
          <w:rFonts w:ascii="Arial" w:cs="Arial" w:eastAsia="Arial" w:hAnsi="Arial"/>
          <w:sz w:val="17"/>
          <w:szCs w:val="17"/>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increased by 2.5% of the number of shares of common stock issued and outstanding on the previous December 31, raising the total number of shares of common stock authorized for issuance under the Incentive Plan to 7,622 shares. Although the ESPP has not yet been implemented, a total of 1,050 shares of the University’s common stock has been authorized for sale under the ESPP.</w:t>
      </w:r>
    </w:p>
    <w:p>
      <w:pPr>
        <w:spacing w:after="0" w:line="137"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2010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Summary of Stock 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 per</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Share</w:t>
            </w:r>
          </w:p>
        </w:tc>
        <w:tc>
          <w:tcPr>
            <w:tcW w:w="3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(Years)</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14.24</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18"/>
                <w:szCs w:val="18"/>
                <w:color w:val="auto"/>
              </w:rPr>
              <w:t>15.34</w:t>
            </w: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17.31</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14.48</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June 30, 2011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4"/>
              </w:rPr>
              <w:t>13.06</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June 30, 2011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right="339" w:hanging="388"/>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June 30, 2011 ($14.18) in excess of the exercise price multiplied by the number of options outstanding or exercisable.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85" w:lineRule="exact"/>
        <w:rPr>
          <w:sz w:val="20"/>
          <w:szCs w:val="20"/>
          <w:color w:val="auto"/>
        </w:rPr>
      </w:pPr>
    </w:p>
    <w:p>
      <w:pPr>
        <w:ind w:left="340" w:right="859" w:firstLine="389"/>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2011 and 2010 related to restricted stock and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net of tax</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Regulatory</w:t>
      </w:r>
    </w:p>
    <w:p>
      <w:pPr>
        <w:spacing w:after="0" w:line="202"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99" w:firstLine="389"/>
        <w:spacing w:after="0" w:line="285"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 submitted its application for recertification in March 2008 in anticipation of the expiration of its provisional certification on June 30, 2008. The Department of Education did not make a decision on the University’s recertification application by June 30, 2008, and therefore the University’s participation in the Title IV programs had been automatically extended thereafter on a month-to-month basis pending the Department of Education’s decision. While this decision remained pending, on January 12, 2011, the University disclosed the termination of certain voting agreements that had the effect of triggering a change in control under Department of Education regulations because it caused the University’s largest stockholder group to own and control less than 25% of the University’s outstanding voting stock. On April 8, 2011, following the completion of the Department of Education’s review of the information that the University provided in connection with the termination of the voting agreements, the Department of Education notified the University that it had approved its application for a change of ownership and issued to the University a new, provisional program participation agreement to participate in the Title IV programs. While this certification is provisional, it did remove the University from month-to-month status, provides for the University’s continued participation in Title IV programs through December 31, 2013, and did not impose any conditions (such as any letter of credit requirement) or other restrictions on the University during the provisional period other than the standard restrictions applicable to a provisional certification. In accordance with the terms of the provisional certification, the University may apply for recertification on a full basis by submitting a complete application by no later than September 30, 2013.</w:t>
      </w:r>
    </w:p>
    <w:p>
      <w:pPr>
        <w:spacing w:after="0" w:line="128" w:lineRule="exact"/>
        <w:rPr>
          <w:sz w:val="20"/>
          <w:szCs w:val="20"/>
          <w:color w:val="auto"/>
        </w:rPr>
      </w:pPr>
    </w:p>
    <w:p>
      <w:pPr>
        <w:ind w:left="340" w:right="359" w:firstLine="389"/>
        <w:spacing w:after="0" w:line="273" w:lineRule="auto"/>
        <w:rPr>
          <w:sz w:val="20"/>
          <w:szCs w:val="20"/>
          <w:color w:val="auto"/>
        </w:rPr>
      </w:pPr>
      <w:r>
        <w:rPr>
          <w:rFonts w:ascii="Arial" w:cs="Arial" w:eastAsia="Arial" w:hAnsi="Arial"/>
          <w:sz w:val="17"/>
          <w:szCs w:val="17"/>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38" w:lineRule="exact"/>
        <w:rPr>
          <w:sz w:val="20"/>
          <w:szCs w:val="20"/>
          <w:color w:val="auto"/>
        </w:rPr>
      </w:pPr>
    </w:p>
    <w:p>
      <w:pPr>
        <w:ind w:left="340" w:right="179" w:firstLine="389"/>
        <w:spacing w:after="0" w:line="269"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the University. Accordingly, at this point, the program review remains open and the University intends to continue to cooperate with the review team until the program review is completed.</w:t>
      </w:r>
    </w:p>
    <w:p>
      <w:pPr>
        <w:spacing w:after="0" w:line="153" w:lineRule="exact"/>
        <w:rPr>
          <w:sz w:val="20"/>
          <w:szCs w:val="20"/>
          <w:color w:val="auto"/>
        </w:rPr>
      </w:pPr>
    </w:p>
    <w:p>
      <w:pPr>
        <w:ind w:left="340" w:right="179" w:firstLine="389"/>
        <w:spacing w:after="0" w:line="289" w:lineRule="auto"/>
        <w:rPr>
          <w:sz w:val="20"/>
          <w:szCs w:val="20"/>
          <w:color w:val="auto"/>
        </w:rPr>
      </w:pPr>
      <w:r>
        <w:rPr>
          <w:rFonts w:ascii="Arial" w:cs="Arial" w:eastAsia="Arial" w:hAnsi="Arial"/>
          <w:sz w:val="16"/>
          <w:szCs w:val="16"/>
          <w:color w:val="auto"/>
        </w:rPr>
        <w:t>While the University has not yet received notification of the timing of its exit interview or the Department of Education’s preliminary program review report or final determination letter, following the conclusion of the site visit the University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the University has previously disclosed, while it believes that the University’s compensation policies and practices at issue in the program review were not based on success in enrolling students in violation of applicable law, the Department of Education’s regulations and interpretations of the incentive compensation law as in effect at the time did not establish clear criteria for compliance in all circumstances and some of the University’s practices in prior years were not within the scope of any of the specific “safe harbors” provided in the compensation regulations and applicable during that period.</w:t>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79" w:firstLine="389"/>
        <w:spacing w:after="0" w:line="286" w:lineRule="auto"/>
        <w:rPr>
          <w:sz w:val="20"/>
          <w:szCs w:val="20"/>
          <w:color w:val="auto"/>
        </w:rPr>
      </w:pPr>
      <w:r>
        <w:rPr>
          <w:rFonts w:ascii="Arial" w:cs="Arial" w:eastAsia="Arial" w:hAnsi="Arial"/>
          <w:sz w:val="16"/>
          <w:szCs w:val="16"/>
          <w:color w:val="auto"/>
        </w:rPr>
        <w:t>The second issue is whether, during the award years under review, certain programs offered within the University’s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Subsequent to the site visit,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pacing w:after="0" w:line="128" w:lineRule="exact"/>
        <w:rPr>
          <w:sz w:val="20"/>
          <w:szCs w:val="20"/>
          <w:color w:val="auto"/>
        </w:rPr>
      </w:pPr>
    </w:p>
    <w:p>
      <w:pPr>
        <w:ind w:left="340" w:right="239" w:firstLine="389"/>
        <w:spacing w:after="0" w:line="268" w:lineRule="auto"/>
        <w:rPr>
          <w:sz w:val="20"/>
          <w:szCs w:val="20"/>
          <w:color w:val="auto"/>
        </w:rPr>
      </w:pPr>
      <w:r>
        <w:rPr>
          <w:rFonts w:ascii="Arial" w:cs="Arial" w:eastAsia="Arial" w:hAnsi="Arial"/>
          <w:sz w:val="17"/>
          <w:szCs w:val="17"/>
          <w:color w:val="auto"/>
        </w:rPr>
        <w:t>The University’s policies and procedures are planned and implemented to comply with the applicable standards and regulations under Title IV. If and to the extent the Department of Education’s final determination letter identifies any compliance issues, the University is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The University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the University, the University could be required to pay a fine, return Title IV monies previously received, or be subjected to other administrative sanctions. While the University cannot currently predict the outcome of the Department of Education review, any adverse finding could damage the University’s reputation in the industry and have a material adverse effect on the University’s business, results of operations, cash flows and financial position.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Treasury Stock</w:t>
      </w:r>
    </w:p>
    <w:p>
      <w:pPr>
        <w:spacing w:after="0" w:line="202" w:lineRule="exact"/>
        <w:rPr>
          <w:sz w:val="20"/>
          <w:szCs w:val="20"/>
          <w:color w:val="auto"/>
        </w:rPr>
      </w:pPr>
    </w:p>
    <w:p>
      <w:pPr>
        <w:ind w:left="340" w:right="159" w:firstLine="389"/>
        <w:spacing w:after="0" w:line="290" w:lineRule="auto"/>
        <w:rPr>
          <w:sz w:val="20"/>
          <w:szCs w:val="20"/>
          <w:color w:val="auto"/>
        </w:rPr>
      </w:pPr>
      <w:r>
        <w:rPr>
          <w:rFonts w:ascii="Arial" w:cs="Arial" w:eastAsia="Arial" w:hAnsi="Arial"/>
          <w:sz w:val="16"/>
          <w:szCs w:val="16"/>
          <w:color w:val="auto"/>
        </w:rPr>
        <w:t>On August 16, 2010, the University announced that its Board of Directors had authorized the University to repurchase up to $25,000 of common stock, from time to time, depending on market conditions and other considerations. The expiration date on the repurchase authorizations is September 30, 2011 and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the share repurchase plan, the University has purchased 1,607 shares of common stock shares at an aggregate cost of $23,151 which includes 1,557 shares of common stock at an aggregate cost of $22,369 during the six months ended June 30, 2011, which are recorded at cost in the accompanying consolidated balance sheets and consolidated statement of stockholders’ equity.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Loan Amendment</w:t>
      </w:r>
    </w:p>
    <w:p>
      <w:pPr>
        <w:spacing w:after="0" w:line="189" w:lineRule="exact"/>
        <w:rPr>
          <w:sz w:val="20"/>
          <w:szCs w:val="20"/>
          <w:color w:val="auto"/>
        </w:rPr>
      </w:pPr>
    </w:p>
    <w:p>
      <w:pPr>
        <w:ind w:left="340" w:right="199" w:firstLine="389"/>
        <w:spacing w:after="0" w:line="288" w:lineRule="auto"/>
        <w:rPr>
          <w:sz w:val="20"/>
          <w:szCs w:val="20"/>
          <w:color w:val="auto"/>
        </w:rPr>
      </w:pPr>
      <w:r>
        <w:rPr>
          <w:rFonts w:ascii="Arial" w:cs="Arial" w:eastAsia="Arial" w:hAnsi="Arial"/>
          <w:sz w:val="16"/>
          <w:szCs w:val="16"/>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$50,000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 No amounts are borrowed on the line of credit as of June 30, 2011.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Subsequent Events</w:t>
      </w:r>
    </w:p>
    <w:p>
      <w:pPr>
        <w:spacing w:after="0" w:line="189" w:lineRule="exact"/>
        <w:rPr>
          <w:sz w:val="20"/>
          <w:szCs w:val="20"/>
          <w:color w:val="auto"/>
        </w:rPr>
      </w:pPr>
    </w:p>
    <w:p>
      <w:pPr>
        <w:ind w:left="340" w:right="219" w:firstLine="389"/>
        <w:spacing w:after="0" w:line="257" w:lineRule="auto"/>
        <w:rPr>
          <w:sz w:val="20"/>
          <w:szCs w:val="20"/>
          <w:color w:val="auto"/>
        </w:rPr>
      </w:pPr>
      <w:r>
        <w:rPr>
          <w:rFonts w:ascii="Arial" w:cs="Arial" w:eastAsia="Arial" w:hAnsi="Arial"/>
          <w:sz w:val="18"/>
          <w:szCs w:val="18"/>
          <w:color w:val="auto"/>
        </w:rPr>
        <w:t>On July 28, 2011, the Board of Directors authorized the University to repurchase an additional $25,000 of common stock, from time to time depending on market conditions and other considerations. The expiration date of the repurchase authorizations is September 30, 2012 and repurchases occur at our discretion. Repurchases may be made in the open market or in privately negotiated transactions, pursuant to the applicable Securities and Exchange Commission rules. The amount of timing of future share repurchases, if any, will be made as market and business conditions warrant.</w:t>
      </w:r>
    </w:p>
    <w:p>
      <w:pPr>
        <w:sectPr>
          <w:pgSz w:w="11900" w:h="16838" w:orient="portrait"/>
          <w:cols w:equalWidth="0" w:num="1">
            <w:col w:w="10219"/>
          </w:cols>
          <w:pgMar w:left="240" w:top="419" w:right="1440" w:bottom="59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95"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left="340" w:right="839" w:firstLine="389"/>
        <w:spacing w:after="0" w:line="277" w:lineRule="auto"/>
        <w:rPr>
          <w:sz w:val="20"/>
          <w:szCs w:val="20"/>
          <w:color w:val="auto"/>
        </w:rPr>
      </w:pPr>
      <w:r>
        <w:rPr>
          <w:rFonts w:ascii="Arial" w:cs="Arial" w:eastAsia="Arial" w:hAnsi="Arial"/>
          <w:sz w:val="18"/>
          <w:szCs w:val="18"/>
          <w:i w:val="1"/>
          <w:iCs w:val="1"/>
          <w:color w:val="auto"/>
        </w:rPr>
        <w:t>The following discussion of our historical results of operations and our liquidity and capital resources should be read in conjunction with the financial statements and related notes that appear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239" w:firstLine="389"/>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regarding the material adverse effect that regulatory developments or other matters may have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53" w:lineRule="exact"/>
        <w:rPr>
          <w:sz w:val="20"/>
          <w:szCs w:val="20"/>
          <w:color w:val="auto"/>
        </w:rPr>
      </w:pPr>
    </w:p>
    <w:p>
      <w:pPr>
        <w:ind w:left="1480" w:right="51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0" w:lineRule="exact"/>
        <w:rPr>
          <w:rFonts w:ascii="Arial" w:cs="Arial" w:eastAsia="Arial" w:hAnsi="Arial"/>
          <w:sz w:val="18"/>
          <w:szCs w:val="18"/>
          <w:b w:val="1"/>
          <w:bCs w:val="1"/>
          <w:color w:val="auto"/>
        </w:rPr>
      </w:pPr>
    </w:p>
    <w:p>
      <w:pPr>
        <w:ind w:left="1480" w:right="419" w:hanging="378"/>
        <w:spacing w:after="0" w:line="308" w:lineRule="auto"/>
        <w:tabs>
          <w:tab w:leader="none" w:pos="14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results of the ongoing program review being conducted by the Department of Education of our compliance with Title IV program requirements, and possible fines or other administrative sanctions resulting therefrom;</w:t>
      </w:r>
    </w:p>
    <w:p>
      <w:pPr>
        <w:spacing w:after="0" w:line="119" w:lineRule="exact"/>
        <w:rPr>
          <w:rFonts w:ascii="Arial" w:cs="Arial" w:eastAsia="Arial" w:hAnsi="Arial"/>
          <w:sz w:val="17"/>
          <w:szCs w:val="17"/>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84" w:lineRule="exact"/>
        <w:rPr>
          <w:rFonts w:ascii="Arial" w:cs="Arial" w:eastAsia="Arial" w:hAnsi="Arial"/>
          <w:sz w:val="18"/>
          <w:szCs w:val="18"/>
          <w:b w:val="1"/>
          <w:bCs w:val="1"/>
          <w:color w:val="auto"/>
        </w:rPr>
      </w:pPr>
    </w:p>
    <w:p>
      <w:pPr>
        <w:ind w:left="1480" w:right="17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140" w:lineRule="exact"/>
        <w:rPr>
          <w:rFonts w:ascii="Arial" w:cs="Arial" w:eastAsia="Arial" w:hAnsi="Arial"/>
          <w:sz w:val="18"/>
          <w:szCs w:val="18"/>
          <w:b w:val="1"/>
          <w:bCs w:val="1"/>
          <w:color w:val="auto"/>
        </w:rPr>
      </w:pPr>
    </w:p>
    <w:p>
      <w:pPr>
        <w:ind w:left="1480" w:right="83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43"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98" w:lineRule="exact"/>
        <w:rPr>
          <w:rFonts w:ascii="Arial" w:cs="Arial" w:eastAsia="Arial" w:hAnsi="Arial"/>
          <w:sz w:val="18"/>
          <w:szCs w:val="18"/>
          <w:b w:val="1"/>
          <w:bCs w:val="1"/>
          <w:color w:val="auto"/>
        </w:rPr>
      </w:pPr>
    </w:p>
    <w:p>
      <w:pPr>
        <w:ind w:left="1480" w:right="65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competitive environment for marketing our programs;</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failure on our part to keep up with advances in technology that could enhance the online experience for our students;</w:t>
      </w:r>
    </w:p>
    <w:p>
      <w:pPr>
        <w:spacing w:after="0" w:line="207" w:lineRule="exact"/>
        <w:rPr>
          <w:rFonts w:ascii="Arial" w:cs="Arial" w:eastAsia="Arial" w:hAnsi="Arial"/>
          <w:sz w:val="16"/>
          <w:szCs w:val="16"/>
          <w:b w:val="1"/>
          <w:bCs w:val="1"/>
          <w:color w:val="auto"/>
        </w:rPr>
      </w:pPr>
    </w:p>
    <w:p>
      <w:pPr>
        <w:ind w:left="1480" w:right="19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140" w:lineRule="exact"/>
        <w:rPr>
          <w:rFonts w:ascii="Arial" w:cs="Arial" w:eastAsia="Arial" w:hAnsi="Arial"/>
          <w:sz w:val="18"/>
          <w:szCs w:val="18"/>
          <w:b w:val="1"/>
          <w:bCs w:val="1"/>
          <w:color w:val="auto"/>
        </w:rPr>
      </w:pPr>
    </w:p>
    <w:p>
      <w:pPr>
        <w:ind w:left="1480" w:right="21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decreases in enrollment, the payment of refunds or other negative impacts on our operating results as a result of our change from a “term-based” financial aid system to a “borrower-based, non-term” or “BBAY” financial aid system;</w:t>
      </w:r>
    </w:p>
    <w:p>
      <w:pPr>
        <w:spacing w:after="0" w:line="15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 and</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general adverse economic conditions or other developments that affect job prospects in our core disciplines.</w:t>
      </w:r>
    </w:p>
    <w:p>
      <w:pPr>
        <w:spacing w:after="0" w:line="196"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2010,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w:t>
      </w:r>
    </w:p>
    <w:p>
      <w:pPr>
        <w:sectPr>
          <w:pgSz w:w="11900" w:h="16838" w:orient="portrait"/>
          <w:cols w:equalWidth="0" w:num="1">
            <w:col w:w="10219"/>
          </w:cols>
          <w:pgMar w:left="240" w:top="419" w:right="1440" w:bottom="0" w:gutter="0" w:footer="0" w:header="0"/>
        </w:sectPr>
      </w:pPr>
    </w:p>
    <w:bookmarkStart w:id="18" w:name="page19"/>
    <w:bookmarkEnd w:id="18"/>
    <w:p>
      <w:pPr>
        <w:ind w:right="359"/>
        <w:spacing w:after="0" w:line="342" w:lineRule="auto"/>
        <w:rPr>
          <w:sz w:val="20"/>
          <w:szCs w:val="20"/>
          <w:color w:val="auto"/>
        </w:rPr>
      </w:pPr>
      <w:r>
        <w:rPr>
          <w:rFonts w:ascii="Arial" w:cs="Arial" w:eastAsia="Arial" w:hAnsi="Arial"/>
          <w:sz w:val="16"/>
          <w:szCs w:val="16"/>
          <w:color w:val="auto"/>
        </w:rPr>
        <w:t>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519" w:firstLine="389"/>
        <w:spacing w:after="0" w:line="312"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at our approximately 110 acre traditional campus in Phoenix, Arizona and onsite at the facilities of employers.</w:t>
      </w:r>
    </w:p>
    <w:p>
      <w:pPr>
        <w:spacing w:after="0" w:line="106" w:lineRule="exact"/>
        <w:rPr>
          <w:sz w:val="20"/>
          <w:szCs w:val="20"/>
          <w:color w:val="auto"/>
        </w:rPr>
      </w:pPr>
    </w:p>
    <w:p>
      <w:pPr>
        <w:ind w:left="340" w:right="219" w:firstLine="389"/>
        <w:spacing w:after="0" w:line="288" w:lineRule="auto"/>
        <w:rPr>
          <w:sz w:val="20"/>
          <w:szCs w:val="20"/>
          <w:color w:val="auto"/>
        </w:rPr>
      </w:pPr>
      <w:r>
        <w:rPr>
          <w:rFonts w:ascii="Arial" w:cs="Arial" w:eastAsia="Arial" w:hAnsi="Arial"/>
          <w:sz w:val="16"/>
          <w:szCs w:val="16"/>
          <w:color w:val="auto"/>
        </w:rPr>
        <w:t>At June 30, 2011, we had approximately 39,500 students, an increase of 8.9% over the approximately 36,300 students we had at June 30, 2010. At June 30, 2011, 95.9% of our students were enrolled in our online programs, and 43.6% of our online students were pursuing master’s or doctoral degrees. In addition, revenue per student increased between periods as we increased tuition prices for students in our online and professional studies programs by 0.0% to 6.5%, depending on the program, with an estimated blended rate increase of 3.2% for our 2011-12 academic year, as compared to tuition price increases for students in our online and professional studies programs of 0.0% to 5.7% for our 2010-11 academic year, depending on the program, with an estimated blended rate increase of 3.5% for the prior academic year. Tuition for our traditional ground programs had no increase for our 2011-12 or 2010-11 academic years. In addition, we experienced an increase in the number of students taking four credit courses between years. Operating income was $41.9 million for the six months ended June 30, 2011, an increase of $1.8 million over the $40.1 million in operating income for the six months ended June 30, 2010.</w:t>
      </w:r>
    </w:p>
    <w:p>
      <w:pPr>
        <w:spacing w:after="0" w:line="129"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is a summary of our student enrollment at June 30, 2011 and 2010 (which included less than 530 students pursuing non-degree certificates in each period) by degree type and by instructional delivery method: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17,205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15,916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22,320</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20,385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36,301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4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35,145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1,610</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1,156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36,301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right="499" w:hanging="388"/>
        <w:spacing w:after="0" w:line="277" w:lineRule="auto"/>
        <w:tabs>
          <w:tab w:leader="none" w:pos="720" w:val="left"/>
        </w:tabs>
        <w:numPr>
          <w:ilvl w:val="0"/>
          <w:numId w:val="6"/>
        </w:numPr>
        <w:rPr>
          <w:rFonts w:ascii="Arial" w:cs="Arial" w:eastAsia="Arial" w:hAnsi="Arial"/>
          <w:sz w:val="15"/>
          <w:szCs w:val="15"/>
          <w:color w:val="auto"/>
        </w:rPr>
      </w:pPr>
      <w:r>
        <w:rPr>
          <w:rFonts w:ascii="Arial" w:cs="Arial" w:eastAsia="Arial" w:hAnsi="Arial"/>
          <w:sz w:val="18"/>
          <w:szCs w:val="18"/>
          <w:color w:val="auto"/>
        </w:rPr>
        <w:t>Enrollment at June 30, 2011 and 2010 represents individual students who attended a course during the last two months of the calendar quarter.</w:t>
      </w:r>
    </w:p>
    <w:p>
      <w:pPr>
        <w:spacing w:after="0" w:line="21" w:lineRule="exact"/>
        <w:rPr>
          <w:rFonts w:ascii="Arial" w:cs="Arial" w:eastAsia="Arial" w:hAnsi="Arial"/>
          <w:sz w:val="15"/>
          <w:szCs w:val="15"/>
          <w:color w:val="auto"/>
        </w:rPr>
      </w:pPr>
    </w:p>
    <w:p>
      <w:pPr>
        <w:ind w:left="720" w:hanging="38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1,409 and 870 students pursuing doctoral degrees at June 30, 2011 and 2010, respectively.</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7"/>
          <w:szCs w:val="17"/>
          <w:color w:val="auto"/>
        </w:rPr>
        <w:t>As of June 30, 2011 and 2010, 43.6% and 44.1%, respectively, of our online students are pursuing graduate degrees.</w:t>
      </w:r>
    </w:p>
    <w:p>
      <w:pPr>
        <w:spacing w:after="0" w:line="88" w:lineRule="exact"/>
        <w:rPr>
          <w:rFonts w:ascii="Arial" w:cs="Arial" w:eastAsia="Arial" w:hAnsi="Arial"/>
          <w:sz w:val="14"/>
          <w:szCs w:val="14"/>
          <w:color w:val="auto"/>
        </w:rPr>
      </w:pPr>
    </w:p>
    <w:p>
      <w:pPr>
        <w:ind w:left="720" w:hanging="38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jc w:val="both"/>
        <w:ind w:left="340" w:right="319" w:firstLine="389"/>
        <w:spacing w:after="0" w:line="255"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2010. During the six months ended June 30, 2011, there have been no significant changes in our critical accounting policies. Previously the University reported bad debt expense as a general and administrative expense and royalty to former owner on a separate line item in the income statement. Beginning in the first quarter of 2011, we have included both bad debt expense and royalty to former owner in instructional costs and services. The University believes that these changes provide greater comparability to other institutions in our industry sector.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202" w:lineRule="exact"/>
        <w:rPr>
          <w:sz w:val="20"/>
          <w:szCs w:val="20"/>
          <w:color w:val="auto"/>
        </w:rPr>
      </w:pPr>
    </w:p>
    <w:p>
      <w:pPr>
        <w:ind w:left="340" w:right="319" w:firstLine="389"/>
        <w:spacing w:after="0" w:line="257" w:lineRule="auto"/>
        <w:rPr>
          <w:sz w:val="20"/>
          <w:szCs w:val="20"/>
          <w:color w:val="auto"/>
        </w:rPr>
      </w:pPr>
      <w:r>
        <w:rPr>
          <w:rFonts w:ascii="Arial" w:cs="Arial" w:eastAsia="Arial" w:hAnsi="Arial"/>
          <w:sz w:val="18"/>
          <w:szCs w:val="18"/>
          <w:color w:val="auto"/>
        </w:rPr>
        <w:t>Our key trends, developments and challenges are disclosed in our Annual Report on Form 10-K for the fiscal year ended December 31, 2010. See Item 7, “Management’s Discussion and Analysis of Financial Condition and Results of Operations — Key Trends, Developments and Challenges” in our Annual Report on Form 10-K for our fiscal year ended December 31, 2010, which is incorporated herein by reference. During the six months ended June 30, 2011, there have been no significant changes in these trends, other than those discussed below.</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39"/>
        <w:spacing w:after="0" w:line="277" w:lineRule="auto"/>
        <w:rPr>
          <w:sz w:val="20"/>
          <w:szCs w:val="20"/>
          <w:color w:val="auto"/>
        </w:rPr>
      </w:pPr>
      <w:r>
        <w:rPr>
          <w:rFonts w:ascii="Arial" w:cs="Arial" w:eastAsia="Arial" w:hAnsi="Arial"/>
          <w:sz w:val="18"/>
          <w:szCs w:val="18"/>
          <w:color w:val="auto"/>
        </w:rPr>
        <w:t>The following developments and trends present opportunities, challenges and risks toward achieving our goal of providing attractive returns to our shareholders:</w:t>
      </w:r>
    </w:p>
    <w:p>
      <w:pPr>
        <w:spacing w:after="0" w:line="62" w:lineRule="exact"/>
        <w:rPr>
          <w:sz w:val="20"/>
          <w:szCs w:val="20"/>
          <w:color w:val="auto"/>
        </w:rPr>
      </w:pPr>
    </w:p>
    <w:p>
      <w:pPr>
        <w:ind w:left="720" w:right="179" w:hanging="388"/>
        <w:spacing w:after="0" w:line="269" w:lineRule="auto"/>
        <w:tabs>
          <w:tab w:leader="none" w:pos="72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Regulatory Environment </w:t>
      </w:r>
      <w:r>
        <w:rPr>
          <w:rFonts w:ascii="Arial" w:cs="Arial" w:eastAsia="Arial" w:hAnsi="Arial"/>
          <w:sz w:val="17"/>
          <w:szCs w:val="17"/>
          <w:color w:val="auto"/>
        </w:rPr>
        <w:t>In November 2009, the U.S. Department of Education convened two negotiated rulemaking teams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to Title IV program integrity issues and foreign school issues. The resulting program integrity rules promulgated in October 2010 and June 2011 address numerous topics. The most significant for our business are the modification of the standards relating to the payment of incentive compensation to employees involved in student recruitment and enrollment; the implementation of standards for state authorization of institutions of higher education; and the adoption of a definition of “gainful employment” for purposes of the requirement of Title IV student financial aid that a program of study offered by a proprietary institution prepare students for gainful employment in a recognized occupation. As explained more fully in Part II, Item IA,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the incentive compensation and state authorization rules are effective July 1, 2011. Also as explained in Part II, Item IA, </w:t>
      </w:r>
      <w:r>
        <w:rPr>
          <w:rFonts w:ascii="Arial" w:cs="Arial" w:eastAsia="Arial" w:hAnsi="Arial"/>
          <w:sz w:val="17"/>
          <w:szCs w:val="17"/>
          <w:i w:val="1"/>
          <w:iCs w:val="1"/>
          <w:color w:val="auto"/>
        </w:rPr>
        <w:t>Risk Factors</w:t>
      </w:r>
      <w:r>
        <w:rPr>
          <w:rFonts w:ascii="Arial" w:cs="Arial" w:eastAsia="Arial" w:hAnsi="Arial"/>
          <w:sz w:val="17"/>
          <w:szCs w:val="17"/>
          <w:color w:val="auto"/>
        </w:rPr>
        <w:t>, the gainful employment rule provisions governing disclosures to students and covering the implementation of new programs are effective July 1, 2011, and provisions relating to loan repayment and the debt-to-income ratio are effective July 1, 2012.</w:t>
      </w:r>
    </w:p>
    <w:p>
      <w:pPr>
        <w:spacing w:after="0" w:line="182" w:lineRule="exact"/>
        <w:rPr>
          <w:rFonts w:ascii="Arial" w:cs="Arial" w:eastAsia="Arial" w:hAnsi="Arial"/>
          <w:sz w:val="17"/>
          <w:szCs w:val="17"/>
          <w:b w:val="1"/>
          <w:bCs w:val="1"/>
          <w:color w:val="auto"/>
        </w:rPr>
      </w:pPr>
    </w:p>
    <w:p>
      <w:pPr>
        <w:ind w:left="720" w:right="159"/>
        <w:spacing w:after="0" w:line="290" w:lineRule="auto"/>
        <w:rPr>
          <w:rFonts w:ascii="Arial" w:cs="Arial" w:eastAsia="Arial" w:hAnsi="Arial"/>
          <w:sz w:val="17"/>
          <w:szCs w:val="17"/>
          <w:b w:val="1"/>
          <w:bCs w:val="1"/>
          <w:color w:val="auto"/>
        </w:rPr>
      </w:pPr>
      <w:r>
        <w:rPr>
          <w:rFonts w:ascii="Arial" w:cs="Arial" w:eastAsia="Arial" w:hAnsi="Arial"/>
          <w:sz w:val="16"/>
          <w:szCs w:val="16"/>
          <w:color w:val="auto"/>
        </w:rPr>
        <w:t xml:space="preserve">The program integrity rules require a large number of reporting and operational changes. We believe we are, or will be, in substantial compliance with these new reporting and disclosure requirements as of their respective effective dates. However, because of the scale and complexity of our educational programs, we may be unable to fully develop, test and implement all of the necessary modifications to our information management systems and administrative processes to maintain such compliance at all times in the future and, as a result, we may be subject to administrative or other sanctions if we are unable to comply with these reporting and disclosure requirements on a timely basis. In addition, these changes, individually or in combination, may impact our student enrollment, persistence and retention in ways that we cannot now predict and could adversely affect our business, financial condition, results of operations and cash flows. See Part II, Item IA, </w:t>
      </w:r>
      <w:r>
        <w:rPr>
          <w:rFonts w:ascii="Arial" w:cs="Arial" w:eastAsia="Arial" w:hAnsi="Arial"/>
          <w:sz w:val="16"/>
          <w:szCs w:val="16"/>
          <w:i w:val="1"/>
          <w:iCs w:val="1"/>
          <w:color w:val="auto"/>
        </w:rPr>
        <w:t>Risk Factors</w:t>
      </w:r>
      <w:r>
        <w:rPr>
          <w:rFonts w:ascii="Arial" w:cs="Arial" w:eastAsia="Arial" w:hAnsi="Arial"/>
          <w:sz w:val="16"/>
          <w:szCs w:val="16"/>
          <w:color w:val="auto"/>
        </w:rPr>
        <w:t>, for further discussion.</w:t>
      </w:r>
    </w:p>
    <w:p>
      <w:pPr>
        <w:spacing w:after="0" w:line="166" w:lineRule="exact"/>
        <w:rPr>
          <w:rFonts w:ascii="Arial" w:cs="Arial" w:eastAsia="Arial" w:hAnsi="Arial"/>
          <w:sz w:val="17"/>
          <w:szCs w:val="17"/>
          <w:b w:val="1"/>
          <w:bCs w:val="1"/>
          <w:color w:val="auto"/>
        </w:rPr>
      </w:pPr>
    </w:p>
    <w:p>
      <w:pPr>
        <w:ind w:left="720" w:right="219" w:hanging="388"/>
        <w:spacing w:after="0" w:line="255"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New Rulemaking </w:t>
      </w:r>
      <w:r>
        <w:rPr>
          <w:rFonts w:ascii="Arial" w:cs="Arial" w:eastAsia="Arial" w:hAnsi="Arial"/>
          <w:sz w:val="18"/>
          <w:szCs w:val="18"/>
          <w:color w:val="auto"/>
        </w:rPr>
        <w:t>On May 5, 2011, the Department announced its intention to establish additional negotiated rulemaking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to prepare proposed regulations under the Higher Education Act, as amended. Three public hearings were conducted in May 2011 at which interested parties suggested issues that should be considered for action by the negotiating committees. The Department also conducted roundtable discussions to inform policy in the areas of teacher preparation, college completion, and the proposed “First in the World” competition. More information can be found at http://www2.ed.gov/policy/highered/reg/hearulemaking/2011/index.html.</w:t>
      </w:r>
    </w:p>
    <w:p>
      <w:pPr>
        <w:spacing w:after="0" w:line="193" w:lineRule="exact"/>
        <w:rPr>
          <w:rFonts w:ascii="Arial" w:cs="Arial" w:eastAsia="Arial" w:hAnsi="Arial"/>
          <w:sz w:val="18"/>
          <w:szCs w:val="18"/>
          <w:b w:val="1"/>
          <w:bCs w:val="1"/>
          <w:color w:val="auto"/>
        </w:rPr>
      </w:pPr>
    </w:p>
    <w:p>
      <w:pPr>
        <w:ind w:left="720" w:right="199" w:hanging="388"/>
        <w:spacing w:after="0" w:line="288" w:lineRule="auto"/>
        <w:tabs>
          <w:tab w:leader="none" w:pos="7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U.S. Congressional Hearings. </w:t>
      </w:r>
      <w:r>
        <w:rPr>
          <w:rFonts w:ascii="Arial" w:cs="Arial" w:eastAsia="Arial" w:hAnsi="Arial"/>
          <w:sz w:val="16"/>
          <w:szCs w:val="16"/>
          <w:color w:val="auto"/>
        </w:rPr>
        <w:t>Beginning last year, there has been increased focus by members of the U.S. Congress on the role</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proprietary educational institutions play in higher education. In June 2010, the U.S. Senate Committee on Health, Education, Labor and Pensions (“HELP Committee”) held the first in a series of hearings to examine the proprietary education sector. At a subsequent hearing in August 2010, the Government Accountability Office (“GAO”) presented a report of its review of various aspects of the proprietary sector, including recruitment practices and the degree to which proprietary institutions’ revenue is composed of Title IV funding. Following the August hearing, Sen. Tom Harkin, the Chairman of the HELP Committee, requested a broad range of detailed information from 30 proprietary institutions, including Grand Canyon University. We have been and intend to continue being responsive to the requests of the HELP Committee. Sen. Harkin has held subsequent hearings, most recently on July 21, 2011, and we believe that future hearings may be held. In addition, other Congressional hearings have been or are expected to be held regarding various aspects of the education industry that may affect our business.</w:t>
      </w:r>
    </w:p>
    <w:p>
      <w:pPr>
        <w:spacing w:after="0" w:line="169" w:lineRule="exact"/>
        <w:rPr>
          <w:rFonts w:ascii="Arial" w:cs="Arial" w:eastAsia="Arial" w:hAnsi="Arial"/>
          <w:sz w:val="16"/>
          <w:szCs w:val="16"/>
          <w:b w:val="1"/>
          <w:bCs w:val="1"/>
          <w:color w:val="auto"/>
        </w:rPr>
      </w:pPr>
    </w:p>
    <w:p>
      <w:pPr>
        <w:ind w:left="720" w:right="179" w:hanging="388"/>
        <w:spacing w:after="0" w:line="268" w:lineRule="auto"/>
        <w:tabs>
          <w:tab w:leader="none" w:pos="72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Other Actions by the U.S. Congress. </w:t>
      </w:r>
      <w:r>
        <w:rPr>
          <w:rFonts w:ascii="Arial" w:cs="Arial" w:eastAsia="Arial" w:hAnsi="Arial"/>
          <w:sz w:val="17"/>
          <w:szCs w:val="17"/>
          <w:color w:val="auto"/>
        </w:rPr>
        <w:t>Political and budgetary concerns significantly affect Title IV Programs. Although the HEA</w:t>
      </w:r>
      <w:r>
        <w:rPr>
          <w:rFonts w:ascii="Arial" w:cs="Arial" w:eastAsia="Arial" w:hAnsi="Arial"/>
          <w:sz w:val="17"/>
          <w:szCs w:val="17"/>
          <w:i w:val="1"/>
          <w:iCs w:val="1"/>
          <w:color w:val="auto"/>
        </w:rPr>
        <w:t xml:space="preserve"> </w:t>
      </w:r>
      <w:r>
        <w:rPr>
          <w:rFonts w:ascii="Arial" w:cs="Arial" w:eastAsia="Arial" w:hAnsi="Arial"/>
          <w:sz w:val="17"/>
          <w:szCs w:val="17"/>
          <w:color w:val="auto"/>
        </w:rPr>
        <w:t>is not due to be reauthorized until 2013, Congress may revise that law at any time and, in so doing, increase the regulatory burden on Grand Canyon University. In addition, as the current debate over the national debt has made clear, Congress is likely to reduce funding for student financial aid programs in a number of ways, including reducing the maximum Pell Grants available to students and eliminating the interest subsidy available to undergraduate and/or graduate students. In fact, on April 15, 2011, President Obama signed the fiscal year 2011 spending bill, also known as the Continuing Resolution, which permanently eliminated year-round Pell Grant awards beginning with the 2011-2012 award year. A reduction in the maximum annual Pell Grant amount likely would result in increased student borrowing, which may adversely impact the gainful employment metrics and cohort default rates for Grand Canyon University. Any action by Congress that significantly reduces Title IV program funding or the eligibility of our institutions or students to participate in Title IV programs could have a material adverse effect on our financial condition, results of operations and cash flows. In addition to possible reductions in federal student financial aid, we believe that the availability of state-funded student financial aid will continue to decline as states deal with historic budget shortfalls. These reductions may reduce our enrollment and, to the extent that Title IV funds replace any state funding sources for our students, may adversely impact our 90/10 Rule calculation. We cannot predict the outcome of the federal or state budget negotiations.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right="219" w:hanging="388"/>
        <w:spacing w:after="0" w:line="270" w:lineRule="auto"/>
        <w:tabs>
          <w:tab w:leader="none" w:pos="72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Changes in the amount or availability of veterans’ educational benefits or Department of Defense tuition assistance programs could materially and adversely affect our business. </w:t>
      </w:r>
      <w:r>
        <w:rPr>
          <w:rFonts w:ascii="Arial" w:cs="Arial" w:eastAsia="Arial" w:hAnsi="Arial"/>
          <w:sz w:val="17"/>
          <w:szCs w:val="17"/>
          <w:color w:val="auto"/>
        </w:rPr>
        <w:t>In recent months, the U.S. Congress has increased its focus on Department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Defense tuition assistance and veterans educational benefits that are used for programs of study offered at proprietary education institutions, particularly distance education programs of study. To the extent that any laws or regulations are adopted that limit or condition the amount of educational benefits that veterans can use toward their costs of education at proprietary education institutions or in distance education programs, or that limit or condition the participation of proprietary education institutions or distance education programs in military tuition assistance programs or in Title IV Programs with respect to military tuition assistance programs, our enrollments, results of operations, financial condition and 90/10 Rule calculation could be materially and adversely affected.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income statement data as a percentage of net revenue for each of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3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29.7</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23"/>
        </w:trPr>
        <w:tc>
          <w:tcPr>
            <w:tcW w:w="4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8.2</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r>
      <w:tr>
        <w:trPr>
          <w:trHeight w:val="20"/>
        </w:trPr>
        <w:tc>
          <w:tcPr>
            <w:tcW w:w="4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June 30, 2011 Compared to Three Months Ended June 30, 2010</w:t>
      </w:r>
    </w:p>
    <w:p>
      <w:pPr>
        <w:spacing w:after="0" w:line="198" w:lineRule="exact"/>
        <w:rPr>
          <w:sz w:val="20"/>
          <w:szCs w:val="20"/>
          <w:color w:val="auto"/>
        </w:rPr>
      </w:pPr>
    </w:p>
    <w:p>
      <w:pPr>
        <w:ind w:left="340" w:right="179" w:firstLine="389"/>
        <w:spacing w:after="0" w:line="271"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quarter ended June 30, 2011 was $103.1 million, an increase of $5.6 million, or 5.7%,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revenue of $97.5 million for the quarter ended June 30, 2010. This increase was primarily due to an increase in online enrollment and, to a lesser extent, increases in the average tuition per student as a result of tuition price increases and an increase in the number of students taking four credit courses between years, partially offset by an increase in institutional scholarships and reduced revenue caused by our transition to BBAY from a term-based financial aid system. End-of-period enrollment increased to approximately 39,500,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w:t>
      </w:r>
    </w:p>
    <w:p>
      <w:pPr>
        <w:spacing w:after="0" w:line="138" w:lineRule="exact"/>
        <w:rPr>
          <w:sz w:val="20"/>
          <w:szCs w:val="20"/>
          <w:color w:val="auto"/>
        </w:rPr>
      </w:pPr>
    </w:p>
    <w:p>
      <w:pPr>
        <w:ind w:left="340" w:right="159" w:firstLine="389"/>
        <w:spacing w:after="0" w:line="285"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quarter ended June 30, 2011 were</w:t>
      </w:r>
      <w:r>
        <w:rPr>
          <w:rFonts w:ascii="Arial" w:cs="Arial" w:eastAsia="Arial" w:hAnsi="Arial"/>
          <w:sz w:val="16"/>
          <w:szCs w:val="16"/>
          <w:i w:val="1"/>
          <w:iCs w:val="1"/>
          <w:color w:val="auto"/>
        </w:rPr>
        <w:t xml:space="preserve"> </w:t>
      </w:r>
      <w:r>
        <w:rPr>
          <w:rFonts w:ascii="Arial" w:cs="Arial" w:eastAsia="Arial" w:hAnsi="Arial"/>
          <w:sz w:val="16"/>
          <w:szCs w:val="16"/>
          <w:color w:val="auto"/>
        </w:rPr>
        <w:t>$45.7 million, an increase of $4.0 million, or 9.5%, as compared to instructional costs and services expenses of $41.7 million for the quarter ended June 30, 2010. This increase was primarily due to increases in employee compensation, bad debt expense, faculty compensation, depreciation and amortization, and other instructional compensation and related expenses, of $2.6 million, $2.1 million, $1.4 million, $1.0 million, and $0.9 million, respectively, partially offset by a decrease of $4.0 million, as compared to the second quarter of 2010, in non-capitalizable system conversion costs related to our conversion to a new system in that quarter. The increase in employee compensation is primarily due to an increase in headcount (both staff and faculty) needed to provide student instruction and support services to support the increase in enrollments. This increase, however, is partially offset by the reversal of $0.7 million of amounts accrued in previous periods that were to be paid to non-enrollment employees for students they previously recruited and for which bonuses were to be paid when those students completed 24 credit hours. Bad debt expense increased to $7.6 million or 7.4% of net revenues in the second quarter of 2011 from $5.5 million or 5.6% of revenues in the second quarter of 2010 as a result of an increase in aged receivables between periods primarily due to the current economic conditions and the conversion to BBAY. Our instructional costs and services expenses as a percentage of net revenue increased by 1.5% to 44.3% for the quarter ended June 30, 2011, as compared to 42.8% for the quarter ended June 30, 2010 primarily due to increases in bad debt expense and employee compensation as a percentage of revenue. In addition, we experienced an increase in faculty compensation as a percentage of revenue as we have seen decreases in class size as the result of increasing the number of starts, increased instructional supplies due to increased licensing fees related to educational resources and increased miscellaneous costs associated with making continued improvements in curriculum development and developing new and enhanced innovative educational tools, partially offset by our ability to leverage the fixed cost structure of our campus-based facilities and ground faculty across an increasing revenue base and the non-capitalizable system costs incurred in the second quarter of 2010.</w:t>
      </w:r>
    </w:p>
    <w:p>
      <w:pPr>
        <w:sectPr>
          <w:pgSz w:w="11900" w:h="16838" w:orient="portrait"/>
          <w:cols w:equalWidth="0" w:num="1">
            <w:col w:w="10219"/>
          </w:cols>
          <w:pgMar w:left="240" w:top="419" w:right="1440" w:bottom="946"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46"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389"/>
        <w:spacing w:after="0" w:line="268" w:lineRule="auto"/>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quarter ended June 30, 2011 were $27.7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 decrease of $1.3 million, or 4.4%, as compared to selling and promotional expenses of $29.0 million for the quarter ended June 30, 2010. This decrease is primarily the result of decreases in employee compensation and advertising of $0.8 million and $0.3 million, respectively. These decreases are primarily due to changes made by the University to comply with the new employee compensation rules that went into effect July 1, 2011. Specifically during the second quarter of 2011 we reversed $1.5 million of amounts accrued in previous periods that were to be paid to enrollment employees for students they previously recruited and for which bonuses were to be paid when those students completed 24 credit hours and the termination of our revenue sharing arrangement with MindStreams, L.L.C. in December 2010. Our selling and promotional expenses as a percentage of net revenue decreased by 2.8% to 26.9% for the quarter ended June 30, 2011, from 29.7% for the quarter ended June 30, 2010. This decrease occurred due to the items discussed above and as a result of slowing the growth of our enrollment counselor hiring such that our new enrollment counselors as a percentage of total enrollment counselors is less in 2011 than in 2010.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remain flat or decrease.</w:t>
      </w:r>
    </w:p>
    <w:p>
      <w:pPr>
        <w:spacing w:after="0" w:line="156"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quarter ended June 30, 2011 were</w:t>
      </w:r>
    </w:p>
    <w:p>
      <w:pPr>
        <w:spacing w:after="0" w:line="35" w:lineRule="exact"/>
        <w:rPr>
          <w:sz w:val="20"/>
          <w:szCs w:val="20"/>
          <w:color w:val="auto"/>
        </w:rPr>
      </w:pPr>
    </w:p>
    <w:p>
      <w:pPr>
        <w:ind w:left="340" w:right="219"/>
        <w:spacing w:after="0" w:line="253" w:lineRule="auto"/>
        <w:rPr>
          <w:sz w:val="20"/>
          <w:szCs w:val="20"/>
          <w:color w:val="auto"/>
        </w:rPr>
      </w:pPr>
      <w:r>
        <w:rPr>
          <w:rFonts w:ascii="Arial" w:cs="Arial" w:eastAsia="Arial" w:hAnsi="Arial"/>
          <w:sz w:val="18"/>
          <w:szCs w:val="18"/>
          <w:color w:val="auto"/>
        </w:rPr>
        <w:t>$7.0 million, an increase of $0.8 million, or 14.0%, as compared to general and administrative expenses of $6.2 million for the quarter ended June 30, 2010. This increase was primarily due to increases in employee compensation, share based compensation, and other general and administrative expenses of $0.3 million, $0.1 million, and $0.4 million, respectively. Our general and administrative expenses as a percentage of net revenue increased by 0.5% to 6.8% for the quarter ended June 30, 2011, from 6.3% for the quarter ended June 30, 2010.</w:t>
      </w:r>
    </w:p>
    <w:p>
      <w:pPr>
        <w:spacing w:after="0" w:line="151" w:lineRule="exact"/>
        <w:rPr>
          <w:sz w:val="20"/>
          <w:szCs w:val="20"/>
          <w:color w:val="auto"/>
        </w:rPr>
      </w:pPr>
    </w:p>
    <w:p>
      <w:pPr>
        <w:ind w:left="340" w:right="579" w:firstLine="389"/>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quarter ended June 30, 2011 was $0.0 million, a decrease of $0.2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for the quarter ended June 30, 2010, as a higher amount of interest expense is capitalized in 2011 as a result of our continuing expansion of our ground infrastructure.</w:t>
      </w:r>
    </w:p>
    <w:p>
      <w:pPr>
        <w:spacing w:after="0" w:line="141" w:lineRule="exact"/>
        <w:rPr>
          <w:sz w:val="20"/>
          <w:szCs w:val="20"/>
          <w:color w:val="auto"/>
        </w:rPr>
      </w:pPr>
    </w:p>
    <w:p>
      <w:pPr>
        <w:ind w:left="340" w:right="319" w:firstLine="389"/>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quarter ended June 30, 2011 was $9.4 million, an increase of $1.4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$8.0 million for the quarter ended June 20, 2010. Our effective tax rate was 41.5% during the second quarter of 2011 compared to 39.2% during the second quarter of 2010. The increase in the effective tax rate was primarily due to certain non-recurring tax items, which had the effect of increasing our effective tax rate in the second quarter of 2011 and decreasing the effective tax rate in the second quarter of 2010. Excluding certain non-recurring tax items, our effective tax rate for the second quarter of 2011 and 2010 would have been 40.3%.</w:t>
      </w:r>
    </w:p>
    <w:p>
      <w:pPr>
        <w:spacing w:after="0" w:line="166"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quarter ended June 30, 2011 was $13.3 million, an increase of $0.9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$12.4 million for the quarter ended June 30, 2010, due to the factors discussed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June 30, 2011 Compared to Six Months Ended June 30, 2010</w:t>
      </w:r>
    </w:p>
    <w:p>
      <w:pPr>
        <w:spacing w:after="0" w:line="185" w:lineRule="exact"/>
        <w:rPr>
          <w:sz w:val="20"/>
          <w:szCs w:val="20"/>
          <w:color w:val="auto"/>
        </w:rPr>
      </w:pPr>
    </w:p>
    <w:p>
      <w:pPr>
        <w:ind w:left="340" w:right="239" w:firstLine="389"/>
        <w:spacing w:after="0" w:line="290"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2011 was $204.8 million, an increase of $18.0 million, or 9.6%,</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net revenue of $186.8 million for the six months ended June 30, 2010. This increase was primarily due to increased online enrollment and, to a lesser extent, increases in the average tuition per student as a result of tuition price increases and an increase in the number of students taking four credit courses between years, partially offset by an increase in institutional scholarships and reduced revenue caused by our transition to BBAY from a term-based financial aid system. End-of-period enrollment increased 8.9% between June 30, 2011 and 2010,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w:t>
      </w:r>
    </w:p>
    <w:p>
      <w:pPr>
        <w:spacing w:after="0" w:line="139" w:lineRule="exact"/>
        <w:rPr>
          <w:sz w:val="20"/>
          <w:szCs w:val="20"/>
          <w:color w:val="auto"/>
        </w:rPr>
      </w:pPr>
    </w:p>
    <w:p>
      <w:pPr>
        <w:ind w:left="340" w:right="199" w:firstLine="389"/>
        <w:spacing w:after="0" w:line="285"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six months ended June 30, 2011</w:t>
      </w:r>
      <w:r>
        <w:rPr>
          <w:rFonts w:ascii="Arial" w:cs="Arial" w:eastAsia="Arial" w:hAnsi="Arial"/>
          <w:sz w:val="16"/>
          <w:szCs w:val="16"/>
          <w:i w:val="1"/>
          <w:iCs w:val="1"/>
          <w:color w:val="auto"/>
        </w:rPr>
        <w:t xml:space="preserve"> </w:t>
      </w:r>
      <w:r>
        <w:rPr>
          <w:rFonts w:ascii="Arial" w:cs="Arial" w:eastAsia="Arial" w:hAnsi="Arial"/>
          <w:sz w:val="16"/>
          <w:szCs w:val="16"/>
          <w:color w:val="auto"/>
        </w:rPr>
        <w:t>were $91.5 million, an increase of $13.1 million, or 16.8%, as compared to instructional cost and services expenses of $78.4 million for the six months ended June 30, 2010. This increase was primarily due to increases in instructional compensation and related expenses, bad debt expense, faculty compensation, depreciation and amortization, and other miscellaneous instructional costs and services of $5.8 million, $4.3 million, $4.0 million, $2.1 million, and $0.9 million, respectively, partially offset by a decrease in non-capitalizable system conversion costs of $4.0 million. The increase in instructional and faculty compensation are primarily attributable to an increase in headcount (both staff and faculty) needed to provide student instruction and support services to support the increase in enrollments. This increase, however, is partially offset by the reversal of $0.7 million of amounts accrued in previous periods that were to be paid to non-enrollment employees for students they previously recruited and for which bonuses were to be paid when those students completed 24 credit hours. Bad debt expense increased to $14.6 million of 7.1% of net revenues in the six months ended June 30, 2011 from $10.3 million or 5.5% of net revenues in the six months ended June 30, 2010 as a result of an increase in aged receivables between period primarily due to the current economic conditions and the conversion to BBAY. Our instructional cost and services expenses as a percentage of net revenue increased by 2.7% to 44.7% for the six months ended June 30, 2011, as compared to 42.0% for the six months ended June 30, 2010 primarily due to increases in employee compensation and bad debt expense as a percentage of revenue. In addition, we experienced an increase in faculty compensation as a percentage of revenue as we have seen decreases in class size as the result of increasing the number of starts, increased instructional supplies due to increased licensing fees related to educational resources, and increased miscellaneous instructional costs associated with making continued improvements in curriculum development and developing new and enhanced innovative educational tools, partially offset by our ability to leverage the fixed cost structure of our campus-based facilities and ground faculty across an increasing revenue base and the non-capitalizable system costs incurred in the second quarter of 2010.</w:t>
      </w:r>
    </w:p>
    <w:p>
      <w:pPr>
        <w:sectPr>
          <w:pgSz w:w="11900" w:h="16838" w:orient="portrait"/>
          <w:cols w:equalWidth="0" w:num="1">
            <w:col w:w="10219"/>
          </w:cols>
          <w:pgMar w:left="240" w:top="419" w:right="1440" w:bottom="136"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36"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six months ended June 30, 2011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$57.5 million, an increase of $1.6 million, or 3.0%, as compared to selling and promotional expenses of $55.9 million for the six</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months ended June 30, 2010. This increase was primarily due to increases in selling and promotional employee compensation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related expenses, advertising and other selling and promotional expenses of $0.6 million, $0.2 million and $0.8 million, respectively.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increases were driven by the continued expansion in our marketing efforts, which resulted in an increase in recruitment,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marketing, and enrollment staffing. Employee compensation was lower in 2011 primarily due to changes made by the University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comply with the new employee compensation rules that went into effect July 1, 2011. Specifically during the second quarter of 2011</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reversed $1.5 million of amounts accrued in previous periods that were to be paid to enrollment employees for students they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previously recruited and for which bonuses were to be paid when those students completed 24 credit hours and the termination of our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sharing arrangement with MindStreams, L.L.C. in December 2010. Our selling and promotional expenses as a percentage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revenue decreased by 1.8% to 28.1% for the six months ended June 30, 2010, from 29.9% for the six months ended June 30, 2010.</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decrease occurred due to the items discussed above and as a result of slowing the growth of our enrollment counselor hiring such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that our new enrollment counselors as a percentage of total enrollment counselors is less in 2011 than in 2010. In this regard, we incur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 expenses in connection with hiring new enrollment counselors while these individuals undergo training, and typically do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achieve full productivity or generate enrollments from these enrollment counselors until four to six months after their dates of hire.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plan to continue to add additional enrollment counselors in the future, although the number of additional hires as a percentage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headcount is expected to remain flat or decrease.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six months ended June 30, 2011 were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$13.9 million, an increase of $1.6 million, or 13.0%, as compared to general and administrative expenses of $12.3 million for the six</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months ended June 30, 2010. This increase was primarily due to increases in employee compensation, share based compensation,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general and administrative expenses of $0.7 million, $0.3 million, and $0.6 million, respectfully. Employee compensation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increased primarily as a result of hiring to support our continued growth. Our general and administrative expenses as a percentage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revenue increased by 0.2% to 6.8% for the six months ended June 30, 2011, from 6.6% for the six months ended June 30, 2010.</w:t>
      </w:r>
    </w:p>
    <w:p>
      <w:pPr>
        <w:spacing w:after="0" w:line="193" w:lineRule="exact"/>
        <w:rPr>
          <w:sz w:val="20"/>
          <w:szCs w:val="20"/>
          <w:color w:val="auto"/>
        </w:rPr>
      </w:pPr>
    </w:p>
    <w:p>
      <w:pPr>
        <w:ind w:left="340" w:right="179" w:firstLine="389"/>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six months ended June 30, 2011 was $0.1 million, a decrease of $0.4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for the six months ended June 30, 2010, as a higher amount of interest expense is capitalized in 2011 as compared to 2010 as a result of our continuing expansion of our ground infrastructure.</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Our income tax expense for the six months ended June 30, 2011 was $17.2 million, an increase of</w:t>
      </w:r>
    </w:p>
    <w:p>
      <w:pPr>
        <w:spacing w:after="0" w:line="35" w:lineRule="exact"/>
        <w:rPr>
          <w:sz w:val="20"/>
          <w:szCs w:val="20"/>
          <w:color w:val="auto"/>
        </w:rPr>
      </w:pPr>
    </w:p>
    <w:p>
      <w:pPr>
        <w:ind w:left="340" w:right="299"/>
        <w:spacing w:after="0" w:line="252" w:lineRule="auto"/>
        <w:rPr>
          <w:sz w:val="20"/>
          <w:szCs w:val="20"/>
          <w:color w:val="auto"/>
        </w:rPr>
      </w:pPr>
      <w:r>
        <w:rPr>
          <w:rFonts w:ascii="Arial" w:cs="Arial" w:eastAsia="Arial" w:hAnsi="Arial"/>
          <w:sz w:val="18"/>
          <w:szCs w:val="18"/>
          <w:color w:val="auto"/>
        </w:rPr>
        <w:t>$1.4 million from $15.8 million for the six months ended June 30, 2010. This increase was primarily attributable to increased income before income taxes. Our effective tax rate was 41.3% during the first six months of 2011 compared to 39.9% during the first six months of 2010. The increase in the effective tax rate was primarily due to certain non-recurring tax items, which had the effect of increasing our effective tax rate in the six months ended June 30, 2011 and decreasing the effective tax rate in the six months ended June 30, 2010. Excluding certain non recurring tax items, our effective tax rate for the six months ended June 30, 2011 and 2010 would have been 40.6% and 40.3%.</w:t>
      </w:r>
    </w:p>
    <w:p>
      <w:pPr>
        <w:spacing w:after="0" w:line="167" w:lineRule="exact"/>
        <w:rPr>
          <w:sz w:val="20"/>
          <w:szCs w:val="20"/>
          <w:color w:val="auto"/>
        </w:rPr>
      </w:pPr>
    </w:p>
    <w:p>
      <w:pPr>
        <w:ind w:left="340" w:right="259" w:firstLine="389"/>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2011 was $24.6 million, an increase of $0.7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$23.9 million for the six months ended June 30, 2010, due to the factors discussed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left="340" w:right="159" w:firstLine="389"/>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this summer effect has recently lessened. However, one of our current focuses is to accelerate the growth of our ground student enrollment. Thus, it is likely that this seasonal effect could be more pronounced in the future.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six months ended June 30, 2011 and 2010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primarily through cash provided by operating activities. Our unrestricted cash and cash equivalents were $14.7 million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$33.6 million at June 30, 2011 and December 31, 2010, respectively. Our restricted cash and cash equivalents at June 30, 2011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2010 were $45.9 million and $52.9 million, respectively.</w:t>
      </w:r>
    </w:p>
    <w:p>
      <w:pPr>
        <w:spacing w:after="0" w:line="170"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 million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w:t>
      </w:r>
    </w:p>
    <w:p>
      <w:pPr>
        <w:spacing w:after="0" w:line="137"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are borrowed on the line of credit as of June 30, 2011.</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right="559" w:firstLine="389"/>
        <w:spacing w:after="0" w:line="297"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six months ended June 30, 2011 was $36.0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compared to $30.1 million for the six months ended June 30, 2010. Cash provided by operating activities in the six months ended June 30, 2011 and 2010 resulted from our net income plus non cash charges for bad debts, depreciation and amortization, non-capitalizable system costs and share-based compensation and, in the six months ended June 30, 2011, cash provided by operating activities has been reduced by $5.2 million related to the payment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w:t>
      </w:r>
    </w:p>
    <w:p>
      <w:pPr>
        <w:spacing w:after="0" w:line="118" w:lineRule="exact"/>
        <w:rPr>
          <w:sz w:val="20"/>
          <w:szCs w:val="20"/>
          <w:color w:val="auto"/>
        </w:rPr>
      </w:pPr>
    </w:p>
    <w:p>
      <w:pPr>
        <w:ind w:left="340" w:right="259" w:firstLine="389"/>
        <w:spacing w:after="0" w:line="290"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$31.3 million and $49.3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2011 and 2010, respectively. Capital expenditures were $38.3 million and $22.4 million for the six months ended June 30, 2011 and 2010, respectively. In 2011, capital expenditures primarily consisted of ground campus building projects such as a new dormitory and an events arena to support our increasing traditional ground student enrollment as well as purchases of computer equipment, other internal use software projects and furniture and equipment. In 2010, cash used in investing activities primarily consisted of capital expenditures such as ground campus building projects, purchases of computer equipment, and software costs to complete our transition from Datatel to CampusVue and Great Plains, other internal use software projects, furniture and equipment to support our increasing student enrollment and a significant increase in restricted cash associated with our transition to BBAY.</w:t>
      </w:r>
    </w:p>
    <w:p>
      <w:pPr>
        <w:spacing w:after="0" w:line="139" w:lineRule="exact"/>
        <w:rPr>
          <w:sz w:val="20"/>
          <w:szCs w:val="20"/>
          <w:color w:val="auto"/>
        </w:rPr>
      </w:pPr>
    </w:p>
    <w:p>
      <w:pPr>
        <w:ind w:left="340" w:right="299" w:firstLine="389"/>
        <w:spacing w:after="0" w:line="276"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used in financing activities was $23.7 million and nil in the six months ended June 30, 2011 and</w:t>
      </w:r>
      <w:r>
        <w:rPr>
          <w:rFonts w:ascii="Arial" w:cs="Arial" w:eastAsia="Arial" w:hAnsi="Arial"/>
          <w:sz w:val="17"/>
          <w:szCs w:val="17"/>
          <w:i w:val="1"/>
          <w:iCs w:val="1"/>
          <w:color w:val="auto"/>
        </w:rPr>
        <w:t xml:space="preserve"> </w:t>
      </w:r>
      <w:r>
        <w:rPr>
          <w:rFonts w:ascii="Arial" w:cs="Arial" w:eastAsia="Arial" w:hAnsi="Arial"/>
          <w:sz w:val="17"/>
          <w:szCs w:val="17"/>
          <w:color w:val="auto"/>
        </w:rPr>
        <w:t>2010, respectively. During the first six months of 2011, $22.4 million was used to purchase treasury stock in accordance with the University’s share repurchase program and principal payments on notes payable and capital leases totaled $1.9 million. During the first six months of 2010 proceeds from the exercise of stock options and the excess tax benefits from share-based compensation were offset by principal payments on notes payable and capital lease obligations.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40" w:right="899" w:firstLine="389"/>
        <w:spacing w:after="0" w:line="277" w:lineRule="auto"/>
        <w:rPr>
          <w:sz w:val="20"/>
          <w:szCs w:val="20"/>
          <w:color w:val="auto"/>
        </w:rPr>
      </w:pPr>
      <w:r>
        <w:rPr>
          <w:rFonts w:ascii="Arial" w:cs="Arial" w:eastAsia="Arial" w:hAnsi="Arial"/>
          <w:sz w:val="18"/>
          <w:szCs w:val="18"/>
          <w:color w:val="auto"/>
        </w:rPr>
        <w:t>The following table sets forth, as of June 30, 2011,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1"/>
              </w:rPr>
              <w:t>Payments Due by Period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 xml:space="preserve">1 Year </w:t>
            </w:r>
            <w:r>
              <w:rPr>
                <w:rFonts w:ascii="Arial" w:cs="Arial" w:eastAsia="Arial" w:hAnsi="Arial"/>
                <w:sz w:val="18"/>
                <w:szCs w:val="18"/>
                <w:color w:val="auto"/>
                <w:w w:val="91"/>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2-3 Years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4-5 Years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5 Years</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7"/>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July 1, 2011 through December 31,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purchase obligation amounts include expected spending by period under contracts that were in effect at June 30,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340" w:right="479" w:firstLine="389"/>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left="340" w:right="299" w:firstLine="389"/>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or 2010. There can be no assurance that future inflation will not have an adverse impact on our operating results and financial condition.</w:t>
      </w:r>
    </w:p>
    <w:p>
      <w:pPr>
        <w:spacing w:after="0" w:line="154" w:lineRule="exact"/>
        <w:rPr>
          <w:sz w:val="20"/>
          <w:szCs w:val="20"/>
          <w:color w:val="auto"/>
        </w:rPr>
      </w:pPr>
    </w:p>
    <w:p>
      <w:pPr>
        <w:ind w:left="340" w:right="199" w:firstLine="389"/>
        <w:spacing w:after="0" w:line="289"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 Day LIBOR interest exposure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variable rate debt we incurred in connection with the repurchase of shares of our common stock and the land and buildings that comprise our ground campus, which debt matures in March 2016. The corridor instrument, which hedges variable interest rate risk starting July 1, 2009 through April 30, 2014 with a notional amount of $11.1 million as of June 30, 2011,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$11.1 million as of June 30, 2011. Under this arrangement, we will receive 30 Day LIBOR and pay 3.245% fixed rate on the amortizing notional amount plus the credit spread.</w:t>
      </w:r>
    </w:p>
    <w:p>
      <w:pPr>
        <w:spacing w:after="0" w:line="126" w:lineRule="exact"/>
        <w:rPr>
          <w:sz w:val="20"/>
          <w:szCs w:val="20"/>
          <w:color w:val="auto"/>
        </w:rPr>
      </w:pPr>
    </w:p>
    <w:p>
      <w:pPr>
        <w:ind w:left="340" w:right="279" w:firstLine="389"/>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41" w:lineRule="exact"/>
        <w:rPr>
          <w:sz w:val="20"/>
          <w:szCs w:val="20"/>
          <w:color w:val="auto"/>
        </w:rPr>
      </w:pPr>
    </w:p>
    <w:p>
      <w:pPr>
        <w:ind w:left="340" w:right="199" w:firstLine="389"/>
        <w:spacing w:after="0" w:line="297"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and AAA-rated marketable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June 30, 2011, a 10% increase or decrease in interest rates would not have a material impact on our future earnings, fair values, or cash flows. For information regarding our variable rate debt, see “Market risk” above.</w:t>
      </w:r>
    </w:p>
    <w:p>
      <w:pPr>
        <w:spacing w:after="0" w:line="12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left="340" w:right="179" w:firstLine="389"/>
        <w:spacing w:after="0" w:line="28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2011,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left="340" w:right="179" w:firstLine="389"/>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and Chief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340" w:right="439" w:firstLine="389"/>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2010, except as set forth below: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185" w:lineRule="exact"/>
        <w:rPr>
          <w:sz w:val="20"/>
          <w:szCs w:val="20"/>
          <w:color w:val="auto"/>
        </w:rPr>
      </w:pPr>
    </w:p>
    <w:p>
      <w:pPr>
        <w:jc w:val="both"/>
        <w:ind w:left="340" w:right="359" w:firstLine="389"/>
        <w:spacing w:after="0" w:line="264" w:lineRule="auto"/>
        <w:rPr>
          <w:sz w:val="20"/>
          <w:szCs w:val="20"/>
          <w:color w:val="auto"/>
        </w:rPr>
      </w:pPr>
      <w:r>
        <w:rPr>
          <w:rFonts w:ascii="Arial" w:cs="Arial" w:eastAsia="Arial" w:hAnsi="Arial"/>
          <w:sz w:val="18"/>
          <w:szCs w:val="18"/>
          <w:color w:val="auto"/>
        </w:rPr>
        <w:t>In November 2009, the U.S. Department of Education convened two negotiated rulemaking teams related to Title IV program integrity issues and foreign school issues. The resulting program integrity rules promulgated in October 2010 and June 2011 address numerous topics. The most significant for our business are the following:</w:t>
      </w:r>
    </w:p>
    <w:p>
      <w:pPr>
        <w:spacing w:after="0" w:line="154" w:lineRule="exact"/>
        <w:rPr>
          <w:sz w:val="20"/>
          <w:szCs w:val="20"/>
          <w:color w:val="auto"/>
        </w:rPr>
      </w:pPr>
    </w:p>
    <w:p>
      <w:pPr>
        <w:ind w:left="1480" w:right="539" w:hanging="378"/>
        <w:spacing w:after="0" w:line="277"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Modification of the standards relating to the payment of incentive compensation to employees involved in student recruitment and enrollment;</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Implementation of standards for state authorization of institutions of higher education; and</w:t>
      </w:r>
    </w:p>
    <w:p>
      <w:pPr>
        <w:spacing w:after="0" w:line="184" w:lineRule="exact"/>
        <w:rPr>
          <w:rFonts w:ascii="Arial" w:cs="Arial" w:eastAsia="Arial" w:hAnsi="Arial"/>
          <w:sz w:val="18"/>
          <w:szCs w:val="18"/>
          <w:b w:val="1"/>
          <w:bCs w:val="1"/>
          <w:color w:val="auto"/>
        </w:rPr>
      </w:pPr>
    </w:p>
    <w:p>
      <w:pPr>
        <w:ind w:left="1480" w:right="199" w:hanging="378"/>
        <w:spacing w:after="0" w:line="264"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Adoption of a definition of “gainful employment” for purposes of the requirement of Title IV student financial aid that a program of study offered by a proprietary institution prepare students for gainful employment in a recognized occupation.</w:t>
      </w:r>
    </w:p>
    <w:p>
      <w:pPr>
        <w:spacing w:after="0" w:line="154"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The Department published final program integrity regulations on October 29, 2010, with most of the final rules effective July 1, 2011, including some reporting and disclosure rules related to gainful employment. On June 13, 2011, the Department published final regulations on metrics for gainful employment programs effective July 1, 2012. In addition to the rules, the Department routinely issues “Dear Colleague Letters” to provide sub-regulatory guidance on certain areas of final regulations. The guidance is provided to assist institutions with understanding the regulations in these areas, and does not make any changes to the regulations. The Department has issued numerous Dear Colleague Letters to provide further information on other provisions of the program integrity regulations and created a website dedicated to gainful employment information found at http://ifap.ed.gov/GainfulEmploymentInfo/index.html.</w:t>
      </w:r>
    </w:p>
    <w:p>
      <w:pPr>
        <w:spacing w:after="0" w:line="127" w:lineRule="exact"/>
        <w:rPr>
          <w:sz w:val="20"/>
          <w:szCs w:val="20"/>
          <w:color w:val="auto"/>
        </w:rPr>
      </w:pPr>
    </w:p>
    <w:p>
      <w:pPr>
        <w:ind w:left="340" w:right="199" w:firstLine="389"/>
        <w:spacing w:after="0" w:line="271" w:lineRule="auto"/>
        <w:rPr>
          <w:sz w:val="20"/>
          <w:szCs w:val="20"/>
          <w:color w:val="auto"/>
        </w:rPr>
      </w:pPr>
      <w:r>
        <w:rPr>
          <w:rFonts w:ascii="Arial" w:cs="Arial" w:eastAsia="Arial" w:hAnsi="Arial"/>
          <w:sz w:val="17"/>
          <w:szCs w:val="17"/>
          <w:color w:val="auto"/>
        </w:rPr>
        <w:t>The program integrity rules require a large number of reporting and operational changes, some of which are described below. We believe we are, or will be, be in substantial compliance with these new reporting and disclosure requirements as of their respective effective dates. However, because of the scale and complexity of our educational programs, we may be unable to fully develop, test and implement all of the necessary modifications to our information management systems and administrative processes to maintain such compliance at all times in the future and, as a result, we may be subject to administrative or other sanctions if we are unable to comply with these reporting and disclosure requirements on a timely basis. In addition, these changes, individually or in combination, may impact our student enrollment, persistence and retention in ways that we cannot now predict and could adversely affect our business, financial condition, results of operations and cash flows.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Incentive Compensation</w:t>
      </w:r>
    </w:p>
    <w:p>
      <w:pPr>
        <w:spacing w:after="0" w:line="198" w:lineRule="exact"/>
        <w:rPr>
          <w:sz w:val="20"/>
          <w:szCs w:val="20"/>
          <w:color w:val="auto"/>
        </w:rPr>
      </w:pPr>
    </w:p>
    <w:p>
      <w:pPr>
        <w:ind w:left="340" w:right="219" w:firstLine="389"/>
        <w:spacing w:after="0" w:line="293" w:lineRule="auto"/>
        <w:rPr>
          <w:sz w:val="20"/>
          <w:szCs w:val="20"/>
          <w:color w:val="auto"/>
        </w:rPr>
      </w:pPr>
      <w:r>
        <w:rPr>
          <w:rFonts w:ascii="Arial" w:cs="Arial" w:eastAsia="Arial" w:hAnsi="Arial"/>
          <w:sz w:val="16"/>
          <w:szCs w:val="16"/>
          <w:color w:val="auto"/>
        </w:rPr>
        <w:t>A school participating in Title IV programs may not pay any commission, bonus or other incentive payments to any person involved in student recruitment or admissions or awarding of Title IV program funds, if such payments are based directly or indirectly in any part on success in enrolling students or obtaining student financial aid. The law and regulations governing this requirement do not establish clear criteria for compliance in all circumstances, but until June 30, 2011 the Department offered twelve safe harbors that defined specific types of compensation that were deemed to constitute permissible incentive compensation. In the past, we relied on several of these safe harbors to ensure that our compensation and recruitment practices comply with the applicable requirements.</w:t>
      </w:r>
    </w:p>
    <w:p>
      <w:pPr>
        <w:spacing w:after="0" w:line="124"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In the final regulations adopted by the Department, these twelve safe harbors were eliminated and, in lieu of the safe harbors, some of the relevant concepts relating to the incentive compensation limitations were defined. These changes increase the uncertainty about what constitutes incentive compensation and which employees are covered by the regulation. This makes the development of effective and compliant performance metrics more difficult to establish. In response to the Department’s concern about the impact of compensation structures that rely on the current safe harbors and in order to enhance the enrollment process for our students, we began considering an alternative compensation structure for our enrollment personnel. We developed this new structure, which we believe complies with the Department’s new rule, and implemented it on a broad scale during the second quarter of fiscal year 2011.</w:t>
      </w:r>
    </w:p>
    <w:p>
      <w:pPr>
        <w:spacing w:after="0" w:line="127" w:lineRule="exact"/>
        <w:rPr>
          <w:sz w:val="20"/>
          <w:szCs w:val="20"/>
          <w:color w:val="auto"/>
        </w:rPr>
      </w:pPr>
    </w:p>
    <w:p>
      <w:pPr>
        <w:ind w:left="340" w:right="299" w:firstLine="389"/>
        <w:spacing w:after="0" w:line="312" w:lineRule="auto"/>
        <w:rPr>
          <w:sz w:val="20"/>
          <w:szCs w:val="20"/>
          <w:color w:val="auto"/>
        </w:rPr>
      </w:pPr>
      <w:r>
        <w:rPr>
          <w:rFonts w:ascii="Arial" w:cs="Arial" w:eastAsia="Arial" w:hAnsi="Arial"/>
          <w:sz w:val="16"/>
          <w:szCs w:val="16"/>
          <w:color w:val="auto"/>
        </w:rPr>
        <w:t>This change in our approach to recruiting could adversely impact our enrollment rates and increase our operating costs, perhaps materially. We believe this change is in the best interests of our students and it is consistent with our on-going efforts to address the concerns of the Department and others, including members of Congress, about enrollment practices in the proprietary sector.</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State Authorization</w:t>
      </w:r>
    </w:p>
    <w:p>
      <w:pPr>
        <w:spacing w:after="0" w:line="185" w:lineRule="exact"/>
        <w:rPr>
          <w:sz w:val="20"/>
          <w:szCs w:val="20"/>
          <w:color w:val="auto"/>
        </w:rPr>
      </w:pPr>
    </w:p>
    <w:p>
      <w:pPr>
        <w:ind w:left="340" w:right="299" w:firstLine="389"/>
        <w:spacing w:after="0" w:line="259" w:lineRule="auto"/>
        <w:rPr>
          <w:sz w:val="20"/>
          <w:szCs w:val="20"/>
          <w:color w:val="auto"/>
        </w:rPr>
      </w:pPr>
      <w:r>
        <w:rPr>
          <w:rFonts w:ascii="Arial" w:cs="Arial" w:eastAsia="Arial" w:hAnsi="Arial"/>
          <w:sz w:val="18"/>
          <w:szCs w:val="18"/>
          <w:color w:val="auto"/>
        </w:rPr>
        <w:t>In the U.S., institutions that participate in Title IV programs must be authorized to operate by the appropriate postsecondary regulatory authority in each state, or be exempt from such regulatory authorization, usually based on recognized accreditation or lack of physical presence in that state. As of June 30, 2011, we are authorized to operate or have confirmed an exemption to operate in almost all states, Puerto Rico and the District of Columbia.</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389"/>
        <w:spacing w:after="0" w:line="288" w:lineRule="auto"/>
        <w:rPr>
          <w:sz w:val="20"/>
          <w:szCs w:val="20"/>
          <w:color w:val="auto"/>
        </w:rPr>
      </w:pPr>
      <w:r>
        <w:rPr>
          <w:rFonts w:ascii="Arial" w:cs="Arial" w:eastAsia="Arial" w:hAnsi="Arial"/>
          <w:sz w:val="16"/>
          <w:szCs w:val="16"/>
          <w:color w:val="auto"/>
        </w:rPr>
        <w:t>There are annual waivers available in the final regulations that could allow us to continue to operate without specific state approval in states for which we have not received specific authorization or are otherwise exempt from obtaining authorization, through July 1, 2013. In order to obtain such annual waivers, we must have a supporting letter from each such state and file a request for an annual waiver to be considered by the Department of Education. We have obtained such supporting letters in certain states and have filed a request for an annual waiver through July 1, 2012 with the Department of Education. While we have no assurance that the waivers will be granted, we have no reason to believe that they will not be forthcoming in due course. If we experience a delay in obtaining or cannot obtain these approvals or waivers, our business could be adversely impacted. As a result, the manner in which the Department’s final regulation will apply to our business in these states, and the impact of such regulation on our business, is uncertain. If we are unable to operate in any state in a manner that would preserve Title IV eligibility for our students, our business could be materially and adversely impacted, depending on the revenue derived from students in that state.</w:t>
      </w:r>
    </w:p>
    <w:p>
      <w:pPr>
        <w:spacing w:after="0" w:line="142" w:lineRule="exact"/>
        <w:rPr>
          <w:sz w:val="20"/>
          <w:szCs w:val="20"/>
          <w:color w:val="auto"/>
        </w:rPr>
      </w:pPr>
    </w:p>
    <w:p>
      <w:pPr>
        <w:ind w:left="340" w:right="259" w:firstLine="389"/>
        <w:spacing w:after="0" w:line="272" w:lineRule="auto"/>
        <w:rPr>
          <w:sz w:val="20"/>
          <w:szCs w:val="20"/>
          <w:color w:val="auto"/>
        </w:rPr>
      </w:pPr>
      <w:r>
        <w:rPr>
          <w:rFonts w:ascii="Arial" w:cs="Arial" w:eastAsia="Arial" w:hAnsi="Arial"/>
          <w:sz w:val="17"/>
          <w:szCs w:val="17"/>
          <w:color w:val="auto"/>
        </w:rPr>
        <w:t>Additionally, many states now must adopt additional statutes or regulations in order to comply with the new regulations adopted by the Department. In addition, other states are revising existing statutes and regulations that affect higher education generally or proprietary higher education providers specifically. We have no assurance that these states will be willing or able to adopt such additional statutes or regulations or that we will be able to obtain specific state regulatory approval under any revised statute of regulation, or that Grand Canyon University will be able to meet any new statute or regulation enacted. If we are unable to operate in any state due to changes in state law, or if state law limits our ability to operate in those states, our business could be materially and adversely impacted, depending on the revenue derived from students in that state.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Gainful Employment</w:t>
      </w:r>
    </w:p>
    <w:p>
      <w:pPr>
        <w:spacing w:after="0" w:line="185"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Under the Higher Education Act, proprietary schools are eligible to participate in Title IV programs in respect of educational programs that lead to “gainful employment in a recognized occupation,” with the limited exception of qualified programs leading to a bachelor’s degree in liberal arts. Historically, this concept has not been defined in detail. On July 26, 2010, the Department of Education issued a proposed gainful employment rule. On June 13, 2011, the Department of Education issued its final gainful employment rule, which contained material modifications to the proposed rule. In its final form, the rule provides, among other things, for the following:</w:t>
      </w:r>
    </w:p>
    <w:p>
      <w:pPr>
        <w:spacing w:after="0" w:line="166" w:lineRule="exact"/>
        <w:rPr>
          <w:sz w:val="20"/>
          <w:szCs w:val="20"/>
          <w:color w:val="auto"/>
        </w:rPr>
      </w:pPr>
    </w:p>
    <w:p>
      <w:pPr>
        <w:ind w:left="1880" w:right="299" w:hanging="386"/>
        <w:spacing w:after="0" w:line="279" w:lineRule="auto"/>
        <w:tabs>
          <w:tab w:leader="none" w:pos="1880"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Disclosures</w:t>
      </w:r>
      <w:r>
        <w:rPr>
          <w:rFonts w:ascii="Arial" w:cs="Arial" w:eastAsia="Arial" w:hAnsi="Arial"/>
          <w:sz w:val="17"/>
          <w:szCs w:val="17"/>
          <w:color w:val="auto"/>
        </w:rPr>
        <w:t>. Effective July 1, 2011, proprietary institutions of higher education as well as public and not-for</w:t>
      </w:r>
      <w:r>
        <w:rPr>
          <w:rFonts w:ascii="Arial" w:cs="Arial" w:eastAsia="Arial" w:hAnsi="Arial"/>
          <w:sz w:val="17"/>
          <w:szCs w:val="17"/>
          <w:i w:val="1"/>
          <w:iCs w:val="1"/>
          <w:color w:val="auto"/>
        </w:rPr>
        <w:t xml:space="preserve"> </w:t>
      </w:r>
      <w:r>
        <w:rPr>
          <w:rFonts w:ascii="Arial" w:cs="Arial" w:eastAsia="Arial" w:hAnsi="Arial"/>
          <w:sz w:val="17"/>
          <w:szCs w:val="17"/>
          <w:color w:val="auto"/>
        </w:rPr>
        <w:t>profit institutions offering postsecondary non-degree programs must provide prospective students with disclosures on the types of employment associated with the program, total cost of the program, completion rate, job placement rate, if applicable, and median loan debt of program completers.</w:t>
      </w:r>
    </w:p>
    <w:p>
      <w:pPr>
        <w:spacing w:after="0" w:line="130" w:lineRule="exact"/>
        <w:rPr>
          <w:rFonts w:ascii="Arial" w:cs="Arial" w:eastAsia="Arial" w:hAnsi="Arial"/>
          <w:sz w:val="17"/>
          <w:szCs w:val="17"/>
          <w:b w:val="1"/>
          <w:bCs w:val="1"/>
          <w:color w:val="auto"/>
        </w:rPr>
      </w:pPr>
    </w:p>
    <w:p>
      <w:pPr>
        <w:ind w:left="1880" w:right="479" w:hanging="386"/>
        <w:spacing w:after="0" w:line="259" w:lineRule="auto"/>
        <w:tabs>
          <w:tab w:leader="none" w:pos="188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Reporting</w:t>
      </w:r>
      <w:r>
        <w:rPr>
          <w:rFonts w:ascii="Arial" w:cs="Arial" w:eastAsia="Arial" w:hAnsi="Arial"/>
          <w:sz w:val="18"/>
          <w:szCs w:val="18"/>
          <w:color w:val="auto"/>
        </w:rPr>
        <w:t>. Effective October 1, 2011, institutions must annually submit information to the Department about</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who complete a program leading to gainful employment in a recognized occupation, including the amount of debt incurred under private loans or institutional finance plans, graduation information, and end of year enrollment information.</w:t>
      </w:r>
    </w:p>
    <w:p>
      <w:pPr>
        <w:spacing w:after="0" w:line="146" w:lineRule="exact"/>
        <w:rPr>
          <w:rFonts w:ascii="Arial" w:cs="Arial" w:eastAsia="Arial" w:hAnsi="Arial"/>
          <w:sz w:val="18"/>
          <w:szCs w:val="18"/>
          <w:b w:val="1"/>
          <w:bCs w:val="1"/>
          <w:color w:val="auto"/>
        </w:rPr>
      </w:pPr>
    </w:p>
    <w:p>
      <w:pPr>
        <w:ind w:left="1880" w:right="199" w:hanging="386"/>
        <w:spacing w:after="0" w:line="288" w:lineRule="auto"/>
        <w:tabs>
          <w:tab w:leader="none" w:pos="1880" w:val="left"/>
        </w:tabs>
        <w:numPr>
          <w:ilvl w:val="0"/>
          <w:numId w:val="1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New Program Approval. </w:t>
      </w:r>
      <w:r>
        <w:rPr>
          <w:rFonts w:ascii="Arial" w:cs="Arial" w:eastAsia="Arial" w:hAnsi="Arial"/>
          <w:sz w:val="16"/>
          <w:szCs w:val="16"/>
          <w:color w:val="auto"/>
        </w:rPr>
        <w:t>Effective July 1, 2011, the final regulations require institutions to notify the Department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Education at least 90 days before the start of new educational programs leading to gainful employment in recognized occupations. This notification must include information on the need for the program, a wage analysis, an institutional program review and approval process, and a demonstration of accreditation. An institution is not required to obtain formal Department approval if the notification is submitted at least 90 days prior to the first day of class. However, if the Department decides during the course of review that an approval is warranted, a notice will be sent to the institution at least 30 days prior to the first day of class with a request for additional information. The Department also has announced that it will be issuing a Notice of Proposed Rulemaking (NPRM) on the process for seeking Title IV eligibility for new programs. The NPRM proposes to amend the existing rules on new program approvals that went into effect on July 1, 2011.</w:t>
      </w:r>
    </w:p>
    <w:p>
      <w:pPr>
        <w:spacing w:after="0" w:line="142" w:lineRule="exact"/>
        <w:rPr>
          <w:rFonts w:ascii="Arial" w:cs="Arial" w:eastAsia="Arial" w:hAnsi="Arial"/>
          <w:sz w:val="16"/>
          <w:szCs w:val="16"/>
          <w:b w:val="1"/>
          <w:bCs w:val="1"/>
          <w:color w:val="auto"/>
        </w:rPr>
      </w:pPr>
    </w:p>
    <w:p>
      <w:pPr>
        <w:ind w:left="1880" w:right="159" w:hanging="386"/>
        <w:spacing w:after="0" w:line="259" w:lineRule="auto"/>
        <w:tabs>
          <w:tab w:leader="none" w:pos="188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 xml:space="preserve">to-Earnings Ratio and Loan Repayment Rate. </w:t>
      </w:r>
      <w:r>
        <w:rPr>
          <w:rFonts w:ascii="Arial" w:cs="Arial" w:eastAsia="Arial" w:hAnsi="Arial"/>
          <w:sz w:val="18"/>
          <w:szCs w:val="18"/>
          <w:color w:val="auto"/>
        </w:rPr>
        <w:t>The metrics used to define gainful employment in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rule are based on debt-to-earnings and loan repayment rates, but with changes from the proposed rule issued July 2010. Under the final rule, a program leads to gainful employment in a recognized occupation if it meets one of the following metrics:</w:t>
      </w:r>
    </w:p>
    <w:p>
      <w:pPr>
        <w:spacing w:after="0" w:line="146" w:lineRule="exact"/>
        <w:rPr>
          <w:rFonts w:ascii="Arial" w:cs="Arial" w:eastAsia="Arial" w:hAnsi="Arial"/>
          <w:sz w:val="18"/>
          <w:szCs w:val="18"/>
          <w:b w:val="1"/>
          <w:bCs w:val="1"/>
          <w:color w:val="auto"/>
        </w:rPr>
      </w:pPr>
    </w:p>
    <w:p>
      <w:pPr>
        <w:ind w:left="2260" w:right="179" w:hanging="375"/>
        <w:spacing w:after="0" w:line="276" w:lineRule="auto"/>
        <w:tabs>
          <w:tab w:leader="none" w:pos="2260" w:val="left"/>
        </w:tabs>
        <w:numPr>
          <w:ilvl w:val="1"/>
          <w:numId w:val="11"/>
        </w:numPr>
        <w:rPr>
          <w:rFonts w:ascii="Arial" w:cs="Arial" w:eastAsia="Arial" w:hAnsi="Arial"/>
          <w:sz w:val="17"/>
          <w:szCs w:val="17"/>
          <w:b w:val="1"/>
          <w:bCs w:val="1"/>
          <w:color w:val="auto"/>
        </w:rPr>
      </w:pPr>
      <w:r>
        <w:rPr>
          <w:rFonts w:ascii="Arial" w:cs="Arial" w:eastAsia="Arial" w:hAnsi="Arial"/>
          <w:sz w:val="17"/>
          <w:szCs w:val="17"/>
          <w:color w:val="auto"/>
        </w:rPr>
        <w:t>Loan Repayment Rate — at least 35 percent of former students are repaying their loans. The repayment rate generally is measured using the student’s third and fourth year of repayment, with a few exceptions. If there are 30 or fewer borrowers in a two-year period, the repayment rate period will be expanded to include borrowers in the third, fourth, fifth and sixth years. If there are still fewer than 30 borrowers after that point, the program is considered to have passed the metric.</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2260" w:right="219" w:hanging="375"/>
        <w:spacing w:after="0" w:line="289" w:lineRule="auto"/>
        <w:tabs>
          <w:tab w:leader="none" w:pos="22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Debt to Earnings Ratio — either (a) the estimated annual loan repayment of a typical graduate does not exceed 30 percent of his or her discretionary income (income above 150% of the poverty level), or (b) the estimated annual loan payment of a typical graduate does not exceed 12 percent of his or her total earnings. The ratios generally will be based upon students in their third and fourth years after graduation, with the same exceptions pertaining to small cohort programs described immediately above, for the repayment rate metric. Debt will be calculated based upon the program’s median debt, which will include private loans. Annual payments will be calculated based on a 10-year standard repayment plan for certificate and associates degree programs, 15 years for bachelor’s and master’s programs, and 20 years for graduate and professional programs. Debt incurred for living expenses is excluded from the calculation.</w:t>
      </w:r>
    </w:p>
    <w:p>
      <w:pPr>
        <w:spacing w:after="0" w:line="126" w:lineRule="exact"/>
        <w:rPr>
          <w:rFonts w:ascii="Arial" w:cs="Arial" w:eastAsia="Arial" w:hAnsi="Arial"/>
          <w:sz w:val="16"/>
          <w:szCs w:val="16"/>
          <w:b w:val="1"/>
          <w:bCs w:val="1"/>
          <w:color w:val="auto"/>
        </w:rPr>
      </w:pPr>
    </w:p>
    <w:p>
      <w:pPr>
        <w:ind w:left="2260" w:right="199" w:hanging="375"/>
        <w:spacing w:after="0" w:line="289" w:lineRule="auto"/>
        <w:tabs>
          <w:tab w:leader="none" w:pos="22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 xml:space="preserve">If a program fails </w:t>
      </w:r>
      <w:r>
        <w:rPr>
          <w:rFonts w:ascii="Arial" w:cs="Arial" w:eastAsia="Arial" w:hAnsi="Arial"/>
          <w:sz w:val="16"/>
          <w:szCs w:val="16"/>
          <w:i w:val="1"/>
          <w:iCs w:val="1"/>
          <w:color w:val="auto"/>
        </w:rPr>
        <w:t>both</w:t>
      </w:r>
      <w:r>
        <w:rPr>
          <w:rFonts w:ascii="Arial" w:cs="Arial" w:eastAsia="Arial" w:hAnsi="Arial"/>
          <w:sz w:val="16"/>
          <w:szCs w:val="16"/>
          <w:color w:val="auto"/>
        </w:rPr>
        <w:t xml:space="preserve"> the Loan Repayment and Debt to Earnings metrics, then (i) </w:t>
      </w:r>
      <w:r>
        <w:rPr>
          <w:rFonts w:ascii="Arial" w:cs="Arial" w:eastAsia="Arial" w:hAnsi="Arial"/>
          <w:sz w:val="16"/>
          <w:szCs w:val="16"/>
          <w:i w:val="1"/>
          <w:iCs w:val="1"/>
          <w:color w:val="auto"/>
        </w:rPr>
        <w:t>after one failure</w:t>
      </w:r>
      <w:r>
        <w:rPr>
          <w:rFonts w:ascii="Arial" w:cs="Arial" w:eastAsia="Arial" w:hAnsi="Arial"/>
          <w:sz w:val="16"/>
          <w:szCs w:val="16"/>
          <w:color w:val="auto"/>
        </w:rPr>
        <w:t xml:space="preserve">, the institution must provide a warning to students disclosing the amount by which the program missed minimal acceptable performance and the program’s plans for improvement and establish a three-day waiting period before a student can enroll, (ii) </w:t>
      </w:r>
      <w:r>
        <w:rPr>
          <w:rFonts w:ascii="Arial" w:cs="Arial" w:eastAsia="Arial" w:hAnsi="Arial"/>
          <w:sz w:val="16"/>
          <w:szCs w:val="16"/>
          <w:i w:val="1"/>
          <w:iCs w:val="1"/>
          <w:color w:val="auto"/>
        </w:rPr>
        <w:t>after two failures within three years</w:t>
      </w:r>
      <w:r>
        <w:rPr>
          <w:rFonts w:ascii="Arial" w:cs="Arial" w:eastAsia="Arial" w:hAnsi="Arial"/>
          <w:sz w:val="16"/>
          <w:szCs w:val="16"/>
          <w:color w:val="auto"/>
        </w:rPr>
        <w:t xml:space="preserve">, the institution must provide a warning to prospective and enrolled students in the failing program stating the plan it intends to take in response, the risks associated with enrolling or continuing in the program, that the student should “expect to have difficulty repaying” the loans, and if the school chooses to discontinue the program at this stage, the timeline for doing so, and (iii) </w:t>
      </w:r>
      <w:r>
        <w:rPr>
          <w:rFonts w:ascii="Arial" w:cs="Arial" w:eastAsia="Arial" w:hAnsi="Arial"/>
          <w:sz w:val="16"/>
          <w:szCs w:val="16"/>
          <w:i w:val="1"/>
          <w:iCs w:val="1"/>
          <w:color w:val="auto"/>
        </w:rPr>
        <w:t>after three failures within four years</w:t>
      </w:r>
      <w:r>
        <w:rPr>
          <w:rFonts w:ascii="Arial" w:cs="Arial" w:eastAsia="Arial" w:hAnsi="Arial"/>
          <w:sz w:val="16"/>
          <w:szCs w:val="16"/>
          <w:color w:val="auto"/>
        </w:rPr>
        <w:t>, the program loses eligibility for federal student aid. Institutions cannot then reestablish the program’s eligibility for at least three years.</w:t>
      </w:r>
    </w:p>
    <w:p>
      <w:pPr>
        <w:spacing w:after="0" w:line="126" w:lineRule="exact"/>
        <w:rPr>
          <w:sz w:val="20"/>
          <w:szCs w:val="20"/>
          <w:color w:val="auto"/>
        </w:rPr>
      </w:pPr>
    </w:p>
    <w:p>
      <w:pPr>
        <w:ind w:left="1880" w:right="159"/>
        <w:spacing w:after="0" w:line="269" w:lineRule="auto"/>
        <w:rPr>
          <w:sz w:val="20"/>
          <w:szCs w:val="20"/>
          <w:color w:val="auto"/>
        </w:rPr>
      </w:pPr>
      <w:r>
        <w:rPr>
          <w:rFonts w:ascii="Arial" w:cs="Arial" w:eastAsia="Arial" w:hAnsi="Arial"/>
          <w:sz w:val="17"/>
          <w:szCs w:val="17"/>
          <w:color w:val="auto"/>
        </w:rPr>
        <w:t>Although the final rules regarding gainful employment metrics provide opportunities to address program deficiencies before the loss of Title IV eligibility, the continuing eligibility of our educational programs for Title IV funding could be at risk due to factors beyond our control, such as changes in the actual or deemed income level of our graduates, changes in student borrowing levels, increases in interest rates, changes in the federal poverty income level relevant for calculating discretionary income, changes in the percentage of our former students who are current in repayment of their student loans, and other factors. In addition, even though deficiencies in the metrics may be correctible on a timely basis, the disclosure requirements to students following a failure to meet the standards may adversely impact enrollment in that program and may adversely impact the reputation of the University. The exposure to these external factors may reduce our ability to confidently offer or continue certain types of programs for which there is market demand, thus impacting our ability to maintain or grow our business.</w:t>
      </w:r>
    </w:p>
    <w:p>
      <w:pPr>
        <w:spacing w:after="0" w:line="156" w:lineRule="exact"/>
        <w:rPr>
          <w:sz w:val="20"/>
          <w:szCs w:val="20"/>
          <w:color w:val="auto"/>
        </w:rPr>
      </w:pPr>
    </w:p>
    <w:p>
      <w:pPr>
        <w:ind w:left="1880" w:right="239"/>
        <w:spacing w:after="0" w:line="255" w:lineRule="auto"/>
        <w:rPr>
          <w:sz w:val="20"/>
          <w:szCs w:val="20"/>
          <w:color w:val="auto"/>
        </w:rPr>
      </w:pPr>
      <w:r>
        <w:rPr>
          <w:rFonts w:ascii="Arial" w:cs="Arial" w:eastAsia="Arial" w:hAnsi="Arial"/>
          <w:sz w:val="18"/>
          <w:szCs w:val="18"/>
          <w:color w:val="auto"/>
        </w:rPr>
        <w:t>In addition, there are many open questions and interpretive issues related to the gainful employment metrics, including questions as to the ability of institutions to obtain and verify the information needed to calculate the applicable metrics. Due to the unavailability of data, we cannot predict with certainty which or how many of our programs of study will satisfy the gainful employment metrics. In addition, the continuing eligibility of our programs of study under Title IV Programs are at risk under the gainful employment metrics due to factors beyond our control, such as:</w:t>
      </w:r>
    </w:p>
    <w:p>
      <w:pPr>
        <w:spacing w:after="0" w:line="153" w:lineRule="exact"/>
        <w:rPr>
          <w:sz w:val="20"/>
          <w:szCs w:val="20"/>
          <w:color w:val="auto"/>
        </w:rPr>
      </w:pPr>
    </w:p>
    <w:p>
      <w:pPr>
        <w:ind w:left="2660" w:hanging="383"/>
        <w:spacing w:after="0"/>
        <w:tabs>
          <w:tab w:leader="none" w:pos="2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the income level of persons employed in specific occupations or sectors;</w:t>
      </w:r>
    </w:p>
    <w:p>
      <w:pPr>
        <w:spacing w:after="0" w:line="184" w:lineRule="exact"/>
        <w:rPr>
          <w:rFonts w:ascii="Arial" w:cs="Arial" w:eastAsia="Arial" w:hAnsi="Arial"/>
          <w:sz w:val="18"/>
          <w:szCs w:val="18"/>
          <w:b w:val="1"/>
          <w:bCs w:val="1"/>
          <w:color w:val="auto"/>
        </w:rPr>
      </w:pPr>
    </w:p>
    <w:p>
      <w:pPr>
        <w:ind w:left="2660" w:right="819" w:hanging="383"/>
        <w:spacing w:after="0" w:line="277" w:lineRule="auto"/>
        <w:tabs>
          <w:tab w:leader="none" w:pos="2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student mix to persons requiring higher amounts of student loans to complete their programs;</w:t>
      </w:r>
    </w:p>
    <w:p>
      <w:pPr>
        <w:spacing w:after="0" w:line="143" w:lineRule="exact"/>
        <w:rPr>
          <w:rFonts w:ascii="Arial" w:cs="Arial" w:eastAsia="Arial" w:hAnsi="Arial"/>
          <w:sz w:val="18"/>
          <w:szCs w:val="18"/>
          <w:b w:val="1"/>
          <w:bCs w:val="1"/>
          <w:color w:val="auto"/>
        </w:rPr>
      </w:pPr>
    </w:p>
    <w:p>
      <w:pPr>
        <w:ind w:left="2660" w:hanging="383"/>
        <w:spacing w:after="0"/>
        <w:tabs>
          <w:tab w:leader="none" w:pos="2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changes in student loan repayment rates, including the usage of deferments and forbearances;</w:t>
      </w:r>
    </w:p>
    <w:p>
      <w:pPr>
        <w:spacing w:after="0" w:line="196" w:lineRule="exact"/>
        <w:rPr>
          <w:rFonts w:ascii="Arial" w:cs="Arial" w:eastAsia="Arial" w:hAnsi="Arial"/>
          <w:sz w:val="17"/>
          <w:szCs w:val="17"/>
          <w:b w:val="1"/>
          <w:bCs w:val="1"/>
          <w:color w:val="auto"/>
        </w:rPr>
      </w:pPr>
    </w:p>
    <w:p>
      <w:pPr>
        <w:ind w:left="2660" w:hanging="383"/>
        <w:spacing w:after="0"/>
        <w:tabs>
          <w:tab w:leader="none" w:pos="2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student loan delinquency rates;</w:t>
      </w:r>
    </w:p>
    <w:p>
      <w:pPr>
        <w:spacing w:after="0" w:line="184" w:lineRule="exact"/>
        <w:rPr>
          <w:rFonts w:ascii="Arial" w:cs="Arial" w:eastAsia="Arial" w:hAnsi="Arial"/>
          <w:sz w:val="18"/>
          <w:szCs w:val="18"/>
          <w:b w:val="1"/>
          <w:bCs w:val="1"/>
          <w:color w:val="auto"/>
        </w:rPr>
      </w:pPr>
    </w:p>
    <w:p>
      <w:pPr>
        <w:ind w:left="2660" w:right="559" w:hanging="383"/>
        <w:spacing w:after="0" w:line="277" w:lineRule="auto"/>
        <w:tabs>
          <w:tab w:leader="none" w:pos="2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the nation’s economy, which may affect graduate employment, graduate earnings and, therefore, the ability of graduates to repay their student loans;</w:t>
      </w:r>
    </w:p>
    <w:p>
      <w:pPr>
        <w:spacing w:after="0" w:line="143" w:lineRule="exact"/>
        <w:rPr>
          <w:rFonts w:ascii="Arial" w:cs="Arial" w:eastAsia="Arial" w:hAnsi="Arial"/>
          <w:sz w:val="18"/>
          <w:szCs w:val="18"/>
          <w:b w:val="1"/>
          <w:bCs w:val="1"/>
          <w:color w:val="auto"/>
        </w:rPr>
      </w:pPr>
    </w:p>
    <w:p>
      <w:pPr>
        <w:ind w:left="2660" w:hanging="383"/>
        <w:spacing w:after="0"/>
        <w:tabs>
          <w:tab w:leader="none" w:pos="2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personal employment decisions made by our students;</w:t>
      </w:r>
    </w:p>
    <w:p>
      <w:pPr>
        <w:spacing w:after="0" w:line="184" w:lineRule="exact"/>
        <w:rPr>
          <w:rFonts w:ascii="Arial" w:cs="Arial" w:eastAsia="Arial" w:hAnsi="Arial"/>
          <w:sz w:val="18"/>
          <w:szCs w:val="18"/>
          <w:b w:val="1"/>
          <w:bCs w:val="1"/>
          <w:color w:val="auto"/>
        </w:rPr>
      </w:pPr>
    </w:p>
    <w:p>
      <w:pPr>
        <w:ind w:left="2660" w:hanging="383"/>
        <w:spacing w:after="0"/>
        <w:tabs>
          <w:tab w:leader="none" w:pos="2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increases in interest rates;</w:t>
      </w:r>
    </w:p>
    <w:p>
      <w:pPr>
        <w:spacing w:after="0" w:line="184" w:lineRule="exact"/>
        <w:rPr>
          <w:rFonts w:ascii="Arial" w:cs="Arial" w:eastAsia="Arial" w:hAnsi="Arial"/>
          <w:sz w:val="18"/>
          <w:szCs w:val="18"/>
          <w:b w:val="1"/>
          <w:bCs w:val="1"/>
          <w:color w:val="auto"/>
        </w:rPr>
      </w:pPr>
    </w:p>
    <w:p>
      <w:pPr>
        <w:ind w:left="2660" w:right="439" w:hanging="383"/>
        <w:spacing w:after="0" w:line="342" w:lineRule="auto"/>
        <w:tabs>
          <w:tab w:leader="none" w:pos="2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changes in the Department’s interpretation of any element of the gainful employment requirements that result in a more expansive or harsher enforcement than is currently presented; and</w:t>
      </w:r>
    </w:p>
    <w:p>
      <w:pPr>
        <w:spacing w:after="0" w:line="96" w:lineRule="exact"/>
        <w:rPr>
          <w:rFonts w:ascii="Arial" w:cs="Arial" w:eastAsia="Arial" w:hAnsi="Arial"/>
          <w:sz w:val="16"/>
          <w:szCs w:val="16"/>
          <w:b w:val="1"/>
          <w:bCs w:val="1"/>
          <w:color w:val="auto"/>
        </w:rPr>
      </w:pPr>
    </w:p>
    <w:p>
      <w:pPr>
        <w:ind w:left="2660" w:hanging="383"/>
        <w:spacing w:after="0"/>
        <w:tabs>
          <w:tab w:leader="none" w:pos="2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other factors.</w:t>
      </w:r>
    </w:p>
    <w:p>
      <w:pPr>
        <w:spacing w:after="0" w:line="185" w:lineRule="exact"/>
        <w:rPr>
          <w:sz w:val="20"/>
          <w:szCs w:val="20"/>
          <w:color w:val="auto"/>
        </w:rPr>
      </w:pPr>
    </w:p>
    <w:p>
      <w:pPr>
        <w:ind w:left="1880" w:right="479"/>
        <w:spacing w:after="0" w:line="277" w:lineRule="auto"/>
        <w:rPr>
          <w:sz w:val="20"/>
          <w:szCs w:val="20"/>
          <w:color w:val="auto"/>
        </w:rPr>
      </w:pPr>
      <w:r>
        <w:rPr>
          <w:rFonts w:ascii="Arial" w:cs="Arial" w:eastAsia="Arial" w:hAnsi="Arial"/>
          <w:sz w:val="18"/>
          <w:szCs w:val="18"/>
          <w:color w:val="auto"/>
        </w:rPr>
        <w:t>In addition, providing debt warnings to current and prospective students could have an adverse impact on the level of interest and enrollment in those programs of study.</w:t>
      </w:r>
    </w:p>
    <w:p>
      <w:pPr>
        <w:spacing w:after="0" w:line="130" w:lineRule="exact"/>
        <w:rPr>
          <w:sz w:val="20"/>
          <w:szCs w:val="20"/>
          <w:color w:val="auto"/>
        </w:rPr>
      </w:pPr>
    </w:p>
    <w:p>
      <w:pPr>
        <w:ind w:left="1880" w:right="179"/>
        <w:spacing w:after="0" w:line="277" w:lineRule="auto"/>
        <w:rPr>
          <w:sz w:val="20"/>
          <w:szCs w:val="20"/>
          <w:color w:val="auto"/>
        </w:rPr>
      </w:pPr>
      <w:r>
        <w:rPr>
          <w:rFonts w:ascii="Arial" w:cs="Arial" w:eastAsia="Arial" w:hAnsi="Arial"/>
          <w:sz w:val="18"/>
          <w:szCs w:val="18"/>
          <w:color w:val="auto"/>
        </w:rPr>
        <w:t xml:space="preserve">The above description of the proposed gainful employment rules is qualified in its entirety by the text of the final rules and other information found at </w:t>
      </w:r>
      <w:r>
        <w:rPr>
          <w:rFonts w:ascii="Arial" w:cs="Arial" w:eastAsia="Arial" w:hAnsi="Arial"/>
          <w:sz w:val="18"/>
          <w:szCs w:val="18"/>
          <w:u w:val="single" w:color="auto"/>
          <w:color w:val="auto"/>
        </w:rPr>
        <w:t>http://ifap.ed.gov/GainfulEmploymentInfo/index.html</w:t>
      </w:r>
      <w:r>
        <w:rPr>
          <w:rFonts w:ascii="Arial" w:cs="Arial" w:eastAsia="Arial" w:hAnsi="Arial"/>
          <w:sz w:val="18"/>
          <w:szCs w:val="18"/>
          <w:color w:val="auto"/>
        </w:rPr>
        <w:t>.</w:t>
      </w:r>
    </w:p>
    <w:p>
      <w:pPr>
        <w:sectPr>
          <w:pgSz w:w="11900" w:h="16838" w:orient="portrait"/>
          <w:cols w:equalWidth="0" w:num="1">
            <w:col w:w="10219"/>
          </w:cols>
          <w:pgMar w:left="240" w:top="419" w:right="1440" w:bottom="852"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52"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98" w:lineRule="exact"/>
        <w:rPr>
          <w:sz w:val="20"/>
          <w:szCs w:val="20"/>
          <w:color w:val="auto"/>
        </w:rPr>
      </w:pPr>
    </w:p>
    <w:p>
      <w:pPr>
        <w:ind w:left="340" w:right="1640" w:firstLine="389"/>
        <w:spacing w:after="0" w:line="271" w:lineRule="auto"/>
        <w:rPr>
          <w:sz w:val="20"/>
          <w:szCs w:val="20"/>
          <w:color w:val="auto"/>
        </w:rPr>
      </w:pPr>
      <w:r>
        <w:rPr>
          <w:rFonts w:ascii="Arial" w:cs="Arial" w:eastAsia="Arial" w:hAnsi="Arial"/>
          <w:sz w:val="17"/>
          <w:szCs w:val="17"/>
          <w:color w:val="auto"/>
        </w:rPr>
        <w:t>On August 16, 2010, our Board of Directors adopted a stock repurchase program, pursuant to which we are authorized to repurchase up to $25.0 million of shares of common stock, from time to time, depending on market conditions and other considerations. The expiration date on the repurchase authorization is September 30, 2011 and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June 30, 2011, we purchased 612,000 shares of common stock at an aggregate cost of $8.2 million and for an average price of $13.33 per share. At June 30, 2011, there remains $1.8 million available under our current share repurchase authorization.</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second quarter of fiscal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Maximum Dollar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6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Value of Shares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That May Yet Be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Total Number of</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5"/>
              </w:rPr>
              <w:t>Purchased Under</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Shares Purchased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32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the Program</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2011 — April 30, 2011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10,007,000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May 1, 2011 — May 31, 2011</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312,200</w:t>
            </w:r>
          </w:p>
        </w:tc>
        <w:tc>
          <w:tcPr>
            <w:tcW w:w="920" w:type="dxa"/>
            <w:vAlign w:val="bottom"/>
          </w:tcPr>
          <w:p>
            <w:pPr>
              <w:jc w:val="right"/>
              <w:spacing w:after="0"/>
              <w:rPr>
                <w:sz w:val="20"/>
                <w:szCs w:val="20"/>
                <w:color w:val="auto"/>
              </w:rPr>
            </w:pPr>
            <w:r>
              <w:rPr>
                <w:rFonts w:ascii="Arial" w:cs="Arial" w:eastAsia="Arial" w:hAnsi="Arial"/>
                <w:sz w:val="18"/>
                <w:szCs w:val="18"/>
                <w:color w:val="auto"/>
              </w:rPr>
              <w:t>13.29</w:t>
            </w:r>
          </w:p>
        </w:tc>
        <w:tc>
          <w:tcPr>
            <w:tcW w:w="2060" w:type="dxa"/>
            <w:vAlign w:val="bottom"/>
            <w:gridSpan w:val="3"/>
          </w:tcPr>
          <w:p>
            <w:pPr>
              <w:jc w:val="right"/>
              <w:ind w:right="180"/>
              <w:spacing w:after="0"/>
              <w:rPr>
                <w:sz w:val="20"/>
                <w:szCs w:val="20"/>
                <w:color w:val="auto"/>
              </w:rPr>
            </w:pPr>
            <w:r>
              <w:rPr>
                <w:rFonts w:ascii="Arial" w:cs="Arial" w:eastAsia="Arial" w:hAnsi="Arial"/>
                <w:sz w:val="18"/>
                <w:szCs w:val="18"/>
                <w:color w:val="auto"/>
              </w:rPr>
              <w:t>312,200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5,859,000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2011 — June 30, 2011</w:t>
            </w:r>
          </w:p>
        </w:tc>
        <w:tc>
          <w:tcPr>
            <w:tcW w:w="1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299,800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299,800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1,849,000</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tcPr>
          <w:p>
            <w:pPr>
              <w:spacing w:after="0"/>
              <w:rPr>
                <w:sz w:val="20"/>
                <w:szCs w:val="20"/>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612,000</w:t>
            </w:r>
          </w:p>
        </w:tc>
        <w:tc>
          <w:tcPr>
            <w:tcW w:w="920" w:type="dxa"/>
            <w:vAlign w:val="bottom"/>
          </w:tcPr>
          <w:p>
            <w:pPr>
              <w:jc w:val="right"/>
              <w:spacing w:after="0"/>
              <w:rPr>
                <w:sz w:val="20"/>
                <w:szCs w:val="20"/>
                <w:color w:val="auto"/>
              </w:rPr>
            </w:pPr>
            <w:r>
              <w:rPr>
                <w:rFonts w:ascii="Arial" w:cs="Arial" w:eastAsia="Arial" w:hAnsi="Arial"/>
                <w:sz w:val="18"/>
                <w:szCs w:val="18"/>
                <w:color w:val="auto"/>
              </w:rPr>
              <w:t>13.33</w:t>
            </w:r>
          </w:p>
        </w:tc>
        <w:tc>
          <w:tcPr>
            <w:tcW w:w="2060" w:type="dxa"/>
            <w:vAlign w:val="bottom"/>
            <w:gridSpan w:val="3"/>
          </w:tcPr>
          <w:p>
            <w:pPr>
              <w:jc w:val="right"/>
              <w:ind w:right="180"/>
              <w:spacing w:after="0"/>
              <w:rPr>
                <w:sz w:val="20"/>
                <w:szCs w:val="20"/>
                <w:color w:val="auto"/>
              </w:rPr>
            </w:pPr>
            <w:r>
              <w:rPr>
                <w:rFonts w:ascii="Arial" w:cs="Arial" w:eastAsia="Arial" w:hAnsi="Arial"/>
                <w:sz w:val="18"/>
                <w:szCs w:val="18"/>
                <w:color w:val="auto"/>
              </w:rPr>
              <w:t>612,000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1,849,000</w:t>
            </w:r>
          </w:p>
        </w:tc>
        <w:tc>
          <w:tcPr>
            <w:tcW w:w="1360" w:type="dxa"/>
            <w:vAlign w:val="bottom"/>
          </w:tcPr>
          <w:p>
            <w:pPr>
              <w:spacing w:after="0"/>
              <w:rPr>
                <w:sz w:val="20"/>
                <w:szCs w:val="20"/>
                <w:color w:val="auto"/>
              </w:rPr>
            </w:pPr>
          </w:p>
        </w:tc>
      </w:tr>
      <w:tr>
        <w:trPr>
          <w:trHeight w:val="373"/>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w w:val="89"/>
              </w:rPr>
              <w:t>Defaults Upon Senior Securities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3240" w:type="dxa"/>
            <w:vAlign w:val="bottom"/>
            <w:gridSpan w:val="2"/>
          </w:tcPr>
          <w:p>
            <w:pPr>
              <w:ind w:left="38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3240" w:type="dxa"/>
            <w:vAlign w:val="bottom"/>
            <w:gridSpan w:val="2"/>
          </w:tcPr>
          <w:p>
            <w:pPr>
              <w:ind w:left="38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83"/>
        </w:trPr>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0"/>
                <w:szCs w:val="20"/>
                <w:color w:val="auto"/>
              </w:rPr>
            </w:pPr>
          </w:p>
        </w:tc>
        <w:tc>
          <w:tcPr>
            <w:tcW w:w="41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404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9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w w:val="99"/>
              </w:rPr>
              <w:t>Amended and Restated Certificate of Incorporation.</w:t>
            </w:r>
          </w:p>
        </w:tc>
        <w:tc>
          <w:tcPr>
            <w:tcW w:w="32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Incorporated by reference to Exhibit 3.1 to Amendment</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9"/>
              </w:rPr>
              <w:t>No. 6 to the University’s Registration Statement on</w:t>
            </w:r>
          </w:p>
        </w:tc>
      </w:tr>
      <w:tr>
        <w:trPr>
          <w:trHeight w:val="230"/>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Second Amended and Restated Bylaws.</w:t>
            </w: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3.1 to the</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4"/>
              </w:rPr>
              <w:t>University’s Current Report on Form 8-K filed with the</w:t>
            </w:r>
          </w:p>
        </w:tc>
      </w:tr>
      <w:tr>
        <w:trPr>
          <w:trHeight w:val="230"/>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rPr>
              <w:t>SEC on August 2, 2010.</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Specimen of Stock Certificate.</w:t>
            </w: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1"/>
              </w:rPr>
              <w:t>Incorporated by reference to Exhibit 4.1 to Amendment</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9"/>
              </w:rPr>
              <w:t>No. 2 to the University’s Registration Statement on</w:t>
            </w:r>
          </w:p>
        </w:tc>
      </w:tr>
      <w:tr>
        <w:trPr>
          <w:trHeight w:val="230"/>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5"/>
              </w:rPr>
              <w:t>Form S-1 filed with the SEC on September 29,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4400" w:type="dxa"/>
            <w:vAlign w:val="bottom"/>
          </w:tcPr>
          <w:p>
            <w:pPr>
              <w:ind w:left="320"/>
              <w:spacing w:after="0"/>
              <w:rPr>
                <w:sz w:val="20"/>
                <w:szCs w:val="20"/>
                <w:color w:val="auto"/>
              </w:rPr>
            </w:pPr>
            <w:r>
              <w:rPr>
                <w:rFonts w:ascii="Arial" w:cs="Arial" w:eastAsia="Arial" w:hAnsi="Arial"/>
                <w:sz w:val="18"/>
                <w:szCs w:val="18"/>
                <w:color w:val="auto"/>
                <w:w w:val="98"/>
              </w:rPr>
              <w:t>Amended and Restated Investor Rights Agreement,</w:t>
            </w:r>
          </w:p>
        </w:tc>
      </w:tr>
      <w:tr>
        <w:trPr>
          <w:trHeight w:val="216"/>
        </w:trPr>
        <w:tc>
          <w:tcPr>
            <w:tcW w:w="6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88"/>
              </w:rPr>
              <w:t>dated September 17, 2008, by and among Grand Canyon</w:t>
            </w:r>
          </w:p>
        </w:tc>
      </w:tr>
      <w:tr>
        <w:trPr>
          <w:trHeight w:val="230"/>
        </w:trPr>
        <w:tc>
          <w:tcPr>
            <w:tcW w:w="6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98"/>
              </w:rPr>
              <w:t>Education, Inc. and the other parties named therein.</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440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w:t>
            </w:r>
          </w:p>
        </w:tc>
      </w:tr>
      <w:tr>
        <w:trPr>
          <w:trHeight w:val="216"/>
        </w:trPr>
        <w:tc>
          <w:tcPr>
            <w:tcW w:w="6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92"/>
              </w:rPr>
              <w:t>Rules 13a-14(a) and 15d-14(a), as adopted pursuant to</w:t>
            </w:r>
          </w:p>
        </w:tc>
      </w:tr>
      <w:tr>
        <w:trPr>
          <w:trHeight w:val="230"/>
        </w:trPr>
        <w:tc>
          <w:tcPr>
            <w:tcW w:w="6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ind w:right="199"/>
        <w:spacing w:after="0" w:line="312" w:lineRule="auto"/>
        <w:rPr>
          <w:sz w:val="20"/>
          <w:szCs w:val="20"/>
          <w:color w:val="auto"/>
        </w:rPr>
      </w:pPr>
      <w:r>
        <w:rPr>
          <w:rFonts w:ascii="Arial" w:cs="Arial" w:eastAsia="Arial" w:hAnsi="Arial"/>
          <w:sz w:val="16"/>
          <w:szCs w:val="16"/>
          <w:color w:val="auto"/>
        </w:rPr>
        <w:t>Incorporated by reference to Exhibit 4.2 to Amendment No. 2 to the University’s Registration Statement on Form S-1 filed with the SEC on September 29,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660" w:space="360"/>
            <w:col w:w="4199"/>
          </w:cols>
          <w:pgMar w:left="240" w:top="419" w:right="1440" w:bottom="1440" w:gutter="0" w:footer="0" w:header="0"/>
          <w:type w:val="continuous"/>
        </w:sectPr>
      </w:pP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6"/>
              </w:rPr>
              <w:t>Rules 13a-14(a) and 15d-14(a),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18</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2"/>
              </w:rPr>
              <w:t>U.S.C. Section 1350, as adopted pursuant to Section 906</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of the Sarbanes-Oxley Act of 2002. †</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18</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2"/>
              </w:rPr>
              <w:t>U.S.C. Section 1350, as adopted pursuant to Section 906</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of the Sarbanes-Oxley Act of 2002. †</w:t>
            </w:r>
          </w:p>
        </w:tc>
        <w:tc>
          <w:tcPr>
            <w:tcW w:w="1260" w:type="dxa"/>
            <w:vAlign w:val="bottom"/>
          </w:tcPr>
          <w:p>
            <w:pPr>
              <w:spacing w:after="0"/>
              <w:rPr>
                <w:sz w:val="20"/>
                <w:szCs w:val="20"/>
                <w:color w:val="auto"/>
              </w:rPr>
            </w:pPr>
          </w:p>
        </w:tc>
      </w:tr>
    </w:tbl>
    <w:p>
      <w:pPr>
        <w:spacing w:after="0" w:line="40" w:lineRule="exact"/>
        <w:rPr>
          <w:sz w:val="20"/>
          <w:szCs w:val="20"/>
          <w:color w:val="auto"/>
        </w:rPr>
      </w:pPr>
    </w:p>
    <w:p>
      <w:pPr>
        <w:ind w:left="720" w:right="419" w:hanging="388"/>
        <w:spacing w:after="0" w:line="286"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40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880" w:type="dxa"/>
            <w:vAlign w:val="bottom"/>
            <w:gridSpan w:val="2"/>
          </w:tcPr>
          <w:p>
            <w:pPr>
              <w:ind w:left="1000"/>
              <w:spacing w:after="0"/>
              <w:rPr>
                <w:sz w:val="20"/>
                <w:szCs w:val="20"/>
                <w:color w:val="auto"/>
              </w:rPr>
            </w:pPr>
            <w:r>
              <w:rPr>
                <w:rFonts w:ascii="Arial" w:cs="Arial" w:eastAsia="Arial" w:hAnsi="Arial"/>
                <w:sz w:val="18"/>
                <w:szCs w:val="18"/>
                <w:b w:val="1"/>
                <w:bCs w:val="1"/>
                <w:color w:val="auto"/>
              </w:rPr>
              <w:t>GRAND CANYON EDUCATION, INC.</w:t>
            </w:r>
          </w:p>
        </w:tc>
        <w:tc>
          <w:tcPr>
            <w:tcW w:w="2680" w:type="dxa"/>
            <w:vAlign w:val="bottom"/>
          </w:tcPr>
          <w:p>
            <w:pPr>
              <w:spacing w:after="0"/>
              <w:rPr>
                <w:sz w:val="20"/>
                <w:szCs w:val="20"/>
                <w:color w:val="auto"/>
              </w:rPr>
            </w:pPr>
          </w:p>
        </w:tc>
      </w:tr>
      <w:tr>
        <w:trPr>
          <w:trHeight w:val="432"/>
        </w:trPr>
        <w:tc>
          <w:tcPr>
            <w:tcW w:w="2860" w:type="dxa"/>
            <w:vAlign w:val="bottom"/>
          </w:tcPr>
          <w:p>
            <w:pPr>
              <w:ind w:left="340"/>
              <w:spacing w:after="0"/>
              <w:rPr>
                <w:sz w:val="20"/>
                <w:szCs w:val="20"/>
                <w:color w:val="auto"/>
              </w:rPr>
            </w:pPr>
            <w:r>
              <w:rPr>
                <w:rFonts w:ascii="Arial" w:cs="Arial" w:eastAsia="Arial" w:hAnsi="Arial"/>
                <w:sz w:val="18"/>
                <w:szCs w:val="18"/>
                <w:color w:val="auto"/>
              </w:rPr>
              <w:t>Date: August 4, 2011</w:t>
            </w:r>
          </w:p>
        </w:tc>
        <w:tc>
          <w:tcPr>
            <w:tcW w:w="5880" w:type="dxa"/>
            <w:vAlign w:val="bottom"/>
            <w:gridSpan w:val="2"/>
          </w:tcPr>
          <w:p>
            <w:pPr>
              <w:ind w:left="1000"/>
              <w:spacing w:after="0"/>
              <w:rPr>
                <w:sz w:val="20"/>
                <w:szCs w:val="20"/>
                <w:color w:val="auto"/>
              </w:rPr>
            </w:pPr>
            <w:r>
              <w:rPr>
                <w:rFonts w:ascii="Arial" w:cs="Arial" w:eastAsia="Arial" w:hAnsi="Arial"/>
                <w:sz w:val="18"/>
                <w:szCs w:val="18"/>
                <w:color w:val="auto"/>
              </w:rPr>
              <w:t>By: /s/ Daniel E. Bachus</w:t>
            </w:r>
          </w:p>
        </w:tc>
        <w:tc>
          <w:tcPr>
            <w:tcW w:w="2680" w:type="dxa"/>
            <w:vAlign w:val="bottom"/>
          </w:tcPr>
          <w:p>
            <w:pPr>
              <w:spacing w:after="0"/>
              <w:rPr>
                <w:sz w:val="24"/>
                <w:szCs w:val="24"/>
                <w:color w:val="auto"/>
              </w:rPr>
            </w:pPr>
          </w:p>
        </w:tc>
      </w:tr>
      <w:tr>
        <w:trPr>
          <w:trHeight w:val="195"/>
        </w:trPr>
        <w:tc>
          <w:tcPr>
            <w:tcW w:w="2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68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8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680" w:type="dxa"/>
            <w:vAlign w:val="bottom"/>
          </w:tcPr>
          <w:p>
            <w:pPr>
              <w:spacing w:after="0"/>
              <w:rPr>
                <w:sz w:val="20"/>
                <w:szCs w:val="20"/>
                <w:color w:val="auto"/>
              </w:rPr>
            </w:pPr>
          </w:p>
        </w:tc>
      </w:tr>
      <w:tr>
        <w:trPr>
          <w:trHeight w:val="783"/>
        </w:trPr>
        <w:tc>
          <w:tcPr>
            <w:tcW w:w="2860" w:type="dxa"/>
            <w:vAlign w:val="bottom"/>
          </w:tcPr>
          <w:p>
            <w:pPr>
              <w:spacing w:after="0"/>
              <w:rPr>
                <w:sz w:val="24"/>
                <w:szCs w:val="24"/>
                <w:color w:val="auto"/>
              </w:rPr>
            </w:pPr>
          </w:p>
        </w:tc>
        <w:tc>
          <w:tcPr>
            <w:tcW w:w="5880" w:type="dxa"/>
            <w:vAlign w:val="bottom"/>
            <w:gridSpan w:val="2"/>
          </w:tcPr>
          <w:p>
            <w:pPr>
              <w:jc w:val="right"/>
              <w:ind w:right="3370"/>
              <w:spacing w:after="0"/>
              <w:rPr>
                <w:sz w:val="20"/>
                <w:szCs w:val="20"/>
                <w:color w:val="auto"/>
              </w:rPr>
            </w:pPr>
            <w:r>
              <w:rPr>
                <w:rFonts w:ascii="Arial" w:cs="Arial" w:eastAsia="Arial" w:hAnsi="Arial"/>
                <w:sz w:val="18"/>
                <w:szCs w:val="18"/>
                <w:color w:val="auto"/>
              </w:rPr>
              <w:t>30</w:t>
            </w:r>
          </w:p>
        </w:tc>
        <w:tc>
          <w:tcPr>
            <w:tcW w:w="2680" w:type="dxa"/>
            <w:vAlign w:val="bottom"/>
          </w:tcPr>
          <w:p>
            <w:pPr>
              <w:spacing w:after="0"/>
              <w:rPr>
                <w:sz w:val="24"/>
                <w:szCs w:val="24"/>
                <w:color w:val="auto"/>
              </w:rPr>
            </w:pPr>
          </w:p>
        </w:tc>
      </w:tr>
      <w:tr>
        <w:trPr>
          <w:trHeight w:val="226"/>
        </w:trPr>
        <w:tc>
          <w:tcPr>
            <w:tcW w:w="28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Table of Contents</w:t>
              </w:r>
            </w:hyperlink>
          </w:p>
        </w:tc>
        <w:tc>
          <w:tcPr>
            <w:tcW w:w="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2"/>
          </w:tcPr>
          <w:p>
            <w:pPr>
              <w:ind w:left="2960"/>
              <w:spacing w:after="0"/>
              <w:rPr>
                <w:sz w:val="20"/>
                <w:szCs w:val="20"/>
                <w:color w:val="auto"/>
              </w:rPr>
            </w:pPr>
            <w:r>
              <w:rPr>
                <w:rFonts w:ascii="Arial" w:cs="Arial" w:eastAsia="Arial" w:hAnsi="Arial"/>
                <w:sz w:val="18"/>
                <w:szCs w:val="18"/>
                <w:color w:val="auto"/>
              </w:rPr>
              <w:t>EXHIBIT INDEX</w:t>
            </w:r>
          </w:p>
        </w:tc>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4"/>
                <w:szCs w:val="24"/>
                <w:color w:val="auto"/>
              </w:rPr>
            </w:pPr>
          </w:p>
        </w:tc>
        <w:tc>
          <w:tcPr>
            <w:tcW w:w="4360" w:type="dxa"/>
            <w:vAlign w:val="bottom"/>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4"/>
                <w:szCs w:val="24"/>
                <w:color w:val="auto"/>
              </w:rPr>
            </w:pPr>
          </w:p>
        </w:tc>
        <w:tc>
          <w:tcPr>
            <w:tcW w:w="4040" w:type="dxa"/>
            <w:vAlign w:val="bottom"/>
          </w:tcPr>
          <w:p>
            <w:pPr>
              <w:ind w:left="138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340" w:type="dxa"/>
            <w:vAlign w:val="bottom"/>
          </w:tcPr>
          <w:p>
            <w:pPr>
              <w:spacing w:after="0"/>
              <w:rPr>
                <w:sz w:val="16"/>
                <w:szCs w:val="16"/>
                <w:color w:val="auto"/>
              </w:rPr>
            </w:pPr>
          </w:p>
        </w:tc>
        <w:tc>
          <w:tcPr>
            <w:tcW w:w="92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Amended and Restated Certificate of Incorporation.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Incorporated by reference to Exhibit 3.1 to Amendment</w:t>
            </w:r>
          </w:p>
        </w:tc>
      </w:tr>
      <w:tr>
        <w:trPr>
          <w:trHeight w:val="216"/>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w w:val="99"/>
              </w:rPr>
              <w:t>No. 6 to the University’s Registration Statement on</w:t>
            </w:r>
          </w:p>
        </w:tc>
      </w:tr>
      <w:tr>
        <w:trPr>
          <w:trHeight w:val="230"/>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Second Amended and Restated Bylaws.</w:t>
            </w:r>
          </w:p>
        </w:tc>
        <w:tc>
          <w:tcPr>
            <w:tcW w:w="4120" w:type="dxa"/>
            <w:vAlign w:val="bottom"/>
            <w:gridSpan w:val="2"/>
          </w:tcPr>
          <w:p>
            <w:pPr>
              <w:ind w:left="80"/>
              <w:spacing w:after="0"/>
              <w:rPr>
                <w:sz w:val="20"/>
                <w:szCs w:val="20"/>
                <w:color w:val="auto"/>
              </w:rPr>
            </w:pPr>
            <w:r>
              <w:rPr>
                <w:rFonts w:ascii="Arial" w:cs="Arial" w:eastAsia="Arial" w:hAnsi="Arial"/>
                <w:sz w:val="18"/>
                <w:szCs w:val="18"/>
                <w:color w:val="auto"/>
              </w:rPr>
              <w:t>Incorporated by reference to Exhibit 3.1 to the</w:t>
            </w:r>
          </w:p>
        </w:tc>
      </w:tr>
      <w:tr>
        <w:trPr>
          <w:trHeight w:val="216"/>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w w:val="94"/>
              </w:rPr>
              <w:t>University’s Current Report on Form 8-K filed with the</w:t>
            </w:r>
          </w:p>
        </w:tc>
      </w:tr>
      <w:tr>
        <w:trPr>
          <w:trHeight w:val="230"/>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rPr>
              <w:t>SEC on August 2, 2010.</w:t>
            </w:r>
          </w:p>
        </w:tc>
      </w:tr>
      <w:tr>
        <w:trPr>
          <w:trHeight w:val="418"/>
        </w:trPr>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Specimen of Stock Certificate.</w:t>
            </w:r>
          </w:p>
        </w:tc>
        <w:tc>
          <w:tcPr>
            <w:tcW w:w="4120" w:type="dxa"/>
            <w:vAlign w:val="bottom"/>
            <w:gridSpan w:val="2"/>
          </w:tcPr>
          <w:p>
            <w:pPr>
              <w:ind w:left="80"/>
              <w:spacing w:after="0"/>
              <w:rPr>
                <w:sz w:val="20"/>
                <w:szCs w:val="20"/>
                <w:color w:val="auto"/>
              </w:rPr>
            </w:pPr>
            <w:r>
              <w:rPr>
                <w:rFonts w:ascii="Arial" w:cs="Arial" w:eastAsia="Arial" w:hAnsi="Arial"/>
                <w:sz w:val="18"/>
                <w:szCs w:val="18"/>
                <w:color w:val="auto"/>
                <w:w w:val="91"/>
              </w:rPr>
              <w:t>Incorporated by reference to Exhibit 4.1 to Amendment</w:t>
            </w:r>
          </w:p>
        </w:tc>
      </w:tr>
      <w:tr>
        <w:trPr>
          <w:trHeight w:val="216"/>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w w:val="99"/>
              </w:rPr>
              <w:t>No. 2 to the University’s Registration Statement on</w:t>
            </w:r>
          </w:p>
        </w:tc>
      </w:tr>
      <w:tr>
        <w:trPr>
          <w:trHeight w:val="230"/>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w w:val="95"/>
              </w:rPr>
              <w:t>Form S-1 filed with the SEC on September 29, 2008.</w:t>
            </w: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4400" w:type="dxa"/>
            <w:vAlign w:val="bottom"/>
          </w:tcPr>
          <w:p>
            <w:pPr>
              <w:ind w:left="320"/>
              <w:spacing w:after="0"/>
              <w:rPr>
                <w:sz w:val="20"/>
                <w:szCs w:val="20"/>
                <w:color w:val="auto"/>
              </w:rPr>
            </w:pPr>
            <w:r>
              <w:rPr>
                <w:rFonts w:ascii="Arial" w:cs="Arial" w:eastAsia="Arial" w:hAnsi="Arial"/>
                <w:sz w:val="18"/>
                <w:szCs w:val="18"/>
                <w:color w:val="auto"/>
                <w:w w:val="98"/>
              </w:rPr>
              <w:t>Amended and Restated Investor Rights Agreement,</w:t>
            </w:r>
          </w:p>
        </w:tc>
      </w:tr>
      <w:tr>
        <w:trPr>
          <w:trHeight w:val="216"/>
        </w:trPr>
        <w:tc>
          <w:tcPr>
            <w:tcW w:w="6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88"/>
              </w:rPr>
              <w:t>dated September 17, 2008, by and among Grand Canyon</w:t>
            </w:r>
          </w:p>
        </w:tc>
      </w:tr>
      <w:tr>
        <w:trPr>
          <w:trHeight w:val="230"/>
        </w:trPr>
        <w:tc>
          <w:tcPr>
            <w:tcW w:w="6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98"/>
              </w:rPr>
              <w:t>Education, Inc. and the other parties named therein.</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440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w:t>
            </w:r>
          </w:p>
        </w:tc>
      </w:tr>
      <w:tr>
        <w:trPr>
          <w:trHeight w:val="216"/>
        </w:trPr>
        <w:tc>
          <w:tcPr>
            <w:tcW w:w="6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92"/>
              </w:rPr>
              <w:t>Rules 13a-14(a) and 15d-14(a), as adopted pursuant to</w:t>
            </w:r>
          </w:p>
        </w:tc>
      </w:tr>
      <w:tr>
        <w:trPr>
          <w:trHeight w:val="230"/>
        </w:trPr>
        <w:tc>
          <w:tcPr>
            <w:tcW w:w="6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ind w:right="199"/>
        <w:spacing w:after="0" w:line="312" w:lineRule="auto"/>
        <w:rPr>
          <w:sz w:val="20"/>
          <w:szCs w:val="20"/>
          <w:color w:val="auto"/>
        </w:rPr>
      </w:pPr>
      <w:r>
        <w:rPr>
          <w:rFonts w:ascii="Arial" w:cs="Arial" w:eastAsia="Arial" w:hAnsi="Arial"/>
          <w:sz w:val="16"/>
          <w:szCs w:val="16"/>
          <w:color w:val="auto"/>
        </w:rPr>
        <w:t>Incorporated by reference to Exhibit 4.2 to Amendment No. 2 to the University’s Registration Statement on Form S-1 filed with the SEC on September 29,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660" w:space="360"/>
            <w:col w:w="4199"/>
          </w:cols>
          <w:pgMar w:left="240" w:top="405" w:right="1440" w:bottom="1440" w:gutter="0" w:footer="0" w:header="0"/>
          <w:type w:val="continuous"/>
        </w:sectPr>
      </w:pP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6"/>
              </w:rPr>
              <w:t>Rules 13a-14(a) and 15d-14(a),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18</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2"/>
              </w:rPr>
              <w:t>U.S.C. Section 1350, as adopted pursuant to Section 906</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of the Sarbanes-Oxley Act of 2002. †</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18</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2"/>
              </w:rPr>
              <w:t>U.S.C. Section 1350, as adopted pursuant to Section 906</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of the Sarbanes-Oxley Act of 2002. †</w:t>
            </w:r>
          </w:p>
        </w:tc>
        <w:tc>
          <w:tcPr>
            <w:tcW w:w="1260" w:type="dxa"/>
            <w:vAlign w:val="bottom"/>
          </w:tcPr>
          <w:p>
            <w:pPr>
              <w:spacing w:after="0"/>
              <w:rPr>
                <w:sz w:val="20"/>
                <w:szCs w:val="20"/>
                <w:color w:val="auto"/>
              </w:rPr>
            </w:pPr>
          </w:p>
        </w:tc>
      </w:tr>
    </w:tbl>
    <w:p>
      <w:pPr>
        <w:spacing w:after="0" w:line="40" w:lineRule="exact"/>
        <w:rPr>
          <w:sz w:val="20"/>
          <w:szCs w:val="20"/>
          <w:color w:val="auto"/>
        </w:rPr>
      </w:pPr>
    </w:p>
    <w:p>
      <w:pPr>
        <w:ind w:left="720" w:right="419" w:hanging="388"/>
        <w:spacing w:after="0" w:line="286"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05" w:right="1440" w:bottom="1440" w:gutter="0" w:footer="0" w:header="0"/>
          <w:type w:val="continuous"/>
        </w:sectPr>
      </w:pPr>
    </w:p>
    <w:bookmarkStart w:id="33" w:name="page34"/>
    <w:bookmarkEnd w:id="33"/>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560" w:hanging="179"/>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June 30, 2011 of Grand Canyon Education, Inc.;</w:t>
      </w:r>
    </w:p>
    <w:p>
      <w:pPr>
        <w:spacing w:after="0" w:line="207" w:lineRule="exact"/>
        <w:rPr>
          <w:rFonts w:ascii="Arial" w:cs="Arial" w:eastAsia="Arial" w:hAnsi="Arial"/>
          <w:sz w:val="16"/>
          <w:szCs w:val="16"/>
          <w:color w:val="auto"/>
        </w:rPr>
      </w:pPr>
    </w:p>
    <w:p>
      <w:pPr>
        <w:jc w:val="both"/>
        <w:ind w:right="459" w:firstLine="381"/>
        <w:spacing w:after="0" w:line="264" w:lineRule="auto"/>
        <w:tabs>
          <w:tab w:leader="none" w:pos="5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August 4,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34" w:name="page35"/>
    <w:bookmarkEnd w:id="34"/>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560" w:hanging="179"/>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June 30, 2011 of Grand Canyon Education, Inc.;</w:t>
      </w:r>
    </w:p>
    <w:p>
      <w:pPr>
        <w:spacing w:after="0" w:line="207" w:lineRule="exact"/>
        <w:rPr>
          <w:rFonts w:ascii="Arial" w:cs="Arial" w:eastAsia="Arial" w:hAnsi="Arial"/>
          <w:sz w:val="16"/>
          <w:szCs w:val="16"/>
          <w:color w:val="auto"/>
        </w:rPr>
      </w:pPr>
    </w:p>
    <w:p>
      <w:pPr>
        <w:jc w:val="both"/>
        <w:ind w:right="459" w:firstLine="381"/>
        <w:spacing w:after="0" w:line="264" w:lineRule="auto"/>
        <w:tabs>
          <w:tab w:leader="none" w:pos="5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August 4, 2011</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7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7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0" w:lineRule="exact"/>
        <w:rPr>
          <w:sz w:val="20"/>
          <w:szCs w:val="20"/>
          <w:color w:val="auto"/>
        </w:rPr>
      </w:pPr>
    </w:p>
    <w:p>
      <w:pPr>
        <w:ind w:left="8" w:right="19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June 30, 2011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4,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513"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25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June 30, 2011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4,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87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2019-12-11T06:12:38Z</dcterms:created>
  <dcterms:modified xsi:type="dcterms:W3CDTF">2019-12-11T06:12:38Z</dcterms:modified>
</cp:coreProperties>
</file>