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2022</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536575</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116840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159385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9, 2022, Grand Canyon Education, Inc. (the “Company”) held its 2022 Annual Meeting of Stockholders (the “Annual Meeting”). The total number of shares of the Company’s common stock, par value of $0.01 per share, voted in person or by proxy at the Annual Meeting was 30,832,072, representing approximately 94% of the 32,820,123 shares that were outstanding and entitled to vote as of the record date. The following matters, which were described in the Company’s definitive Proxy Statement filed with the Securities and Exchange Commission on April 22, 2022, were voted upon at the Annual Meeting, and the number of votes cast for and against, as well as abstentions and broker non-votes, if applicable, with respect to each such matter is set forth below.</w:t>
      </w:r>
    </w:p>
    <w:p>
      <w:pPr>
        <w:spacing w:after="0" w:line="187" w:lineRule="exact"/>
        <w:rPr>
          <w:sz w:val="20"/>
          <w:szCs w:val="20"/>
          <w:color w:val="auto"/>
        </w:rPr>
      </w:pPr>
    </w:p>
    <w:p>
      <w:pPr>
        <w:jc w:val="both"/>
        <w:ind w:left="680" w:hanging="321"/>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nominees listed below as Directors of the Company, each to serve until the Company’s 2023 Annual Meeting of Stockholders or until his or her respective successor is elected and qualified or until his or her earlier resignation or removal.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09"/>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29,007,283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1,254,672</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562,483</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 R. Dial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29,833,900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427,120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562,483</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29,042,313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1,218,665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562,483</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Graham Keegan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29,806,407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454,611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562,483</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Chevy Humphrey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29,512,344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562,483</w:t>
            </w: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Adame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29,863,036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398,727</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562,483</w:t>
            </w:r>
          </w:p>
        </w:tc>
      </w:tr>
      <w:tr>
        <w:trPr>
          <w:trHeight w:val="414"/>
        </w:trPr>
        <w:tc>
          <w:tcPr>
            <w:tcW w:w="868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2)  The stockholders approved, on an advisory basis, the compensation of our named executive officers.</w:t>
            </w:r>
          </w:p>
        </w:tc>
        <w:tc>
          <w:tcPr>
            <w:tcW w:w="1240" w:type="dxa"/>
            <w:vAlign w:val="bottom"/>
          </w:tcPr>
          <w:p>
            <w:pPr>
              <w:spacing w:after="0"/>
              <w:rPr>
                <w:sz w:val="24"/>
                <w:szCs w:val="24"/>
                <w:color w:val="auto"/>
              </w:rPr>
            </w:pPr>
          </w:p>
        </w:tc>
      </w:tr>
      <w:tr>
        <w:trPr>
          <w:trHeight w:val="378"/>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of Officers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28,799,547</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1,450,793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562,483</w:t>
            </w:r>
          </w:p>
        </w:tc>
      </w:tr>
    </w:tbl>
    <w:p>
      <w:pPr>
        <w:spacing w:after="0" w:line="211"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 December 31,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KPMG LLP</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30,716,281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107,971</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420" w:type="dxa"/>
            <w:vAlign w:val="bottom"/>
          </w:tcPr>
          <w:p>
            <w:pPr>
              <w:spacing w:after="0"/>
              <w:rPr>
                <w:sz w:val="18"/>
                <w:szCs w:val="18"/>
                <w:color w:val="auto"/>
              </w:rPr>
            </w:pPr>
          </w:p>
        </w:tc>
      </w:tr>
      <w:tr>
        <w:trPr>
          <w:trHeight w:val="1006"/>
        </w:trPr>
        <w:tc>
          <w:tcPr>
            <w:tcW w:w="5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2022</w:t>
            </w: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178"/>
        </w:trPr>
        <w:tc>
          <w:tcPr>
            <w:tcW w:w="3440" w:type="dxa"/>
            <w:vAlign w:val="bottom"/>
          </w:tcPr>
          <w:p>
            <w:pPr>
              <w:spacing w:after="0"/>
              <w:rPr>
                <w:sz w:val="15"/>
                <w:szCs w:val="15"/>
                <w:color w:val="auto"/>
              </w:rPr>
            </w:pPr>
          </w:p>
        </w:tc>
        <w:tc>
          <w:tcPr>
            <w:tcW w:w="2260" w:type="dxa"/>
            <w:vAlign w:val="bottom"/>
          </w:tcPr>
          <w:p>
            <w:pPr>
              <w:ind w:left="1800"/>
              <w:spacing w:after="0" w:line="177" w:lineRule="exact"/>
              <w:rPr>
                <w:sz w:val="20"/>
                <w:szCs w:val="20"/>
                <w:color w:val="auto"/>
              </w:rPr>
            </w:pPr>
            <w:r>
              <w:rPr>
                <w:rFonts w:ascii="Times New Roman" w:cs="Times New Roman" w:eastAsia="Times New Roman" w:hAnsi="Times New Roman"/>
                <w:sz w:val="18"/>
                <w:szCs w:val="18"/>
                <w:color w:val="auto"/>
                <w:w w:val="91"/>
              </w:rPr>
              <w:t>Daniel</w:t>
            </w:r>
          </w:p>
        </w:tc>
        <w:tc>
          <w:tcPr>
            <w:tcW w:w="422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E. Bachus</w:t>
            </w:r>
          </w:p>
        </w:tc>
      </w:tr>
      <w:tr>
        <w:trPr>
          <w:trHeight w:val="216"/>
        </w:trPr>
        <w:tc>
          <w:tcPr>
            <w:tcW w:w="3440" w:type="dxa"/>
            <w:vAlign w:val="bottom"/>
          </w:tcPr>
          <w:p>
            <w:pPr>
              <w:spacing w:after="0"/>
              <w:rPr>
                <w:sz w:val="18"/>
                <w:szCs w:val="18"/>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06"/>
        </w:trPr>
        <w:tc>
          <w:tcPr>
            <w:tcW w:w="34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2022-06-14T15:22:50Z</dcterms:created>
  <dcterms:modified xsi:type="dcterms:W3CDTF">2022-06-14T15:22:50Z</dcterms:modified>
</cp:coreProperties>
</file>