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March 31, 2022</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May 2, 2022, was 32,319,350.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 Management’s Discussion and Analysis of Financial Condition and Results of Operations</w:t>
              </w:r>
            </w:hyperlink>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3 Quantitative and Qualitative Disclosures About Market Risk</w:t>
              </w:r>
            </w:hyperlink>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1A Risk Factors</w:t>
              </w:r>
            </w:hyperlink>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3</w:t>
              </w:r>
            </w:hyperlink>
          </w:p>
        </w:tc>
        <w:tc>
          <w:tcPr>
            <w:tcW w:w="436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4</w:t>
              </w:r>
            </w:hyperlink>
          </w:p>
        </w:tc>
        <w:tc>
          <w:tcPr>
            <w:tcW w:w="23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244,133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236,934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166,668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152,708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34,806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46,084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34,901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50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50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380,355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918,386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1,222,745</w:t>
            </w: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ind w:left="126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50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50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lease liability</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outstanding at March 31, 2022 and December 31, 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100,000 shares authorized; 53,826 and 53,637 shares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2"/>
              </w:rPr>
              <w:t>issued and 33,278 and 37,722 shares outstanding at March 31, 2022 and December 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2021,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w w:val="93"/>
              </w:rPr>
              <w:t>Treasury stock, at cost, 20,548 and 15,915 shares of common stock at March 31, 2022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and December 31, 2021,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(1,506,766)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(1,107,211)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1,913,130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1,855,052</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1,045,047</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1,222,745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78,112</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Unrealized losses on available-for-sale securities, net of taxes of $99 and $35 for the three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months ended March 31, 2022 and 2021, respectively</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57,755</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77,992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17"/>
          </w:tcPr>
          <w:p>
            <w:pPr>
              <w:spacing w:after="0"/>
              <w:rPr>
                <w:sz w:val="20"/>
                <w:szCs w:val="20"/>
                <w:color w:val="auto"/>
              </w:rPr>
            </w:pPr>
            <w:r>
              <w:rPr>
                <w:rFonts w:ascii="Arial" w:cs="Arial" w:eastAsia="Arial" w:hAnsi="Arial"/>
                <w:sz w:val="14"/>
                <w:szCs w:val="14"/>
                <w:b w:val="1"/>
                <w:bCs w:val="1"/>
                <w:color w:val="auto"/>
                <w:w w:val="94"/>
              </w:rPr>
              <w:t>Three Months Ended March 31, 2022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60" w:type="dxa"/>
            <w:vAlign w:val="bottom"/>
            <w:gridSpan w:val="9"/>
            <w:vMerge w:val="restart"/>
          </w:tcPr>
          <w:p>
            <w:pPr>
              <w:jc w:val="right"/>
              <w:ind w:right="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vMerge w:val="restart"/>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260" w:type="dxa"/>
            <w:vAlign w:val="bottom"/>
            <w:gridSpan w:val="9"/>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53,637</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536</w:t>
            </w:r>
          </w:p>
        </w:tc>
        <w:tc>
          <w:tcPr>
            <w:tcW w:w="680" w:type="dxa"/>
            <w:vAlign w:val="bottom"/>
            <w:gridSpan w:val="6"/>
            <w:vMerge w:val="restart"/>
            <w:shd w:val="clear" w:color="auto" w:fill="CCEEFF"/>
          </w:tcPr>
          <w:p>
            <w:pPr>
              <w:jc w:val="right"/>
              <w:spacing w:after="0"/>
              <w:rPr>
                <w:sz w:val="20"/>
                <w:szCs w:val="20"/>
                <w:color w:val="auto"/>
              </w:rPr>
            </w:pPr>
            <w:r>
              <w:rPr>
                <w:rFonts w:ascii="Arial" w:cs="Arial" w:eastAsia="Arial" w:hAnsi="Arial"/>
                <w:sz w:val="17"/>
                <w:szCs w:val="17"/>
                <w:color w:val="auto"/>
              </w:rPr>
              <w:t>15,915</w:t>
            </w:r>
          </w:p>
        </w:tc>
        <w:tc>
          <w:tcPr>
            <w:tcW w:w="80" w:type="dxa"/>
            <w:vAlign w:val="bottom"/>
            <w:shd w:val="clear" w:color="auto" w:fill="CCEEFF"/>
          </w:tcPr>
          <w:p>
            <w:pPr>
              <w:spacing w:after="0"/>
              <w:rPr>
                <w:sz w:val="15"/>
                <w:szCs w:val="15"/>
                <w:color w:val="auto"/>
              </w:rPr>
            </w:pPr>
          </w:p>
        </w:tc>
        <w:tc>
          <w:tcPr>
            <w:tcW w:w="940" w:type="dxa"/>
            <w:vAlign w:val="bottom"/>
            <w:gridSpan w:val="5"/>
            <w:vMerge w:val="restart"/>
            <w:shd w:val="clear" w:color="auto" w:fill="CCEEFF"/>
          </w:tcPr>
          <w:p>
            <w:pPr>
              <w:jc w:val="right"/>
              <w:spacing w:after="0"/>
              <w:rPr>
                <w:sz w:val="20"/>
                <w:szCs w:val="20"/>
                <w:color w:val="auto"/>
              </w:rPr>
            </w:pPr>
            <w:r>
              <w:rPr>
                <w:rFonts w:ascii="Arial" w:cs="Arial" w:eastAsia="Arial" w:hAnsi="Arial"/>
                <w:sz w:val="17"/>
                <w:szCs w:val="17"/>
                <w:color w:val="auto"/>
                <w:w w:val="90"/>
              </w:rPr>
              <w:t>$ (1,107,211)</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$ 296,670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0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  $ 1,855,052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1,045,047</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80" w:type="dxa"/>
            <w:vAlign w:val="bottom"/>
            <w:gridSpan w:val="6"/>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800" w:type="dxa"/>
            <w:vAlign w:val="bottom"/>
            <w:gridSpan w:val="4"/>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(323)</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58,078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57,755</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purchased</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4,575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(4,625)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196"/>
        </w:trPr>
        <w:tc>
          <w:tcPr>
            <w:tcW w:w="2140" w:type="dxa"/>
            <w:vAlign w:val="bottom"/>
          </w:tcPr>
          <w:p>
            <w:pPr>
              <w:spacing w:after="0" w:line="196" w:lineRule="exact"/>
              <w:rPr>
                <w:sz w:val="20"/>
                <w:szCs w:val="20"/>
                <w:color w:val="auto"/>
              </w:rPr>
            </w:pPr>
            <w:r>
              <w:rPr>
                <w:rFonts w:ascii="Arial" w:cs="Arial" w:eastAsia="Arial" w:hAnsi="Arial"/>
                <w:sz w:val="18"/>
                <w:szCs w:val="18"/>
                <w:color w:val="auto"/>
                <w:w w:val="98"/>
              </w:rPr>
              <w:t>Balance at March 31, 2022</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2"/>
              </w:rPr>
              <w:t>53,826</w:t>
            </w:r>
          </w:p>
        </w:tc>
        <w:tc>
          <w:tcPr>
            <w:tcW w:w="40" w:type="dxa"/>
            <w:vAlign w:val="bottom"/>
            <w:tcBorders>
              <w:top w:val="single" w:sz="8" w:color="auto"/>
            </w:tcBorders>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538</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w w:val="92"/>
              </w:rPr>
              <w:t>20,548</w:t>
            </w:r>
          </w:p>
        </w:tc>
        <w:tc>
          <w:tcPr>
            <w:tcW w:w="8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w w:val="94"/>
              </w:rPr>
              <w:t>(1,506,766)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299,858</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1,913,130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706,437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18"/>
          </w:tcPr>
          <w:p>
            <w:pPr>
              <w:jc w:val="right"/>
              <w:ind w:right="579"/>
              <w:spacing w:after="0"/>
              <w:rPr>
                <w:sz w:val="20"/>
                <w:szCs w:val="20"/>
                <w:color w:val="auto"/>
              </w:rPr>
            </w:pPr>
            <w:r>
              <w:rPr>
                <w:rFonts w:ascii="Arial" w:cs="Arial" w:eastAsia="Arial" w:hAnsi="Arial"/>
                <w:sz w:val="14"/>
                <w:szCs w:val="14"/>
                <w:b w:val="1"/>
                <w:bCs w:val="1"/>
                <w:color w:val="auto"/>
                <w:w w:val="96"/>
              </w:rPr>
              <w:t>Three Months Ended March 31, 2021</w:t>
            </w:r>
          </w:p>
        </w:tc>
        <w:tc>
          <w:tcPr>
            <w:tcW w:w="8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11"/>
            <w:vMerge w:val="restart"/>
          </w:tcPr>
          <w:p>
            <w:pPr>
              <w:jc w:val="right"/>
              <w:ind w:right="81"/>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11"/>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Shares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2020</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2"/>
              </w:rPr>
              <w:t>53,277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6,628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(303,379)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$ 282,467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$ 1,594,708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1,574,329</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purchased for</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Balance at March 31, 2021</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2"/>
              </w:rPr>
              <w:t>53,633</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7,251</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(365,721)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281,163</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1,672,820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1,588,678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58,078</w:t>
            </w:r>
          </w:p>
        </w:tc>
        <w:tc>
          <w:tcPr>
            <w:tcW w:w="4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78,112</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3,190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5,426</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(31,943)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(29,601)</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10,714</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16,305</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12,162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6,936</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70,260</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89,827</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(8,911)</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(62,834)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(31,337)</w:t>
            </w:r>
          </w:p>
        </w:tc>
        <w:tc>
          <w:tcPr>
            <w:tcW w:w="0" w:type="dxa"/>
            <w:vAlign w:val="bottom"/>
          </w:tcPr>
          <w:p>
            <w:pPr>
              <w:spacing w:after="0"/>
              <w:rPr>
                <w:sz w:val="1"/>
                <w:szCs w:val="1"/>
                <w:color w:val="auto"/>
              </w:rPr>
            </w:pPr>
          </w:p>
        </w:tc>
      </w:tr>
      <w:tr>
        <w:trPr>
          <w:trHeight w:val="149"/>
        </w:trPr>
        <w:tc>
          <w:tcPr>
            <w:tcW w:w="67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(69,713)</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(34,819)</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and shares withheld in lieu of income taxes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(399,555)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(69,342)</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(399,555)</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(74,948)</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 cash and cash equivalents and restricted cash</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(399,008)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(19,940)</w:t>
            </w:r>
          </w:p>
        </w:tc>
        <w:tc>
          <w:tcPr>
            <w:tcW w:w="0" w:type="dxa"/>
            <w:vAlign w:val="bottom"/>
          </w:tcPr>
          <w:p>
            <w:pPr>
              <w:spacing w:after="0"/>
              <w:rPr>
                <w:sz w:val="1"/>
                <w:szCs w:val="1"/>
                <w:color w:val="auto"/>
              </w:rPr>
            </w:pPr>
          </w:p>
        </w:tc>
      </w:tr>
      <w:tr>
        <w:trPr>
          <w:trHeight w:val="149"/>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600,941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201,933</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225,829</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4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4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1,442</w:t>
            </w:r>
          </w:p>
        </w:tc>
        <w:tc>
          <w:tcPr>
            <w:tcW w:w="4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4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two off-campus classroom and laboratory sites.</w:t>
      </w:r>
    </w:p>
    <w:p>
      <w:pPr>
        <w:spacing w:after="0" w:line="19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provided certain services to a university partner to assist them in expanding their online graduate programs. As of March 31, 2022, GCE provides education services to 27 university partners across the United States.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accordance with U.S. generally accepted accounting principles and pursuant to the rules and regulations of the United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2021 from which the December 31, 2021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As of March 31, 2022 and 2021, the Company considered its investments in corporate bonds, commercial paper, municipal securities, asset backed securities, municipal bonds, and collateralized mortgage obligations as available-for-sale securities based on the Company’s intent for the respective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currently in earnings. Amortization of premiums, accretion of discounts, interest and dividend income and realized gains and losses are included in interest and other income. As of December 31, 2021, the Company had no investments.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July 1, 2018, the Company consummated as Asset Purchase Agreement (the “Asset Purchase Agreement”) with GCU. In conjunction with the Asset Purchase Agreement, we received a secured note from GCU as consideration for the transferred assets in the initial principal amount of $870,097 (the “Secured Note”).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2022 and December 31, 2021, $969 and $1,168, respectively, net of amortization, of deferred content assets are included in other assets, long-term in the Company’s consolidated balance sheets and amortization is included in technical and academic services where the costs originated.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8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March 31, 2022.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25"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March 31, 2022. The Company will continue to review and revise its allowance methodology based on its collection experience with its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$141 and $3,841 as of March 31, 2022 and December 31, 2021,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Company records its accounts receivable and previously had recorded its Secured Note (as defined above) receivable at the net amount expected to be collected. Our accounts receivable are derived through education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 xml:space="preserve">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Measurement of Credit Losses on Financial Instruments </w:t>
      </w:r>
      <w:r>
        <w:rPr>
          <w:rFonts w:ascii="Arial" w:cs="Arial" w:eastAsia="Arial" w:hAnsi="Arial"/>
          <w:sz w:val="17"/>
          <w:szCs w:val="17"/>
          <w:color w:val="auto"/>
        </w:rPr>
        <w:t>using a modified retrospective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In the fourth quarter of 2021, the Secured Note receivable was paid off and the credit loss reserve of $5,000 was reversed. The Company will also continue to actively monitor the impact of the COVID-19 pandemic as well as other factors on expected credit losses.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259" w:firstLine="648"/>
        <w:spacing w:after="0" w:line="289"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also includes an allocation of depreciation, amortization, lease expense, and occupancy costs attributable to the provision of these services, primarily at the Company’s Phoenix, Arizona and Indianapolis, Indiana locations.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March 31, 2022 and December 31, 2021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March 31 2022 and December 31, 2021, the Company had $200,926 and $ 600,130 in excess of the FDIC insured limit. The Company is also subject to credit risk for its accounts receivable balance. Our dependence on our most significant university partner, with 87.6% and 87.4% of total service revenue for the three month periods ended March 31, 2022 and 2021, respectively, subjects us to the risk that declines in our customer’s operations would result in a sustained reduction in service revenue for the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As of March 31, 2022, the Company had investments of $62,396, classified as available-for-sale securities. As of December 31, 2021, the Company had no investments.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2022, the Company had available-for-sale investments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March 31, 2022</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(Losses)</w:t>
            </w:r>
          </w:p>
        </w:tc>
        <w:tc>
          <w:tcPr>
            <w:tcW w:w="14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32,242</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For the three months ended March 31, 2022, the net unrealized losses were $323,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0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62,396</w:t>
            </w:r>
          </w:p>
        </w:tc>
      </w:tr>
      <w:tr>
        <w:trPr>
          <w:trHeight w:val="20"/>
        </w:trPr>
        <w:tc>
          <w:tcPr>
            <w:tcW w:w="7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82"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Three Months Ended</w:t>
      </w:r>
    </w:p>
    <w:p>
      <w:pP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34,901</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in accordance with the treasury stock method. For the three-month periods ended March 31, 2022 and 2021, approximately 206 and 1, respectively, of the Company’s restricted stock awards outstanding were excluded from the calculation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diluted earnings per share as their inclusion would have been anti-dilutive. These restricted stock awards could be dilutive in the future.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360" w:type="dxa"/>
            <w:vAlign w:val="bottom"/>
            <w:gridSpan w:val="4"/>
          </w:tcPr>
          <w:p>
            <w:pPr>
              <w:ind w:left="1440"/>
              <w:spacing w:after="0" w:line="149" w:lineRule="exact"/>
              <w:rPr>
                <w:sz w:val="20"/>
                <w:szCs w:val="20"/>
                <w:color w:val="auto"/>
              </w:rPr>
            </w:pPr>
            <w:r>
              <w:rPr>
                <w:rFonts w:ascii="Arial" w:cs="Arial" w:eastAsia="Arial" w:hAnsi="Arial"/>
                <w:sz w:val="14"/>
                <w:szCs w:val="14"/>
                <w:b w:val="1"/>
                <w:bCs w:val="1"/>
                <w:color w:val="auto"/>
              </w:rPr>
              <w:t>Beginning of</w:t>
            </w:r>
          </w:p>
        </w:tc>
        <w:tc>
          <w:tcPr>
            <w:tcW w:w="8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Three months ended March 31, 2022</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2021</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Land improvements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17,161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210"/>
        </w:trPr>
        <w:tc>
          <w:tcPr>
            <w:tcW w:w="6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266,446</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(132,783)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(130,326)</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136,120</w:t>
            </w:r>
          </w:p>
        </w:tc>
      </w:tr>
      <w:tr>
        <w:trPr>
          <w:trHeight w:val="20"/>
        </w:trPr>
        <w:tc>
          <w:tcPr>
            <w:tcW w:w="6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7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143,124</w:t>
            </w:r>
          </w:p>
        </w:tc>
      </w:tr>
      <w:tr>
        <w:trPr>
          <w:trHeight w:val="209"/>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183,114</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has operating leases for off-campus classroom and laboratory sites, office space, office equipment, and optical fiber communication lines. These leases have terms that range from one month to 10.3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$2,396 and $2,435 for the three-month periods ended March 31, 2022 and 2021, respectively.</w:t>
      </w:r>
    </w:p>
    <w:p>
      <w:pPr>
        <w:spacing w:after="0" w:line="19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of March 31, 2022, the Company had $14,871 of non-cancelable operating lease commitments for three off-campus classroom and laboratory sites and an office equipment lease that had not yet commenced. The Company’s weighted-average remaining lease term relating to its operating leases is 7.75 years, with a weighted-average discount rate of 3.06%. As of March 31, 2022, the Company had no financing leases.</w:t>
      </w:r>
    </w:p>
    <w:p>
      <w:pPr>
        <w:spacing w:after="0" w:line="187"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March 31, 2022,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2025</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26,294</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66,641</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59,380</w:t>
            </w: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Company upon its receipt of the paydown of $500,000 on the Secured Note in October 2021 repaid all amounts due under the outstanding term loan and revolving credit facilities, terminated the credit agreement and expensed all remaining capitalized loan cost of $1,028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In March 2020, the World Health Organization declared COVID-19 a global pandemic. The contagious outbreak and the related adverse public health developments, including orders to shelter-in-place, travel restrictions and mandated non-essential business closures, have adversely affected our business in a number of ways. The pandemic continues to result in reductions in education service revenue, operating income and margins in the Spring of 2022. At this time there remains considerable uncertainty around the duration of the COVID-19 pandemic. However, the related financial impact and duration of the COVID-19 pandemic cannot be reasonably estimated at this time.</w:t>
      </w:r>
    </w:p>
    <w:p>
      <w:pPr>
        <w:spacing w:after="0" w:line="390"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March 31, 2022, 1,225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During the three months ended March 31, 2022, the Company granted 189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2022, the Company withheld 52 shares of common stock in lieu of taxes at a cost of $4,625 on the restricted stock vesting dates. A summary of the activity related to restricted stock granted under the Company’s Incentive Plan since December 31, 2021 is as follows:</w:t>
      </w:r>
    </w:p>
    <w:tbl>
      <w:tblPr>
        <w:tblLayout w:type="fixed"/>
        <w:tblInd w:w="40" w:type="dxa"/>
        <w:tblCellMar>
          <w:top w:w="0" w:type="dxa"/>
          <w:left w:w="0" w:type="dxa"/>
          <w:bottom w:w="0" w:type="dxa"/>
          <w:right w:w="0" w:type="dxa"/>
        </w:tblCellMar>
      </w:tblPr>
      <w:tr>
        <w:trPr>
          <w:trHeight w:val="140"/>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620" w:type="dxa"/>
            <w:vAlign w:val="bottom"/>
          </w:tcPr>
          <w:p>
            <w:pPr>
              <w:spacing w:after="0"/>
              <w:rPr>
                <w:sz w:val="24"/>
                <w:szCs w:val="24"/>
                <w:color w:val="auto"/>
              </w:rPr>
            </w:pPr>
          </w:p>
        </w:tc>
        <w:tc>
          <w:tcPr>
            <w:tcW w:w="3120" w:type="dxa"/>
            <w:vAlign w:val="bottom"/>
          </w:tcPr>
          <w:p>
            <w:pPr>
              <w:jc w:val="right"/>
              <w:ind w:right="209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00" w:type="dxa"/>
            <w:vAlign w:val="bottom"/>
            <w:gridSpan w:val="3"/>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48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2"/>
              </w:rPr>
              <w:t>Grand Canyon Education, Inc.</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4"/>
                <w:szCs w:val="24"/>
                <w:color w:val="auto"/>
              </w:rPr>
            </w:pP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82.95</w:t>
            </w:r>
          </w:p>
        </w:tc>
      </w:tr>
      <w:tr>
        <w:trPr>
          <w:trHeight w:val="216"/>
        </w:trPr>
        <w:tc>
          <w:tcPr>
            <w:tcW w:w="2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r>
      <w:tr>
        <w:trPr>
          <w:trHeight w:val="216"/>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Forfeited, canceled or expired</w:t>
            </w:r>
          </w:p>
        </w:tc>
        <w:tc>
          <w:tcPr>
            <w:tcW w:w="480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85.57</w:t>
            </w:r>
          </w:p>
        </w:tc>
      </w:tr>
      <w:tr>
        <w:trPr>
          <w:trHeight w:val="209"/>
        </w:trPr>
        <w:tc>
          <w:tcPr>
            <w:tcW w:w="27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2"/>
              </w:rPr>
              <w:t>Outstanding as of March 31, 2022</w:t>
            </w:r>
          </w:p>
        </w:tc>
        <w:tc>
          <w:tcPr>
            <w:tcW w:w="40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85.31</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During the three months ended March 31, 2022, no options were granted. As of December 31, 2021, all options have been exercised or expired.</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2022 and 2021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10"/>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09"/>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0"/>
        </w:trPr>
        <w:tc>
          <w:tcPr>
            <w:tcW w:w="6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The Board of Directors has authorized under its existing stock repurchase program, an aggregate authorization for share repurchases since the initiation of our program of $1,645,000. The expiration date on the repurchase authorization is December 31, 2022.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2"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7"/>
          <w:szCs w:val="17"/>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total of 322 shares repurchased at an average cost of $108.76.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60" w:right="259" w:firstLine="648"/>
        <w:spacing w:after="0" w:line="259" w:lineRule="auto"/>
        <w:rPr>
          <w:sz w:val="20"/>
          <w:szCs w:val="20"/>
          <w:color w:val="auto"/>
        </w:rPr>
      </w:pPr>
      <w:r>
        <w:rPr>
          <w:rFonts w:ascii="Arial" w:cs="Arial" w:eastAsia="Arial" w:hAnsi="Arial"/>
          <w:sz w:val="18"/>
          <w:szCs w:val="18"/>
          <w:color w:val="auto"/>
        </w:rPr>
        <w:t>During the three months ended March 31, 2022 the Company repurchased 4,575 shares of common stock, at an aggregate cost of $394,930. As of March 31, 2022, there remained $200,503 available under its current share repurchase authorization.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82" w:lineRule="exact"/>
        <w:rPr>
          <w:sz w:val="20"/>
          <w:szCs w:val="20"/>
          <w:color w:val="auto"/>
        </w:rPr>
      </w:pPr>
    </w:p>
    <w:p>
      <w:pPr>
        <w:ind w:left="720" w:right="6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“2021 Form 10-K”) filed with the Securities and Exchange Commission (“SEC”) for the fiscal year ended December 31, 2021,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two off-campus classroom and laboratory sites.</w:t>
      </w:r>
    </w:p>
    <w:p>
      <w:pPr>
        <w:spacing w:after="0" w:line="17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on January 22, 2019.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provided certain services to a university partner to assist them in expanding their online graduate programs. As of March 31, 2022, GCE provides education services to 27 university partners across the United States.</w:t>
      </w:r>
    </w:p>
    <w:p>
      <w:pPr>
        <w:spacing w:after="0" w:line="19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231F20"/>
        </w:rPr>
        <w:t>Pursuant to the Master Services Agreement,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66"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231F20"/>
        </w:rPr>
        <w:t>The COVID-19 outbreak, as well as measures taken to contain its spread, has impacted GCU’s students and its business in a number of ways. A full description of those impacts is described in our 2021 Form 10-K. Below is an explanation of those impacts from the COVID-19 pandemic, that had an effect on GCU’s tuition and non-tuition revenue during 2021 and the first quarter of 2022 and, consequently, the service revenues we earned under the Master Services Agreement:</w:t>
      </w:r>
    </w:p>
    <w:p>
      <w:pPr>
        <w:spacing w:after="0" w:line="188" w:lineRule="exact"/>
        <w:rPr>
          <w:sz w:val="20"/>
          <w:szCs w:val="20"/>
          <w:color w:val="auto"/>
        </w:rPr>
      </w:pPr>
    </w:p>
    <w:p>
      <w:pPr>
        <w:ind w:left="720" w:right="159" w:hanging="319"/>
        <w:spacing w:after="0" w:line="293"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Room, board and certain fee income was negatively impacted in the Spring semester of 2021 for GCU’s traditional students as the first week of the Spring 2021 semester was completed in an online modality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GCU’s ground traditional students residing on campus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399"/>
        <w:spacing w:after="0" w:line="286" w:lineRule="auto"/>
        <w:rPr>
          <w:sz w:val="20"/>
          <w:szCs w:val="20"/>
          <w:color w:val="auto"/>
        </w:rPr>
      </w:pPr>
      <w:r>
        <w:rPr>
          <w:rFonts w:ascii="Arial" w:cs="Arial" w:eastAsia="Arial" w:hAnsi="Arial"/>
          <w:sz w:val="17"/>
          <w:szCs w:val="17"/>
          <w:color w:val="231F20"/>
        </w:rPr>
        <w:t>GCU’s residence halls returned to historical levels in the Spring semester of 2022 and the entire semester was conducted face-to-face. Thus, GCU experienced a significant year over year increase in these revenues in the first quarter of 2022 and thus the service revenues earned by GCE;</w:t>
      </w:r>
    </w:p>
    <w:p>
      <w:pPr>
        <w:spacing w:after="0" w:line="165" w:lineRule="exact"/>
        <w:rPr>
          <w:sz w:val="20"/>
          <w:szCs w:val="20"/>
          <w:color w:val="auto"/>
        </w:rPr>
      </w:pPr>
    </w:p>
    <w:p>
      <w:pPr>
        <w:ind w:left="720" w:right="79" w:hanging="319"/>
        <w:spacing w:after="0" w:line="285" w:lineRule="auto"/>
        <w:tabs>
          <w:tab w:leader="none" w:pos="72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and continuing through the first quarter of 2022 were also the result of recruitment challenges caused by the reduced access to schools, hospitals, and businesses where our potential students work. We believe that as the year over year comparables return to historical levels and schools, hospitals and businesses fully reopen, our online enrollment growth rate will begin to re-accelerate; and</w:t>
      </w:r>
    </w:p>
    <w:p>
      <w:pPr>
        <w:spacing w:after="0" w:line="173" w:lineRule="exact"/>
        <w:rPr>
          <w:rFonts w:ascii="Arial" w:cs="Arial" w:eastAsia="Arial" w:hAnsi="Arial"/>
          <w:sz w:val="16"/>
          <w:szCs w:val="16"/>
          <w:color w:val="231F20"/>
        </w:rPr>
      </w:pPr>
    </w:p>
    <w:p>
      <w:pPr>
        <w:ind w:left="720" w:right="119" w:hanging="319"/>
        <w:spacing w:after="0" w:line="25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 classroom and laboratory sites. The majority of these university partners’ students are studying in the Accelerated Bachelor of Science in Nursing (“ABSN”) program which is offered in a 12-16-month format in three or four academic semesters. Beginning with the Summer 2021 semester we experienced a decline in revenue per student from students in these programs caused primarily by some students delaying their scheduled clinical courses due to vaccine mandates at hospital partners and we started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one of our university partner’s Occupational Therapy Assistants (“OTA”) program in which enrollment declined 35.4% between March 31, 2021 and 2022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71"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No other changes are currently anticipated with our other university partners related to the Spring 2022 semester that would have a material impact on GCE’s service revenue, operating profit and operating margins. However, if one of our university partners were to close an off-campus classroom and laboratory site prior to the end of the Spring 2022 semester or take some other action that adversely impacted program enrollment, such an event would reduce the service revenues earned by GCE.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Beginning at the time of the COVID-19 outbreak a large percentage of our workforce began to work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2021 Form 10-K for the fiscal year ended December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three months ended March 31, 2022, there were no significant changes in our critical accounting policies.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75"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5"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March 31, 2022 was $244.1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$7.2 million, or 3.0%, as compared to service revenue of $236.9 million for the three months ended March 31, 2021. The increase year over year in service revenue was primarily due to an increase in revenue per student year over year, partially offset by a decrease in university partner enrollments between years of 4.5%. The increase in revenue per student between years is primarily due to the service revenue impact of the increased room, board and other ancillary revenues at GCU in the first quarter of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growth in the enrollment for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 In addition, we continued to open new off-campus classroom and laboratory sites increasing the total number of these sites to 29 at March 31, 2022. Partner enrollments totaled 110,217 at March 31, 2022 as compared to 115,390 at March 31, 2021. University partner enrollments at our off-campus classroom and laboratory sites were 4,497, an increase of 1.2% over enrollments at March 31, 2021, which includes 283 GCU students at March 31, 2022. This growth rate has slowed over the past year primarily due to a 35.4% decline in OTA students. Year over year ABSN student growth has slowed to 5.7% at March 31, 2022. For further discussion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Enrollments at GCU declined to 106,003 at March 31, 2022, a decrease of 4.5% over</w:t>
      </w:r>
      <w:r>
        <w:rPr>
          <w:rFonts w:ascii="Arial" w:cs="Arial" w:eastAsia="Arial" w:hAnsi="Arial"/>
          <w:sz w:val="16"/>
          <w:szCs w:val="16"/>
          <w:i w:val="1"/>
          <w:iCs w:val="1"/>
          <w:color w:val="auto"/>
        </w:rPr>
        <w:t xml:space="preserve"> </w:t>
      </w:r>
      <w:r>
        <w:rPr>
          <w:rFonts w:ascii="Arial" w:cs="Arial" w:eastAsia="Arial" w:hAnsi="Arial"/>
          <w:sz w:val="16"/>
          <w:szCs w:val="16"/>
          <w:color w:val="auto"/>
        </w:rPr>
        <w:t>enrollments at March 31, 2021. Enrollments for GCU ground students were 21,504 at March 31, 2022 up from 19,721 at March 31, 2021 primarily due to a 9.5% increase in traditional ground students between years. GCU’s ground traditional students residing on campus in GCU’s residence halls increased 25.8% from Spring of 2021 to Spring of 2022, representing approximately 70.3% of GCU’s ground traditional students. GCU’s decline in its working adult</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students (online and professional studies) between March 31, 2021 and March 31, 2022 is discussed in </w:t>
      </w:r>
      <w:r>
        <w:rPr>
          <w:rFonts w:ascii="Arial" w:cs="Arial" w:eastAsia="Arial" w:hAnsi="Arial"/>
          <w:sz w:val="16"/>
          <w:szCs w:val="16"/>
          <w:i w:val="1"/>
          <w:iCs w:val="1"/>
          <w:color w:val="auto"/>
        </w:rPr>
        <w:t>Impact of COVID-</w:t>
      </w:r>
    </w:p>
    <w:p>
      <w:pPr>
        <w:spacing w:after="0" w:line="46" w:lineRule="exact"/>
        <w:rPr>
          <w:sz w:val="20"/>
          <w:szCs w:val="20"/>
          <w:color w:val="auto"/>
        </w:rPr>
      </w:pPr>
    </w:p>
    <w:p>
      <w:pPr>
        <w:ind w:left="280" w:hanging="230"/>
        <w:spacing w:after="0"/>
        <w:tabs>
          <w:tab w:leader="none" w:pos="2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above.</w:t>
      </w:r>
    </w:p>
    <w:p>
      <w:pPr>
        <w:spacing w:after="0" w:line="211"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2022 were $36.3 million, an increase of $4.2 million, or 13.3%, as compared to technology and academic services expenses of $32.1 million for the three months ended March 31, 2021. This increase was primarily due to increases in employee compensation and related expenses, including share-based compensation and benefit expenses, in other technology and academic costs and in occupancy and depreciation including lease expenses of $2.8 million, $1.2 million and $0.2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net revenue increased 1.4% to 14.9% for the three months ended March 31, 2022, from 13.5% for the three months ended March 31, 2021. This increase was primarily due to partnership agreements with university partners that have off-campus classroom and laboratory sites requiring a higher level of technology and academic services than our agreement with GCU partially offset by the increased Spring 2022 semester ancillary revenues at GCU. We anticipate that technology and academic services expenses as a percentage of revenue will continue to increase in the future as we open more off-campus classroom and laboratory sites.</w:t>
      </w:r>
    </w:p>
    <w:p>
      <w:pPr>
        <w:spacing w:after="0" w:line="171"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were $67.5 million, an increase of $6.3 million, or 10.2%, as compared to counseling services and support expenses of $61.2 million for the three months ended March 31, 2021. This increase was primarily attributable to increases in other counseling services and support expenses of $4.7 million, increases in employee compensation and related expenses including share-based compensation and benefit expenses of $1.4 million and increases in occupancy and depreciation expenses of $0.3 million. The increase in other counseling services and support expenses is primarily the result of increased travel costs to service our 27 university partners as compared to the COVID-19 impacted first quarter of 2021, during which significantly lower travel costs were incurred.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Our counseling services and support expenses as a percentage of net revenue increased 1.9% to 27.7% for the three months ended March 31, 2022, from 25.8% for the three months ended March 31, 2021 primarily due to significant increase year over year in travel and benefit costs, partially offset by our ability to leverage our counseling services and support expense across an increasing revenue base primarily due to the increased Spring 2022 semester ancillary revenues at GCU. We anticipate that counseling services and support expense as a percentage of revenue will continue to be higher in 2022 than in 2021 as travel expenses return to pre-COVID-19 levels and we grow our employee base and their compensation to meet our university partners’ growth expectations and retain our employees.</w:t>
      </w:r>
    </w:p>
    <w:p>
      <w:pPr>
        <w:spacing w:after="0" w:line="190"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were $50.8 million, an increase of $3.1 million, or 6.5%, as compared to marketing and communication expenses of $47.7 million for the three months ended March 31, 2021. This increase was primarily attributable to the increased cost to market our university partners’ programs and to the marketing of new university partners and new locations which resulted in increased advertising of $2.3 million, increased employee compensation, including share-based compensation and benefit expenses of $0.7 million and increased other communications expenses of $0.1 million. Our marketing and communication expenses as a percentage of net revenue increased by 0.7% to 20.8% for the three months ended March 31, 2022, from 20.1% for the three months ended March 31, 2021, primarily due to the increase in the number of new university partners and their growth expectations and increased off-campus classroom and laboratory sites opened and sites planned to open in the next 12 months.</w:t>
      </w:r>
    </w:p>
    <w:p>
      <w:pPr>
        <w:spacing w:after="0" w:line="16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March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were $9.9 million, an increase of $0.3 million, or 3.2%, as compared to general and administrative expenses of $9.6 million for the three months ended March 31, 2021. This increase was primarily attributable to an increase in professional fees of $0.3 million and an increase in other general and administrative expenses of $0.1 million, partially offset by decreases in employee compensation, including share-based compensation, and related expenses of $0.1 million. The increase in professional fees is primarily due to increased legal and audit fees between years. Our increase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in other general and administrative expenses is primarily related to an increase in travel costs. The decrease in employee compensation and related expenses is primarily related to lower headcount at our office in Indiana as we have transitioned a number of back office functions to Arizona. Our general and administrative expenses as a percentage of net revenue increased by 0.1% to 4.1% for the three months ended March 31, 2022, from 4.0% for the three months ended March 31, 2021 due to the increased professional fees partially offset by the cost savings realized by consolidating certain back-office functions and our ability to leverage our other general and administrative expenses across an increasing revenue base primarily due to the increased Spring 2022 semester ancillary revenues at GCU.</w:t>
      </w:r>
    </w:p>
    <w:p>
      <w:pPr>
        <w:spacing w:after="0" w:line="16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$14.5 million. GCE recognized interest income on the Secured Note including borrowings made for capital expenditures, at an interest rate of 6%. GCU repaid all amounts owed on the Secured Note in the fourth quarter of 2021. As the Secured Note receivable was paid off in 2021 there was no interest income earned on the Secured Note in the first quarter of 2022 and will be none in future periods.</w:t>
      </w:r>
    </w:p>
    <w:p>
      <w:pPr>
        <w:spacing w:after="0" w:line="188" w:lineRule="exact"/>
        <w:rPr>
          <w:sz w:val="20"/>
          <w:szCs w:val="20"/>
          <w:color w:val="auto"/>
        </w:rPr>
      </w:pPr>
    </w:p>
    <w:p>
      <w:pPr>
        <w:jc w:val="both"/>
        <w:ind w:left="60" w:right="99" w:firstLine="648"/>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$0.8 million for the three months ended March 31, 2021.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repaid and terminated in early November 2021, thus there was no interest expense incurred in the first quarter of 2022.</w:t>
      </w:r>
    </w:p>
    <w:p>
      <w:pPr>
        <w:spacing w:after="0" w:line="124"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three months ended March 31, 2022 was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investment interest and other for the three months ended March 31, 2021 was $0.1 million.</w:t>
      </w:r>
    </w:p>
    <w:p>
      <w:pPr>
        <w:spacing w:after="0" w:line="12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2022 was $19.6 million,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$0.4 million, or 2.0%, as compared to income tax expense of $20.0 million for the three months ended March 31, 2021. This decrease was the result of a decrease in our taxable income partially offset by an increase in our effective tax rate between periods. Our effective tax rate was 25.2% during the first quarter of 2022 compared to 20.4% during the first quarter of 2021. In the first quarter of 2021, the effective tax rate was significantly impacted by excess tax benefits of $4.4 million as a result of exercises of the remaining stock options held by employees prior to their expiration. Excess tax benefits totaled only $0.1 million in the first quarter of 2022. In the first quarter of 2022, the effective tax rate was also unfavorably impacted by an increase in the state income tax rate.</w:t>
      </w:r>
    </w:p>
    <w:p>
      <w:pPr>
        <w:spacing w:after="0" w:line="178"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2022 was $58.1 million, a decrease of $20.0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25.6%, as compared to $78.1 million for the three months ended March 31, 2021,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March 31,</w:t>
            </w: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98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7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264,329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379" w:firstLine="648"/>
        <w:spacing w:after="0" w:line="257" w:lineRule="auto"/>
        <w:rPr>
          <w:sz w:val="20"/>
          <w:szCs w:val="20"/>
          <w:color w:val="auto"/>
        </w:rPr>
      </w:pPr>
      <w:r>
        <w:rPr>
          <w:rFonts w:ascii="Arial" w:cs="Arial" w:eastAsia="Arial" w:hAnsi="Arial"/>
          <w:sz w:val="18"/>
          <w:szCs w:val="18"/>
          <w:color w:val="auto"/>
        </w:rPr>
        <w:t>Our liquidity position, as measured by cash and cash equivalents and investments decreased by $336.6 million between December 31, 2021 and March 31, 2022, which was largely attributable to share repurchases during the first quarter of 2022 of $399.6 million, partially offset by cash provided by operating activities of $70.3 million. Our unrestricted cash and cash equivalents and investments were $264.3 million at March 31, 2022 and $600.9 million at December 31, 2021.</w:t>
      </w:r>
    </w:p>
    <w:p>
      <w:pPr>
        <w:spacing w:after="0" w:line="188"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70,260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decrease in cash generated from operating activities between the three months ended March 31, 2022 and the three months ended March 31, 2021 was primarily due to a decrease in net income and changes in working capital balances.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(69,713)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Investing activities consumed $69.7 million of cash in the three months ended March 31, 2022 compared to $34.8 million in the three months ended March 31, 2021.</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the first three months of 2022 cash used in investing activities consisted of the purchase of available-for-sale securities of $62.8 million with the excess cash flows generated from the recent repayment of the Secured Note by GCU in the fourth quarter of 2021. In 2021 purchases of investments, net of proceeds from the sale of investments totaled $25.8 million.</w:t>
      </w:r>
    </w:p>
    <w:p>
      <w:pPr>
        <w:spacing w:after="0" w:line="18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the first three months of 2022 and 2021 cash used in investing activities also included the purchases of capital expenditures totaling $6.8 million and $8.9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intends to continue to spend approximately $30.0 million to $35.0 million per year for capital expenditures.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8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(399,555)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Financing activities consumed $399.6 million of cash in the three months ended March 31, 2022 compared to $74.9 million in the three months ended March 31, 2021.</w:t>
      </w:r>
    </w:p>
    <w:p>
      <w:pPr>
        <w:spacing w:after="0" w:line="170"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During the three months ended March 31, 2022 and 2021, $395.0 million and $56.3 million, respectively was used to purchase treasury stock in accordance with GCE’s share repurchase program, and in 2021 $7.0 million was paid to Morgan Stanley under our accelerated share repurchase (“ASR”) agreement for shares that would be settled no later than May 7, 2021. In 2022 and 2021, $4.6 million and $6.0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spacing w:after="0" w:line="17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In 2021, principal payments on notes payable and capital leases totaled $8.3 million, partially offset by proceeds from the exercise of stock options of $2.7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w:t>
      </w:r>
    </w:p>
    <w:p>
      <w:pPr>
        <w:spacing w:after="0" w:line="15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We repurchased 4,575,048 shares of common stock in the three months ended March 31, 2022. At March 31, 2022, there remains $200.5 million available under our share repurchase authorization.</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March 31, 2022,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84"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BBB or higher rated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2022, a 10% increase or decrease in interest rates would not have a material impact on our future earnings, fair values, or cash flows.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4"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During the three months ended March 31, 2022, 4,575,048 shares of common stock were repurchased by the Company. At March 31, 2022, there remains $200.5 million available under our share repurchase authorization.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w w:val="98"/>
              </w:rPr>
              <w:t>Total 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8"/>
              </w:rPr>
              <w:t>Shares Purchased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tcPr>
          <w:p>
            <w:pPr>
              <w:spacing w:after="0"/>
              <w:rPr>
                <w:sz w:val="20"/>
                <w:szCs w:val="20"/>
                <w:color w:val="auto"/>
              </w:rPr>
            </w:pPr>
            <w:r>
              <w:rPr>
                <w:rFonts w:ascii="Arial" w:cs="Arial" w:eastAsia="Arial" w:hAnsi="Arial"/>
                <w:sz w:val="18"/>
                <w:szCs w:val="18"/>
                <w:color w:val="auto"/>
              </w:rPr>
              <w:t>January 1, 2022 – January 31, 2022</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1,685,637</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85.83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1,685,637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450,700,000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February 1, 2022 – February 28, 2022</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1,807,066</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82.53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tcPr>
          <w:p>
            <w:pPr>
              <w:spacing w:after="0"/>
              <w:rPr>
                <w:sz w:val="20"/>
                <w:szCs w:val="20"/>
                <w:color w:val="auto"/>
              </w:rPr>
            </w:pPr>
            <w:r>
              <w:rPr>
                <w:rFonts w:ascii="Arial" w:cs="Arial" w:eastAsia="Arial" w:hAnsi="Arial"/>
                <w:sz w:val="18"/>
                <w:szCs w:val="18"/>
                <w:color w:val="auto"/>
              </w:rPr>
              <w:t>March 1, 2022 – March 31, 2022</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1,082,345</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93.42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1,082,345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200,500,000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4,575,048</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86.32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tcPr>
          <w:p>
            <w:pPr>
              <w:spacing w:after="0"/>
              <w:rPr>
                <w:sz w:val="20"/>
                <w:szCs w:val="20"/>
                <w:color w:val="auto"/>
              </w:rPr>
            </w:pPr>
            <w:r>
              <w:rPr>
                <w:rFonts w:ascii="Arial" w:cs="Arial" w:eastAsia="Arial" w:hAnsi="Arial"/>
                <w:sz w:val="18"/>
                <w:szCs w:val="18"/>
                <w:b w:val="1"/>
                <w:bCs w:val="1"/>
                <w:color w:val="auto"/>
              </w:rPr>
              <w:t>Tax Withholdings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January 1, 2022 – January 31, 2022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tcPr>
          <w:p>
            <w:pPr>
              <w:spacing w:after="0"/>
              <w:rPr>
                <w:sz w:val="20"/>
                <w:szCs w:val="20"/>
                <w:color w:val="auto"/>
              </w:rPr>
            </w:pPr>
            <w:r>
              <w:rPr>
                <w:rFonts w:ascii="Arial" w:cs="Arial" w:eastAsia="Arial" w:hAnsi="Arial"/>
                <w:sz w:val="18"/>
                <w:szCs w:val="18"/>
                <w:color w:val="auto"/>
              </w:rPr>
              <w:t>February 1, 2022 – February 28, 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March 1, 2022 – March 31, 2022</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52,446</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88.19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52,446</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88.19</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7"/>
        </w:trPr>
        <w:tc>
          <w:tcPr>
            <w:tcW w:w="4300" w:type="dxa"/>
            <w:vAlign w:val="bottom"/>
            <w:gridSpan w:val="10"/>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10"/>
          </w:tcPr>
          <w:p>
            <w:pPr>
              <w:spacing w:after="0"/>
              <w:rPr>
                <w:sz w:val="20"/>
                <w:szCs w:val="20"/>
                <w:color w:val="auto"/>
              </w:rPr>
            </w:pPr>
            <w:r>
              <w:rPr>
                <w:rFonts w:ascii="Arial" w:cs="Arial" w:eastAsia="Arial" w:hAnsi="Arial"/>
                <w:sz w:val="18"/>
                <w:szCs w:val="18"/>
                <w:b w:val="1"/>
                <w:bCs w:val="1"/>
                <w:color w:val="auto"/>
              </w:rPr>
              <w:t>Item 4.  Mine Safety Disclosures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8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gridSpan w:val="8"/>
          </w:tcPr>
          <w:p>
            <w:pPr>
              <w:ind w:left="60"/>
              <w:spacing w:after="0"/>
              <w:rPr>
                <w:sz w:val="20"/>
                <w:szCs w:val="20"/>
                <w:color w:val="auto"/>
              </w:rPr>
            </w:pPr>
            <w:r>
              <w:rPr>
                <w:rFonts w:ascii="Arial" w:cs="Arial" w:eastAsia="Arial" w:hAnsi="Arial"/>
                <w:sz w:val="18"/>
                <w:szCs w:val="18"/>
                <w:color w:val="auto"/>
              </w:rPr>
              <w:t>(a)  Exhibits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8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rPr>
              <w:t>Method of Filing</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auto"/>
            </w:tcBorders>
            <w:gridSpan w:val="9"/>
          </w:tcPr>
          <w:p>
            <w:pPr>
              <w:spacing w:after="0" w:line="169" w:lineRule="exact"/>
              <w:rPr>
                <w:rFonts w:ascii="Arial" w:cs="Arial" w:eastAsia="Arial" w:hAnsi="Arial"/>
                <w:sz w:val="18"/>
                <w:szCs w:val="18"/>
                <w:color w:val="0000EE"/>
              </w:rPr>
            </w:pPr>
            <w:hyperlink r:id="rId46">
              <w:r>
                <w:rPr>
                  <w:rFonts w:ascii="Arial" w:cs="Arial" w:eastAsia="Arial" w:hAnsi="Arial"/>
                  <w:sz w:val="18"/>
                  <w:szCs w:val="18"/>
                  <w:color w:val="0000EE"/>
                </w:rPr>
                <w:t>Amended and Restated Certificate of Incorporation.</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Company’s Annual Report on Form 10-K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February 20, 2019.</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6"/>
          </w:tcPr>
          <w:p>
            <w:pPr>
              <w:spacing w:after="0"/>
              <w:rPr>
                <w:rFonts w:ascii="Arial" w:cs="Arial" w:eastAsia="Arial" w:hAnsi="Arial"/>
                <w:sz w:val="18"/>
                <w:szCs w:val="18"/>
                <w:color w:val="0000EE"/>
              </w:rPr>
            </w:pPr>
            <w:hyperlink r:id="rId47">
              <w:r>
                <w:rPr>
                  <w:rFonts w:ascii="Arial" w:cs="Arial" w:eastAsia="Arial" w:hAnsi="Arial"/>
                  <w:sz w:val="18"/>
                  <w:szCs w:val="18"/>
                  <w:color w:val="0000EE"/>
                </w:rPr>
                <w:t>Third Amended and Restated Bylaws.</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5"/>
              </w:rPr>
              <w:t>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October 29, 2014.</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6"/>
          </w:tcPr>
          <w:p>
            <w:pPr>
              <w:spacing w:after="0"/>
              <w:rPr>
                <w:rFonts w:ascii="Arial" w:cs="Arial" w:eastAsia="Arial" w:hAnsi="Arial"/>
                <w:sz w:val="18"/>
                <w:szCs w:val="18"/>
                <w:color w:val="0000EE"/>
              </w:rPr>
            </w:pPr>
            <w:hyperlink r:id="rId48">
              <w:r>
                <w:rPr>
                  <w:rFonts w:ascii="Arial" w:cs="Arial" w:eastAsia="Arial" w:hAnsi="Arial"/>
                  <w:sz w:val="18"/>
                  <w:szCs w:val="18"/>
                  <w:color w:val="0000EE"/>
                </w:rPr>
                <w:t>Specimen of Stock Certificate.</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Amendment No. 2 to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Registration Statement on Form S-1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7"/>
          </w:tcPr>
          <w:p>
            <w:pPr>
              <w:spacing w:after="0"/>
              <w:rPr>
                <w:sz w:val="20"/>
                <w:szCs w:val="20"/>
                <w:color w:val="auto"/>
              </w:rPr>
            </w:pPr>
            <w:r>
              <w:rPr>
                <w:rFonts w:ascii="Arial" w:cs="Arial" w:eastAsia="Arial" w:hAnsi="Arial"/>
                <w:sz w:val="18"/>
                <w:szCs w:val="18"/>
                <w:color w:val="auto"/>
                <w:w w:val="88"/>
              </w:rPr>
              <w:t>the SEC on September 29, 2008.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Principal Executive Officer pursuant to</w:t>
              </w:r>
            </w:hyperlink>
          </w:p>
        </w:tc>
        <w:tc>
          <w:tcPr>
            <w:tcW w:w="6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Rules 13a-14(a) and 15d-14(a), as adopted pursuant to</w:t>
              </w:r>
            </w:hyperlink>
          </w:p>
        </w:tc>
        <w:tc>
          <w:tcPr>
            <w:tcW w:w="60" w:type="dxa"/>
            <w:vAlign w:val="bottom"/>
          </w:tcPr>
          <w:p>
            <w:pPr>
              <w:spacing w:after="0"/>
              <w:rPr>
                <w:sz w:val="17"/>
                <w:szCs w:val="17"/>
                <w:color w:val="auto"/>
              </w:rPr>
            </w:pPr>
          </w:p>
        </w:tc>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302 of the Sarbanes-Oxley Act of 2002.</w:t>
              </w:r>
            </w:hyperlink>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31.2</w:t>
            </w:r>
          </w:p>
        </w:tc>
        <w:tc>
          <w:tcPr>
            <w:tcW w:w="39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Principal Financial Officer pursuant to</w:t>
              </w:r>
            </w:hyperlink>
          </w:p>
        </w:tc>
        <w:tc>
          <w:tcPr>
            <w:tcW w:w="52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Rules 13a-14(a) and 15d-14(a), as adopted pursuant to</w:t>
              </w:r>
            </w:hyperlink>
          </w:p>
        </w:tc>
        <w:tc>
          <w:tcPr>
            <w:tcW w:w="5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302 of the Sarbanes-Oxley Act of 2002.</w:t>
              </w:r>
            </w:hyperlink>
          </w:p>
        </w:tc>
        <w:tc>
          <w:tcPr>
            <w:tcW w:w="1000" w:type="dxa"/>
            <w:vAlign w:val="bottom"/>
            <w:gridSpan w:val="6"/>
          </w:tcPr>
          <w:p>
            <w:pPr>
              <w:spacing w:after="0"/>
              <w:rPr>
                <w:sz w:val="17"/>
                <w:szCs w:val="17"/>
                <w:color w:val="auto"/>
              </w:rPr>
            </w:pPr>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344"/>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32.1</w:t>
            </w:r>
          </w:p>
        </w:tc>
        <w:tc>
          <w:tcPr>
            <w:tcW w:w="42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Principal Executive Officer pursuant to 18</w:t>
              </w:r>
            </w:hyperlink>
          </w:p>
        </w:tc>
        <w:tc>
          <w:tcPr>
            <w:tcW w:w="26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5"/>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32.2</w:t>
            </w:r>
          </w:p>
        </w:tc>
        <w:tc>
          <w:tcPr>
            <w:tcW w:w="4460" w:type="dxa"/>
            <w:vAlign w:val="bottom"/>
            <w:gridSpan w:val="8"/>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Certification of Principal Financial Officer pursuant to 18</w:t>
              </w:r>
            </w:hyperlink>
          </w:p>
        </w:tc>
        <w:tc>
          <w:tcPr>
            <w:tcW w:w="12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14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99" w:hanging="824"/>
        <w:spacing w:after="0" w:line="28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March 31, 2022, formatted in Inline XBRL: (i) Consolidated Income Statements, (ii) Consolidated Statements of Comprehensive Income, (iii) Consolidated Balance Sheets, (iv) Consolidated Statements of Stockholders’ Equity, (v) Consolidated Statements of Cash Flows, and (vi) Notes to Consolidated</w:t>
      </w:r>
    </w:p>
    <w:tbl>
      <w:tblPr>
        <w:tblLayout w:type="fixed"/>
        <w:tblInd w:w="6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780" w:type="dxa"/>
            <w:vAlign w:val="bottom"/>
          </w:tcPr>
          <w:p>
            <w:pPr>
              <w:ind w:left="280"/>
              <w:spacing w:after="0" w:line="204" w:lineRule="exact"/>
              <w:rPr>
                <w:sz w:val="20"/>
                <w:szCs w:val="20"/>
                <w:color w:val="auto"/>
              </w:rPr>
            </w:pPr>
            <w:r>
              <w:rPr>
                <w:rFonts w:ascii="Arial" w:cs="Arial" w:eastAsia="Arial" w:hAnsi="Arial"/>
                <w:sz w:val="18"/>
                <w:szCs w:val="18"/>
                <w:color w:val="auto"/>
                <w:w w:val="94"/>
              </w:rPr>
              <w:t>Financial Statements tagged as blocks of text and including</w:t>
            </w:r>
          </w:p>
        </w:tc>
        <w:tc>
          <w:tcPr>
            <w:tcW w:w="124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780" w:type="dxa"/>
            <w:vAlign w:val="bottom"/>
          </w:tcPr>
          <w:p>
            <w:pPr>
              <w:ind w:left="280"/>
              <w:spacing w:after="0"/>
              <w:rPr>
                <w:sz w:val="20"/>
                <w:szCs w:val="20"/>
                <w:color w:val="auto"/>
              </w:rPr>
            </w:pPr>
            <w:r>
              <w:rPr>
                <w:rFonts w:ascii="Arial" w:cs="Arial" w:eastAsia="Arial" w:hAnsi="Arial"/>
                <w:sz w:val="18"/>
                <w:szCs w:val="18"/>
                <w:color w:val="auto"/>
                <w:w w:val="98"/>
              </w:rPr>
              <w:t>The cover page from the Company’s Quarterly Report on</w:t>
            </w:r>
          </w:p>
        </w:tc>
        <w:tc>
          <w:tcPr>
            <w:tcW w:w="12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w w:val="94"/>
              </w:rPr>
              <w:t>Form 10-Q for the quarter ended March 31, 2022, formatted</w:t>
            </w:r>
          </w:p>
        </w:tc>
        <w:tc>
          <w:tcPr>
            <w:tcW w:w="1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in Inline XBRL (included as Exhibit 101).</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4, 2022</w:t>
            </w: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 /s/ Daniel E. Bachus</w:t>
            </w:r>
          </w:p>
        </w:tc>
      </w:tr>
      <w:tr>
        <w:trPr>
          <w:trHeight w:val="20"/>
        </w:trPr>
        <w:tc>
          <w:tcPr>
            <w:tcW w:w="2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2940" w:type="dxa"/>
            <w:vAlign w:val="bottom"/>
          </w:tcPr>
          <w:p>
            <w:pPr>
              <w:spacing w:after="0"/>
              <w:rPr>
                <w:sz w:val="15"/>
                <w:szCs w:val="15"/>
                <w:color w:val="auto"/>
              </w:rPr>
            </w:pPr>
          </w:p>
        </w:tc>
        <w:tc>
          <w:tcPr>
            <w:tcW w:w="5960" w:type="dxa"/>
            <w:vAlign w:val="bottom"/>
            <w:gridSpan w:val="2"/>
          </w:tcPr>
          <w:p>
            <w:pPr>
              <w:ind w:left="16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2940" w:type="dxa"/>
            <w:vAlign w:val="bottom"/>
          </w:tcPr>
          <w:p>
            <w:pPr>
              <w:spacing w:after="0"/>
              <w:rPr>
                <w:sz w:val="18"/>
                <w:szCs w:val="18"/>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2022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4,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4" w:name="page35"/>
    <w:bookmarkEnd w:id="34"/>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2022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4,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2022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2022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decimal"/>
      <w:start w:val="1"/>
    </w:lvl>
  </w:abstractNum>
  <w:abstractNum w:abstractNumId="3">
    <w:nsid w:val="4DB127F8"/>
    <w:multiLevelType w:val="hybridMultilevel"/>
    <w:lvl w:ilvl="0">
      <w:lvlJc w:val="left"/>
      <w:lvlText w:val="%1."/>
      <w:numFmt w:val="decimal"/>
      <w:start w:val="6"/>
    </w:lvl>
    <w:lvl w:ilvl="1">
      <w:lvlJc w:val="left"/>
      <w:lvlText w:val="%2"/>
      <w:numFmt w:val="decimal"/>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9"/>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6" Type="http://schemas.openxmlformats.org/officeDocument/2006/relationships/hyperlink" Target="http://www.sec.gov/Archives/edgar/data/1434588/000155837019000782/lope-20181231ex31395dfc9.htm" TargetMode="External"/><Relationship Id="rId47" Type="http://schemas.openxmlformats.org/officeDocument/2006/relationships/hyperlink" Target="http://www.sec.gov/Archives/edgar/data/1434588/000119312514387149/d812440dex31.htm" TargetMode="External"/><Relationship Id="rId48"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2022-05-04T15:28:57Z</dcterms:created>
  <dcterms:modified xsi:type="dcterms:W3CDTF">2022-05-04T15:28:57Z</dcterms:modified>
</cp:coreProperties>
</file>