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Date of Report (Date of earliest event reported): November 5,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2.05. </w:t>
      </w:r>
      <w:r>
        <w:rPr>
          <w:rFonts w:ascii="Arial" w:cs="Arial" w:eastAsia="Arial" w:hAnsi="Arial"/>
          <w:sz w:val="18"/>
          <w:szCs w:val="18"/>
          <w:b w:val="1"/>
          <w:bCs w:val="1"/>
          <w:u w:val="single" w:color="auto"/>
          <w:color w:val="auto"/>
        </w:rPr>
        <w:t>Costs Associated with Exit or Disposal Activities</w:t>
      </w:r>
      <w:r>
        <w:rPr>
          <w:rFonts w:ascii="Arial" w:cs="Arial" w:eastAsia="Arial" w:hAnsi="Arial"/>
          <w:sz w:val="18"/>
          <w:szCs w:val="18"/>
          <w:b w:val="1"/>
          <w:bCs w:val="1"/>
          <w:color w:val="auto"/>
        </w:rPr>
        <w:t>.</w:t>
      </w:r>
    </w:p>
    <w:p>
      <w:pPr>
        <w:spacing w:after="0" w:line="229" w:lineRule="exact"/>
        <w:rPr>
          <w:sz w:val="20"/>
          <w:szCs w:val="20"/>
          <w:color w:val="auto"/>
        </w:rPr>
      </w:pPr>
    </w:p>
    <w:p>
      <w:pPr>
        <w:ind w:right="559" w:firstLine="280"/>
        <w:spacing w:after="0" w:line="259" w:lineRule="auto"/>
        <w:rPr>
          <w:sz w:val="20"/>
          <w:szCs w:val="20"/>
          <w:color w:val="auto"/>
        </w:rPr>
      </w:pPr>
      <w:r>
        <w:rPr>
          <w:rFonts w:ascii="Arial" w:cs="Arial" w:eastAsia="Arial" w:hAnsi="Arial"/>
          <w:sz w:val="18"/>
          <w:szCs w:val="18"/>
          <w:color w:val="auto"/>
        </w:rPr>
        <w:t>On November 5, 2009, management of Grand Canyon Education, Inc. (the “Company”) finalized a plan to centralize its student services operations in Arizona and, as a result, will close its student services facility in Utah. This decision will result in a reduction in force of approximately 50 employees. The Company is taking these actions as part of its continuing efforts to improve service to its students and promote cross-functional teams.</w:t>
      </w:r>
    </w:p>
    <w:p>
      <w:pPr>
        <w:spacing w:after="0" w:line="160" w:lineRule="exact"/>
        <w:rPr>
          <w:sz w:val="20"/>
          <w:szCs w:val="20"/>
          <w:color w:val="auto"/>
        </w:rPr>
      </w:pPr>
    </w:p>
    <w:p>
      <w:pPr>
        <w:ind w:right="579" w:firstLine="280"/>
        <w:spacing w:after="0" w:line="279" w:lineRule="auto"/>
        <w:rPr>
          <w:sz w:val="20"/>
          <w:szCs w:val="20"/>
          <w:color w:val="auto"/>
        </w:rPr>
      </w:pPr>
      <w:r>
        <w:rPr>
          <w:rFonts w:ascii="Arial" w:cs="Arial" w:eastAsia="Arial" w:hAnsi="Arial"/>
          <w:sz w:val="17"/>
          <w:szCs w:val="17"/>
          <w:color w:val="auto"/>
        </w:rPr>
        <w:t>The employees impacted by the closure of the student services facility in Utah, who are primarily enrollment counselors, have been offered similar positions in Arizona. Those employees, who chose not to relocate, will be terminated effective immediately and will be eligible for transition benefits. The employees were notified of the transition plan on November 5, 2009. The exit costs expected to be incurred in connection with this decision are as follows:</w:t>
      </w:r>
    </w:p>
    <w:p>
      <w:pPr>
        <w:spacing w:after="0" w:line="171" w:lineRule="exact"/>
        <w:rPr>
          <w:sz w:val="20"/>
          <w:szCs w:val="20"/>
          <w:color w:val="auto"/>
        </w:rPr>
      </w:pPr>
    </w:p>
    <w:p>
      <w:pPr>
        <w:ind w:left="520" w:right="679" w:hanging="352"/>
        <w:spacing w:after="0" w:line="264"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One-time termination benefits of approximately $0.8 million, which are anticipated to be incurred and will be accrued in the fourth quarter of 2009. While the affected employees will be terminated immediately, their severance payments will be made ratably over the period starting in November 2009 through March 2010.</w:t>
      </w:r>
    </w:p>
    <w:p>
      <w:pPr>
        <w:spacing w:after="0" w:line="181" w:lineRule="exact"/>
        <w:rPr>
          <w:rFonts w:ascii="Arial" w:cs="Arial" w:eastAsia="Arial" w:hAnsi="Arial"/>
          <w:sz w:val="18"/>
          <w:szCs w:val="18"/>
          <w:color w:val="auto"/>
        </w:rPr>
      </w:pPr>
    </w:p>
    <w:p>
      <w:pPr>
        <w:ind w:left="520" w:right="559" w:hanging="352"/>
        <w:spacing w:after="0" w:line="264"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Costs associated with relocating the employees that choose to move to Arizona of approximately $20,000 which are expected to be incurred and paid to employees in December 2009 and January 2010, and will be charged to expense in the period incurred.</w:t>
      </w:r>
    </w:p>
    <w:p>
      <w:pPr>
        <w:spacing w:after="0" w:line="181" w:lineRule="exact"/>
        <w:rPr>
          <w:rFonts w:ascii="Arial" w:cs="Arial" w:eastAsia="Arial" w:hAnsi="Arial"/>
          <w:sz w:val="18"/>
          <w:szCs w:val="18"/>
          <w:color w:val="auto"/>
        </w:rPr>
      </w:pPr>
    </w:p>
    <w:p>
      <w:pPr>
        <w:ind w:left="520" w:right="719" w:hanging="352"/>
        <w:spacing w:after="0" w:line="25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currently leases the facility in Utah under a lease that requires monthly payments through its termination date of May 2013. Upon ceasing operations in Utah and vacating the facility, the Company will record a liability of approximately $0.5 million, which represents the future lease payments, net of estimated sublease rentals, plus the write off of leasehold improvements associated with this leased space. The Company anticipates vacating the facility in late December 2009.</w:t>
      </w:r>
    </w:p>
    <w:p>
      <w:pPr>
        <w:spacing w:after="0" w:line="188" w:lineRule="exact"/>
        <w:rPr>
          <w:sz w:val="20"/>
          <w:szCs w:val="20"/>
          <w:color w:val="auto"/>
        </w:rPr>
      </w:pPr>
    </w:p>
    <w:p>
      <w:pPr>
        <w:ind w:right="699"/>
        <w:spacing w:after="0" w:line="342" w:lineRule="auto"/>
        <w:rPr>
          <w:sz w:val="20"/>
          <w:szCs w:val="20"/>
          <w:color w:val="auto"/>
        </w:rPr>
      </w:pPr>
      <w:r>
        <w:rPr>
          <w:rFonts w:ascii="Arial" w:cs="Arial" w:eastAsia="Arial" w:hAnsi="Arial"/>
          <w:sz w:val="16"/>
          <w:szCs w:val="16"/>
          <w:color w:val="auto"/>
        </w:rPr>
        <w:t>In the event the Company incurs material additional charges in connection with this restructuring plan, the Company would file an amended report on Form 8-K under this Item 2.05 to provide appropriate estimates related to such additional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2476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6500" cy="8890"/>
                    </a:xfrm>
                    <a:prstGeom prst="rect">
                      <a:avLst/>
                    </a:prstGeom>
                    <a:noFill/>
                  </pic:spPr>
                </pic:pic>
              </a:graphicData>
            </a:graphic>
          </wp:anchor>
        </w:drawing>
      </w:r>
    </w:p>
    <w:p>
      <w:pPr>
        <w:spacing w:after="0" w:line="14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2019-12-11T03:31:14Z</dcterms:created>
  <dcterms:modified xsi:type="dcterms:W3CDTF">2019-12-11T03:31:14Z</dcterms:modified>
</cp:coreProperties>
</file>