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Date of Report (Date of earliest event reported): April 28,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1.02. </w:t>
      </w:r>
      <w:r>
        <w:rPr>
          <w:rFonts w:ascii="Arial" w:cs="Arial" w:eastAsia="Arial" w:hAnsi="Arial"/>
          <w:sz w:val="18"/>
          <w:szCs w:val="18"/>
          <w:b w:val="1"/>
          <w:bCs w:val="1"/>
          <w:u w:val="single" w:color="auto"/>
          <w:color w:val="auto"/>
        </w:rPr>
        <w:t>Termination of a Material Definitive Agreement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559" w:firstLine="280"/>
        <w:spacing w:after="0" w:line="257" w:lineRule="auto"/>
        <w:rPr>
          <w:sz w:val="20"/>
          <w:szCs w:val="20"/>
          <w:color w:val="auto"/>
        </w:rPr>
      </w:pPr>
      <w:r>
        <w:rPr>
          <w:rFonts w:ascii="Arial" w:cs="Arial" w:eastAsia="Arial" w:hAnsi="Arial"/>
          <w:sz w:val="18"/>
          <w:szCs w:val="18"/>
          <w:color w:val="auto"/>
        </w:rPr>
        <w:t>On April 28, 2009, Grand Canyon Education, Inc. (the “Company”) completed the acquisition of its campus land and buildings and 909,348 shares of the Company’s common stock from Spirit Master Funding, LLC and Spirit Management Company, respectively (collectively, “Spirit”), for an aggregate purchase price of $50 million. A description of this transaction is included in the Company’s Current Report on Form 8-K filed on April 27, 2009, which description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2.01. </w:t>
      </w:r>
      <w:r>
        <w:rPr>
          <w:rFonts w:ascii="Arial" w:cs="Arial" w:eastAsia="Arial" w:hAnsi="Arial"/>
          <w:sz w:val="18"/>
          <w:szCs w:val="18"/>
          <w:b w:val="1"/>
          <w:bCs w:val="1"/>
          <w:u w:val="single" w:color="auto"/>
          <w:color w:val="auto"/>
        </w:rPr>
        <w:t>Completion of Acquisition or Disposition of Assets</w:t>
      </w:r>
      <w:r>
        <w:rPr>
          <w:rFonts w:ascii="Arial" w:cs="Arial" w:eastAsia="Arial" w:hAnsi="Arial"/>
          <w:sz w:val="18"/>
          <w:szCs w:val="18"/>
          <w:b w:val="1"/>
          <w:bCs w:val="1"/>
          <w:color w:val="auto"/>
        </w:rPr>
        <w:t>.</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information set forth in Item 1.02 of this Current Report on Form 8-K is incorporated by reference into this Item 2.01.</w:t>
      </w:r>
    </w:p>
    <w:p>
      <w:pPr>
        <w:spacing w:after="0" w:line="233" w:lineRule="exact"/>
        <w:rPr>
          <w:sz w:val="20"/>
          <w:szCs w:val="20"/>
          <w:color w:val="auto"/>
        </w:rPr>
      </w:pPr>
    </w:p>
    <w:p>
      <w:pPr>
        <w:jc w:val="both"/>
        <w:ind w:left="840" w:right="559" w:hanging="850"/>
        <w:spacing w:after="0" w:line="282" w:lineRule="auto"/>
        <w:rPr>
          <w:sz w:val="20"/>
          <w:szCs w:val="20"/>
          <w:color w:val="auto"/>
        </w:rPr>
      </w:pPr>
      <w:r>
        <w:rPr>
          <w:rFonts w:ascii="Arial" w:cs="Arial" w:eastAsia="Arial" w:hAnsi="Arial"/>
          <w:sz w:val="18"/>
          <w:szCs w:val="18"/>
          <w:b w:val="1"/>
          <w:bCs w:val="1"/>
          <w:color w:val="auto"/>
        </w:rPr>
        <w:t xml:space="preserve">Item 2.03. </w:t>
      </w:r>
      <w:r>
        <w:rPr>
          <w:rFonts w:ascii="Arial" w:cs="Arial" w:eastAsia="Arial" w:hAnsi="Arial"/>
          <w:sz w:val="18"/>
          <w:szCs w:val="18"/>
          <w:b w:val="1"/>
          <w:bCs w:val="1"/>
          <w:u w:val="single" w:color="auto"/>
          <w:color w:val="auto"/>
        </w:rPr>
        <w:t>Creation of a Direct Financial Obligation or an Obligation under an Off-Balance Sheet Arrangement of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Registrant</w:t>
      </w:r>
      <w:r>
        <w:rPr>
          <w:rFonts w:ascii="Arial" w:cs="Arial" w:eastAsia="Arial" w:hAnsi="Arial"/>
          <w:sz w:val="18"/>
          <w:szCs w:val="18"/>
          <w:b w:val="1"/>
          <w:bCs w:val="1"/>
          <w:color w:val="auto"/>
        </w:rPr>
        <w: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information set forth in Item 1.02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414655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May 4, 2009</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-20320</wp:posOffset>
            </wp:positionV>
            <wp:extent cx="1904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2019-12-11T04:12:30Z</dcterms:created>
  <dcterms:modified xsi:type="dcterms:W3CDTF">2019-12-11T04:12:30Z</dcterms:modified>
</cp:coreProperties>
</file>