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50331x10q.htm"/>
        <w:bookmarkStart w:id="1" w:name="kslope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ee3def23_11d1_443e_bfe5_f0213aa40f0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ptml1s8l7UC2gqsNZ0HP-w_2_1"/>
      <w:bookmarkStart w:id="4" w:name="Tc_MF7_AcIMoEeutc5pvxuTpA_0_1"/>
      <w:bookmarkStart w:id="5" w:name="_3686098e_700e_402f_aca5_708f1036acad"/>
      <w:bookmarkStart w:id="6" w:name="Tc_ptml1s8l7UC2gqsNZ0HP-w_2_1"/>
      <w:bookmarkStart w:id="7" w:name="Tc_MF7_AcIMoEeutc5pvxuTpA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March 31, 2025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9erD4R3WDkerp3SgTHrkDQ_3_1"/>
      <w:bookmarkStart w:id="10" w:name="Tc_EoVJtPyCQkKj26ufrvpYNA_1_1"/>
      <w:bookmarkStart w:id="11" w:name="_2e915763_74e6_4785_9417_f193d4dd04bc"/>
      <w:bookmarkStart w:id="12" w:name="Tc_9erD4R3WDkerp3SgTHrkDQ_3_1"/>
      <w:bookmarkStart w:id="13" w:name="Tc_EoVJtPyCQkKj26ufrvpYNA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39dO7aqbUUCCf0HujA6xvA_2_2"/>
      <w:bookmarkStart w:id="16" w:name="Tc_VU6ra2weFUifk8dpXBgM7A_2_0"/>
      <w:bookmarkStart w:id="17" w:name="_ab6b0fdd_ca48_4162_a11d_9c80f8b48fcb"/>
      <w:bookmarkStart w:id="18" w:name="Tc_39dO7aqbUUCCf0HujA6xvA_2_2"/>
      <w:bookmarkStart w:id="19" w:name="Tc_VU6ra2weFUifk8dpXBgM7A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CTxp8ApqGEeWYx2ltrMFsQ_0_2"/>
      <w:bookmarkStart w:id="22" w:name="Tc_iwo0nz4HcUaVeC7JpME9jA_0_1"/>
      <w:bookmarkStart w:id="23" w:name="Tc_oNO-8uCPDUC1aSKmb5HDrQ_0_0"/>
      <w:bookmarkStart w:id="24" w:name="_e7d5e65e_9e52_4cbe_be02_5582863c8dcf"/>
      <w:bookmarkStart w:id="25" w:name="Tc_CTxp8ApqGEeWYx2ltrMFsQ_0_2"/>
      <w:bookmarkStart w:id="26" w:name="Tc_iwo0nz4HcUaVeC7JpME9jA_0_1"/>
      <w:bookmarkStart w:id="27" w:name="Tc_oNO-8uCPDUC1aSKmb5HDrQ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May 2, 2025, was 28,374,509.</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dfe09889_68ab_46db_8254_bc5feabbb60c"/>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ef6af5a3_4726_44a0_80b3_20e56c94f2a8"/>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gcuechO8YkW8qgTY1ojLKw_22_0"/>
      <w:bookmarkStart w:id="36" w:name="Tc_lC80Td_LUUqSgRIsaKCkLg_21_0"/>
      <w:bookmarkStart w:id="37" w:name="Tc_uYj4QmL_HkyWHPfmdb7oyQ_20_4"/>
      <w:bookmarkStart w:id="38" w:name="Tc_vvZFIDlzsk2aMMFSQc20pA_20_1"/>
      <w:bookmarkStart w:id="39" w:name="Tc_nL15qa8CJ0y3k8FKQevpng_20_0"/>
      <w:bookmarkStart w:id="40" w:name="Tc_b-ZKj7z9Y0azXQyq_jTgBg_19_4"/>
      <w:bookmarkStart w:id="41" w:name="Tc_hioHqd2s90eIJ0fyEOK3rg_19_1"/>
      <w:bookmarkStart w:id="42" w:name="Tc_MjhOwltJZ0qD9it47ueHmQ_19_0"/>
      <w:bookmarkStart w:id="43" w:name="Tc_D_-NTIbuJUq3JTeB8tduPg_18_0"/>
      <w:bookmarkStart w:id="44" w:name="Tc_x35uc6SXTUmZpgqGDvnkPg_17_4"/>
      <w:bookmarkStart w:id="45" w:name="Tc_f8YKyuEMM0S2a0KHzLVk5A_17_1"/>
      <w:bookmarkStart w:id="46" w:name="Tc_lJh0PKvkDUKiFE0WP5fa9A_17_0"/>
      <w:bookmarkStart w:id="47" w:name="Tc_brbbgEZm30aL7AvdzzmlKg_16_0"/>
      <w:bookmarkStart w:id="48" w:name="Tc_z25EkJX1PUe2NEaCaiQwkA_15_0"/>
      <w:bookmarkStart w:id="49" w:name="Tc_IIEH-GV4hkiNl3SsCUUGYQ_14_0"/>
      <w:bookmarkStart w:id="50" w:name="Tc_hJuj5QreDEOselfAjYZQlg_13_2"/>
      <w:bookmarkStart w:id="51" w:name="Tc_pXrmNUBbU06a1BEZ3JHVFQ_13_0"/>
      <w:bookmarkStart w:id="52" w:name="Tc_mZYKAdsIO0eQF9E8gxdnYg_12_0"/>
      <w:bookmarkStart w:id="53" w:name="Tc_d4FoqngDyUWQ63hR2T_2_Q_11_0"/>
      <w:bookmarkStart w:id="54" w:name="Tc_48iVAQKWXUqfIgi6DWZrXQ_10_0"/>
      <w:bookmarkStart w:id="55" w:name="Tc_cbh-yO3_Nka-yiWnpjkOCQ_9_0"/>
      <w:bookmarkStart w:id="56" w:name="Tc_k4fhLQSyUEqFRDzWyXhNDA_8_0"/>
      <w:bookmarkStart w:id="57" w:name="Tc_dZxRe3godECcihPExp5Tsw_7_0"/>
      <w:bookmarkStart w:id="58" w:name="Tc_XbHCI_dG5U6-WnNvgaaIpQ_6_0"/>
      <w:bookmarkStart w:id="59" w:name="Tc_sXiIdI-1ZEarPtRUL4ojWQ_5_0"/>
      <w:bookmarkStart w:id="60" w:name="Tc_-jgeUhB0LEi9RpNv1roLHg_4_4"/>
      <w:bookmarkStart w:id="61" w:name="Tc_ejXY0QXuz0CZi3EuI1pBsg_4_1"/>
      <w:bookmarkStart w:id="62" w:name="Tc_eEDsdgqtPkOwfj8K-NN-cw_4_0"/>
      <w:bookmarkStart w:id="63" w:name="Tc_xWW4qWmORkuHdYGUqfJ0Ww_3_4"/>
      <w:bookmarkStart w:id="64" w:name="Tc_AWDY1V9IokuADwR4Igsl2w_3_1"/>
      <w:bookmarkStart w:id="65" w:name="Tc_j6nPbivFBkWUbBl7p4o3Fw_3_0"/>
      <w:bookmarkStart w:id="66" w:name="Tc_Ztgeh4_yUEC6uTnQElyU5A_2_1"/>
      <w:bookmarkStart w:id="67" w:name="Tc_fwnWb-0x3EyL1QWmgC_QQQ_1_1"/>
      <w:bookmarkStart w:id="68" w:name="_3eb421a5_33df_466a_80ca_91955d2e906a"/>
      <w:bookmarkStart w:id="69" w:name="Tc_gcuechO8YkW8qgTY1ojLKw_22_0"/>
      <w:bookmarkStart w:id="70" w:name="Tc_lC80Td_LUUqSgRIsaKCkLg_21_0"/>
      <w:bookmarkStart w:id="71" w:name="Tc_uYj4QmL_HkyWHPfmdb7oyQ_20_4"/>
      <w:bookmarkStart w:id="72" w:name="Tc_vvZFIDlzsk2aMMFSQc20pA_20_1"/>
      <w:bookmarkStart w:id="73" w:name="Tc_nL15qa8CJ0y3k8FKQevpng_20_0"/>
      <w:bookmarkStart w:id="74" w:name="Tc_b-ZKj7z9Y0azXQyq_jTgBg_19_4"/>
      <w:bookmarkStart w:id="75" w:name="Tc_hioHqd2s90eIJ0fyEOK3rg_19_1"/>
      <w:bookmarkStart w:id="76" w:name="Tc_MjhOwltJZ0qD9it47ueHmQ_19_0"/>
      <w:bookmarkStart w:id="77" w:name="Tc_D_-NTIbuJUq3JTeB8tduPg_18_0"/>
      <w:bookmarkStart w:id="78" w:name="Tc_x35uc6SXTUmZpgqGDvnkPg_17_4"/>
      <w:bookmarkStart w:id="79" w:name="Tc_f8YKyuEMM0S2a0KHzLVk5A_17_1"/>
      <w:bookmarkStart w:id="80" w:name="Tc_lJh0PKvkDUKiFE0WP5fa9A_17_0"/>
      <w:bookmarkStart w:id="81" w:name="Tc_brbbgEZm30aL7AvdzzmlKg_16_0"/>
      <w:bookmarkStart w:id="82" w:name="Tc_z25EkJX1PUe2NEaCaiQwkA_15_0"/>
      <w:bookmarkStart w:id="83" w:name="Tc_IIEH-GV4hkiNl3SsCUUGYQ_14_0"/>
      <w:bookmarkStart w:id="84" w:name="Tc_hJuj5QreDEOselfAjYZQlg_13_2"/>
      <w:bookmarkStart w:id="85" w:name="Tc_pXrmNUBbU06a1BEZ3JHVFQ_13_0"/>
      <w:bookmarkStart w:id="86" w:name="Tc_mZYKAdsIO0eQF9E8gxdnYg_12_0"/>
      <w:bookmarkStart w:id="87" w:name="Tc_d4FoqngDyUWQ63hR2T_2_Q_11_0"/>
      <w:bookmarkStart w:id="88" w:name="Tc_48iVAQKWXUqfIgi6DWZrXQ_10_0"/>
      <w:bookmarkStart w:id="89" w:name="Tc_cbh-yO3_Nka-yiWnpjkOCQ_9_0"/>
      <w:bookmarkStart w:id="90" w:name="Tc_k4fhLQSyUEqFRDzWyXhNDA_8_0"/>
      <w:bookmarkStart w:id="91" w:name="Tc_dZxRe3godECcihPExp5Tsw_7_0"/>
      <w:bookmarkStart w:id="92" w:name="Tc_XbHCI_dG5U6-WnNvgaaIpQ_6_0"/>
      <w:bookmarkStart w:id="93" w:name="Tc_sXiIdI-1ZEarPtRUL4ojWQ_5_0"/>
      <w:bookmarkStart w:id="94" w:name="Tc_-jgeUhB0LEi9RpNv1roLHg_4_4"/>
      <w:bookmarkStart w:id="95" w:name="Tc_ejXY0QXuz0CZi3EuI1pBsg_4_1"/>
      <w:bookmarkStart w:id="96" w:name="Tc_eEDsdgqtPkOwfj8K-NN-cw_4_0"/>
      <w:bookmarkStart w:id="97" w:name="Tc_xWW4qWmORkuHdYGUqfJ0Ww_3_4"/>
      <w:bookmarkStart w:id="98" w:name="Tc_AWDY1V9IokuADwR4Igsl2w_3_1"/>
      <w:bookmarkStart w:id="99" w:name="Tc_j6nPbivFBkWUbBl7p4o3Fw_3_0"/>
      <w:bookmarkStart w:id="100" w:name="Tc_Ztgeh4_yUEC6uTnQElyU5A_2_1"/>
      <w:bookmarkStart w:id="101" w:name="Tc_fwnWb-0x3EyL1QWmgC_QQQ_1_1"/>
      <w:bookmarkStart w:id="102" w:name="_3eb421a5_33df_466a_80ca_91955d2e906a"/>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tbl>
      <w:tblPr>
        <w:tblW w:w="6567" w:type="dxa"/>
        <w:jc w:val="left"/>
        <w:tblInd w:w="0" w:type="dxa"/>
        <w:tblLayout w:type="fixed"/>
        <w:tblCellMar>
          <w:top w:w="0" w:type="dxa"/>
          <w:left w:w="0" w:type="dxa"/>
          <w:bottom w:w="0" w:type="dxa"/>
          <w:right w:w="0" w:type="dxa"/>
        </w:tblCellMar>
      </w:tblPr>
      <w:tblGrid>
        <w:gridCol w:w="3886"/>
        <w:gridCol w:w="211"/>
        <w:gridCol w:w="781"/>
        <w:gridCol w:w="326"/>
        <w:gridCol w:w="211"/>
        <w:gridCol w:w="781"/>
        <w:gridCol w:w="371"/>
      </w:tblGrid>
      <w:tr>
        <w:trPr/>
        <w:tc>
          <w:tcPr>
            <w:tcW w:w="38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3985" cy="175260"/>
                      <wp:effectExtent l="0" t="0" r="0" b="0"/>
                      <wp:wrapNone/>
                      <wp:docPr id="2" name="Frame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95935" cy="175260"/>
                      <wp:effectExtent l="0" t="0" r="0" b="0"/>
                      <wp:wrapNone/>
                      <wp:docPr id="3" name="Frame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35585" cy="175260"/>
                      <wp:effectExtent l="0" t="0" r="0" b="0"/>
                      <wp:wrapNone/>
                      <wp:docPr id="7" name="Frame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1"/>
              <w:ind w:left="0" w:right="0" w:hanging="0"/>
              <w:jc w:val="center"/>
              <w:rPr/>
            </w:pPr>
            <w:r>
              <w:rPr/>
              <w:t>​</w:t>
            </w:r>
          </w:p>
        </w:tc>
      </w:tr>
      <w:tr>
        <w:trPr/>
        <w:tc>
          <w:tcPr>
            <w:tcW w:w="388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1"/>
              <w:ind w:left="0" w:right="0" w:hanging="0"/>
              <w:jc w:val="center"/>
              <w:rPr/>
            </w:pPr>
            <w:r>
              <w:rPr/>
              <w:t>​</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1"/>
              <w:ind w:left="0" w:right="0" w:hanging="0"/>
              <w:jc w:val="center"/>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289,310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274,675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82,884</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55,353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10,730</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190,197</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84,478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88,205</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68,010</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29,459</w:t>
            </w:r>
          </w:p>
        </w:tc>
        <w:tc>
          <w:tcPr>
            <w:tcW w:w="371" w:type="dxa"/>
            <w:tcBorders/>
            <w:vAlign w:val="center"/>
          </w:tcPr>
          <w:p>
            <w:pPr>
              <w:pStyle w:val="TableContents"/>
              <w:bidi w:val="0"/>
              <w:spacing w:before="0" w:after="1"/>
              <w:ind w:left="0" w:right="0" w:hanging="0"/>
              <w:jc w:val="lef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29,639</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3" w:name="_388e634c_a274_4cb0_af2b_498f5458d3a4"/>
      <w:bookmarkEnd w:id="103"/>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04" w:name="Tc_L33YUyrYGUudXbUFgesrcQ_40_5"/>
      <w:bookmarkStart w:id="105" w:name="Tc_uw3n3hnMxUSkvOQWxUUszA_40_2"/>
      <w:bookmarkStart w:id="106" w:name="Tc_mrgNI9qkY0a_L-aIPMEYew_40_0"/>
      <w:bookmarkStart w:id="107" w:name="Tc_mwd8R6l3WUiLC3bbNUv_cQ_39_0"/>
      <w:bookmarkStart w:id="108" w:name="Tc_zKfnstHCQEujZLr68FZwug_38_0"/>
      <w:bookmarkStart w:id="109" w:name="Tc_qU3qYAMAnE2EQIOXvDo0Qg_37_6"/>
      <w:bookmarkStart w:id="110" w:name="Tc_qQ92GwtLZkCALRvN8_AYYA_37_0"/>
      <w:bookmarkStart w:id="111" w:name="Tc_mKLH15JVuUaUcrw1rY3e6g_36_0"/>
      <w:bookmarkStart w:id="112" w:name="Tc_FvlbXWG1ME6ym8D8NgQEEA_35_0"/>
      <w:bookmarkStart w:id="113" w:name="Tc_0BhiWGiXoEWpBT3DwA3FyQ_34_0"/>
      <w:bookmarkStart w:id="114" w:name="Tc_Y6h17kcBt0-DhYZPX-Ks6A_33_6"/>
      <w:bookmarkStart w:id="115" w:name="Tc_LheswHFvt0igpQ628YgdNg_33_3"/>
      <w:bookmarkStart w:id="116" w:name="_3e1205f2_cf66_4f9a_a8cf_44970069bf54_3"/>
      <w:bookmarkStart w:id="117" w:name="_3e1205f2_cf66_4f9a_a8cf_44970069bf54_2"/>
      <w:bookmarkStart w:id="118" w:name="_3e1205f2_cf66_4f9a_a8cf_44970069bf54"/>
      <w:bookmarkStart w:id="119" w:name="Tc_CEPAZMCFFU-rJ6iZjVxVTw_33_0"/>
      <w:bookmarkStart w:id="120" w:name="Tc_df_y1COzpUeL_S9GYQToKg_32_0"/>
      <w:bookmarkStart w:id="121" w:name="Tc_sZR0FwqJy0W8nS7k6MOc8Q_31_0"/>
      <w:bookmarkStart w:id="122" w:name="Tc_CnfP96XcdECKEhvsuxMPKw_30_0"/>
      <w:bookmarkStart w:id="123" w:name="Tc_LJ_tPenS-k2Ts86W_gPmNg_29_0"/>
      <w:bookmarkStart w:id="124" w:name="Tc_3qrwmWrI80yf9J6aA9ndVw_28_0"/>
      <w:bookmarkStart w:id="125" w:name="Tc_E60-gCPiwEijf93cyPA23A_27_0"/>
      <w:bookmarkStart w:id="126" w:name="Tc_ekKbU3GRkUasQytnOGyjiw_26_0"/>
      <w:bookmarkStart w:id="127" w:name="Tc_EWgzHIk-7Umu-p1Xy9coRQ_25_0"/>
      <w:bookmarkStart w:id="128" w:name="Tc_0tBLep3XwESs29mgEXlr1A_24_6"/>
      <w:bookmarkStart w:id="129" w:name="Tc_pdHSfa-mu0KhLfVu-1DaLw_24_0"/>
      <w:bookmarkStart w:id="130" w:name="Tc_jlUmwc0mHk2kXGzU7cs1vg_23_0"/>
      <w:bookmarkStart w:id="131" w:name="Tc_X1ItYay4Dk60R0_nvt16mA_22_0"/>
      <w:bookmarkStart w:id="132" w:name="Tc_GJWZORkSzU-WZI155j_fiw_21_0"/>
      <w:bookmarkStart w:id="133" w:name="Tc_kavK_BCwYkWpNay0wIFSJg_20_5"/>
      <w:bookmarkStart w:id="134" w:name="Tc_qiNrL1zx3EanRdh_zS5FAA_20_2"/>
      <w:bookmarkStart w:id="135" w:name="Tc_RboadPsxbkeIJvTKK7ViLw_20_0"/>
      <w:bookmarkStart w:id="136" w:name="Tc_hqXqBBePrESD0ci5wK6r9Q_19_0"/>
      <w:bookmarkStart w:id="137" w:name="Tc_4-DLNEWI-kuRNfn9zAOjHQ_18_0"/>
      <w:bookmarkStart w:id="138" w:name="Tc_trYidK_drEKBdSk-qVZU3w_17_5"/>
      <w:bookmarkStart w:id="139" w:name="Tc_tKhTIjmFK0iH4uBYrs7duw_17_2"/>
      <w:bookmarkStart w:id="140" w:name="Tc_uYkGA8n5O0eSn5LoW5canQ_17_0"/>
      <w:bookmarkStart w:id="141" w:name="Tc_mW4pwtWu-UG1-0hV4J2GIw_16_0"/>
      <w:bookmarkStart w:id="142" w:name="Tc_bgjGy4auHE6bUmvmV88ZBA_15_0"/>
      <w:bookmarkStart w:id="143" w:name="Tc_Pb7L9SW2JUyjOLXyqskOTg_14_0"/>
      <w:bookmarkStart w:id="144" w:name="Tc_gx7e4kxSVUqgmMpcM_lcbg_13_0"/>
      <w:bookmarkStart w:id="145" w:name="Tc__nqWf1v7akG-widJjzuU-g_12_0"/>
      <w:bookmarkStart w:id="146" w:name="Tc_7ojQtEmR2kSmz0WP7q89pQ_11_0"/>
      <w:bookmarkStart w:id="147" w:name="Tc_DtR5UzOVd0mGk8sYP2jYGQ_10_0"/>
      <w:bookmarkStart w:id="148" w:name="Tc_RzIyJ0FdtkKBZaEndZH7hQ_9_3"/>
      <w:bookmarkStart w:id="149" w:name="Tc_PtlzZytYkkOPsYOWbrTY_Q_9_0"/>
      <w:bookmarkStart w:id="150" w:name="Tc_T_OFC6QnoEOH07VPj5AnCQ_8_0"/>
      <w:bookmarkStart w:id="151" w:name="Tc_mWOxioGDskmsZYfbr6Bm_w_7_6"/>
      <w:bookmarkStart w:id="152" w:name="Tc_7cOymP-WwUWMbcDsovQ1Pw_7_0"/>
      <w:bookmarkStart w:id="153" w:name="Tc_pA-xjYC0M0SSb1XEv0GYTQ_6_5"/>
      <w:bookmarkStart w:id="154" w:name="Tc_jg7xk_P_DU2BDgxEqNiOxQ_6_2"/>
      <w:bookmarkStart w:id="155" w:name="Tc_koZ9KKCbzUmMjNe-ebxZGA_6_0"/>
      <w:bookmarkStart w:id="156" w:name="Tc_gC5GCvcqqkuHsFFTo8q6Qw_5_0"/>
      <w:bookmarkStart w:id="157" w:name="Tc_az9tRjGXsk-lOXvD7T4k_w_4_0"/>
      <w:bookmarkStart w:id="158" w:name="Tc_OFKfwIkSi0mprT_cEJo_2Q_3_2"/>
      <w:bookmarkStart w:id="159" w:name="Tc_DF-irijzqUGE5X1ze_mM-Q_2_5"/>
      <w:bookmarkStart w:id="160" w:name="Tc_JVl3aCNbnkOSBZAYSoMRGw_2_2"/>
      <w:bookmarkStart w:id="161" w:name="Tc_uHkIY9LeeUmWApKH3gmA8A_2_0"/>
      <w:bookmarkStart w:id="162" w:name="Tc_tsmmF91i7keshqJx01L0CQ_1_5"/>
      <w:bookmarkStart w:id="163" w:name="Tc_Yy4ZF1U4sUaxA9iVv22tlA_1_2"/>
      <w:bookmarkStart w:id="164" w:name="_6c3c0cba_dd8e_483d_ae5e_303dce73d637"/>
      <w:bookmarkStart w:id="165" w:name="Tc_L33YUyrYGUudXbUFgesrcQ_40_5"/>
      <w:bookmarkStart w:id="166" w:name="Tc_uw3n3hnMxUSkvOQWxUUszA_40_2"/>
      <w:bookmarkStart w:id="167" w:name="Tc_mrgNI9qkY0a_L-aIPMEYew_40_0"/>
      <w:bookmarkStart w:id="168" w:name="Tc_mwd8R6l3WUiLC3bbNUv_cQ_39_0"/>
      <w:bookmarkStart w:id="169" w:name="Tc_zKfnstHCQEujZLr68FZwug_38_0"/>
      <w:bookmarkStart w:id="170" w:name="Tc_qU3qYAMAnE2EQIOXvDo0Qg_37_6"/>
      <w:bookmarkStart w:id="171" w:name="Tc_qQ92GwtLZkCALRvN8_AYYA_37_0"/>
      <w:bookmarkStart w:id="172" w:name="Tc_mKLH15JVuUaUcrw1rY3e6g_36_0"/>
      <w:bookmarkStart w:id="173" w:name="Tc_FvlbXWG1ME6ym8D8NgQEEA_35_0"/>
      <w:bookmarkStart w:id="174" w:name="Tc_0BhiWGiXoEWpBT3DwA3FyQ_34_0"/>
      <w:bookmarkStart w:id="175" w:name="Tc_Y6h17kcBt0-DhYZPX-Ks6A_33_6"/>
      <w:bookmarkStart w:id="176" w:name="Tc_LheswHFvt0igpQ628YgdNg_33_3"/>
      <w:bookmarkStart w:id="177" w:name="_3e1205f2_cf66_4f9a_a8cf_44970069bf54_3"/>
      <w:bookmarkStart w:id="178" w:name="_3e1205f2_cf66_4f9a_a8cf_44970069bf54_2"/>
      <w:bookmarkStart w:id="179" w:name="_3e1205f2_cf66_4f9a_a8cf_44970069bf54"/>
      <w:bookmarkStart w:id="180" w:name="Tc_CEPAZMCFFU-rJ6iZjVxVTw_33_0"/>
      <w:bookmarkStart w:id="181" w:name="Tc_df_y1COzpUeL_S9GYQToKg_32_0"/>
      <w:bookmarkStart w:id="182" w:name="Tc_sZR0FwqJy0W8nS7k6MOc8Q_31_0"/>
      <w:bookmarkStart w:id="183" w:name="Tc_CnfP96XcdECKEhvsuxMPKw_30_0"/>
      <w:bookmarkStart w:id="184" w:name="Tc_LJ_tPenS-k2Ts86W_gPmNg_29_0"/>
      <w:bookmarkStart w:id="185" w:name="Tc_3qrwmWrI80yf9J6aA9ndVw_28_0"/>
      <w:bookmarkStart w:id="186" w:name="Tc_E60-gCPiwEijf93cyPA23A_27_0"/>
      <w:bookmarkStart w:id="187" w:name="Tc_ekKbU3GRkUasQytnOGyjiw_26_0"/>
      <w:bookmarkStart w:id="188" w:name="Tc_EWgzHIk-7Umu-p1Xy9coRQ_25_0"/>
      <w:bookmarkStart w:id="189" w:name="Tc_0tBLep3XwESs29mgEXlr1A_24_6"/>
      <w:bookmarkStart w:id="190" w:name="Tc_pdHSfa-mu0KhLfVu-1DaLw_24_0"/>
      <w:bookmarkStart w:id="191" w:name="Tc_jlUmwc0mHk2kXGzU7cs1vg_23_0"/>
      <w:bookmarkStart w:id="192" w:name="Tc_X1ItYay4Dk60R0_nvt16mA_22_0"/>
      <w:bookmarkStart w:id="193" w:name="Tc_GJWZORkSzU-WZI155j_fiw_21_0"/>
      <w:bookmarkStart w:id="194" w:name="Tc_kavK_BCwYkWpNay0wIFSJg_20_5"/>
      <w:bookmarkStart w:id="195" w:name="Tc_qiNrL1zx3EanRdh_zS5FAA_20_2"/>
      <w:bookmarkStart w:id="196" w:name="Tc_RboadPsxbkeIJvTKK7ViLw_20_0"/>
      <w:bookmarkStart w:id="197" w:name="Tc_hqXqBBePrESD0ci5wK6r9Q_19_0"/>
      <w:bookmarkStart w:id="198" w:name="Tc_4-DLNEWI-kuRNfn9zAOjHQ_18_0"/>
      <w:bookmarkStart w:id="199" w:name="Tc_trYidK_drEKBdSk-qVZU3w_17_5"/>
      <w:bookmarkStart w:id="200" w:name="Tc_tKhTIjmFK0iH4uBYrs7duw_17_2"/>
      <w:bookmarkStart w:id="201" w:name="Tc_uYkGA8n5O0eSn5LoW5canQ_17_0"/>
      <w:bookmarkStart w:id="202" w:name="Tc_mW4pwtWu-UG1-0hV4J2GIw_16_0"/>
      <w:bookmarkStart w:id="203" w:name="Tc_bgjGy4auHE6bUmvmV88ZBA_15_0"/>
      <w:bookmarkStart w:id="204" w:name="Tc_Pb7L9SW2JUyjOLXyqskOTg_14_0"/>
      <w:bookmarkStart w:id="205" w:name="Tc_gx7e4kxSVUqgmMpcM_lcbg_13_0"/>
      <w:bookmarkStart w:id="206" w:name="Tc__nqWf1v7akG-widJjzuU-g_12_0"/>
      <w:bookmarkStart w:id="207" w:name="Tc_7ojQtEmR2kSmz0WP7q89pQ_11_0"/>
      <w:bookmarkStart w:id="208" w:name="Tc_DtR5UzOVd0mGk8sYP2jYGQ_10_0"/>
      <w:bookmarkStart w:id="209" w:name="Tc_RzIyJ0FdtkKBZaEndZH7hQ_9_3"/>
      <w:bookmarkStart w:id="210" w:name="Tc_PtlzZytYkkOPsYOWbrTY_Q_9_0"/>
      <w:bookmarkStart w:id="211" w:name="Tc_T_OFC6QnoEOH07VPj5AnCQ_8_0"/>
      <w:bookmarkStart w:id="212" w:name="Tc_mWOxioGDskmsZYfbr6Bm_w_7_6"/>
      <w:bookmarkStart w:id="213" w:name="Tc_7cOymP-WwUWMbcDsovQ1Pw_7_0"/>
      <w:bookmarkStart w:id="214" w:name="Tc_pA-xjYC0M0SSb1XEv0GYTQ_6_5"/>
      <w:bookmarkStart w:id="215" w:name="Tc_jg7xk_P_DU2BDgxEqNiOxQ_6_2"/>
      <w:bookmarkStart w:id="216" w:name="Tc_koZ9KKCbzUmMjNe-ebxZGA_6_0"/>
      <w:bookmarkStart w:id="217" w:name="Tc_gC5GCvcqqkuHsFFTo8q6Qw_5_0"/>
      <w:bookmarkStart w:id="218" w:name="Tc_az9tRjGXsk-lOXvD7T4k_w_4_0"/>
      <w:bookmarkStart w:id="219" w:name="Tc_OFKfwIkSi0mprT_cEJo_2Q_3_2"/>
      <w:bookmarkStart w:id="220" w:name="Tc_DF-irijzqUGE5X1ze_mM-Q_2_5"/>
      <w:bookmarkStart w:id="221" w:name="Tc_JVl3aCNbnkOSBZAYSoMRGw_2_2"/>
      <w:bookmarkStart w:id="222" w:name="Tc_uHkIY9LeeUmWApKH3gmA8A_2_0"/>
      <w:bookmarkStart w:id="223" w:name="Tc_tsmmF91i7keshqJx01L0CQ_1_5"/>
      <w:bookmarkStart w:id="224" w:name="Tc_Yy4ZF1U4sUaxA9iVv22tlA_1_2"/>
      <w:bookmarkStart w:id="225" w:name="_6c3c0cba_dd8e_483d_ae5e_303dce73d637"/>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10205" w:type="dxa"/>
        <w:jc w:val="left"/>
        <w:tblInd w:w="0" w:type="dxa"/>
        <w:tblLayout w:type="fixed"/>
        <w:tblCellMar>
          <w:top w:w="0" w:type="dxa"/>
          <w:left w:w="0" w:type="dxa"/>
          <w:bottom w:w="0" w:type="dxa"/>
          <w:right w:w="0" w:type="dxa"/>
        </w:tblCellMar>
      </w:tblPr>
      <w:tblGrid>
        <w:gridCol w:w="7231"/>
        <w:gridCol w:w="146"/>
        <w:gridCol w:w="211"/>
        <w:gridCol w:w="1014"/>
        <w:gridCol w:w="326"/>
        <w:gridCol w:w="211"/>
        <w:gridCol w:w="1066"/>
      </w:tblGrid>
      <w:tr>
        <w:trPr/>
        <w:tc>
          <w:tcPr>
            <w:tcW w:w="7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91685" cy="175260"/>
                      <wp:effectExtent l="0" t="0" r="0" b="0"/>
                      <wp:wrapNone/>
                      <wp:docPr id="8" name="Frame8"/>
                      <a:graphic xmlns:a="http://schemas.openxmlformats.org/drawingml/2006/main">
                        <a:graphicData uri="http://schemas.microsoft.com/office/word/2010/wordprocessingShape">
                          <wps:wsp>
                            <wps:cNvSpPr txBox="1"/>
                            <wps:spPr>
                              <a:xfrm>
                                <a:off x="0" y="0"/>
                                <a:ext cx="459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9" name="Frame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3890" cy="175260"/>
                      <wp:effectExtent l="0" t="0" r="0" b="0"/>
                      <wp:wrapNone/>
                      <wp:docPr id="11" name="Frame11"/>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76910" cy="175260"/>
                      <wp:effectExtent l="0" t="0" r="0" b="0"/>
                      <wp:wrapNone/>
                      <wp:docPr id="14" name="Frame1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723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  </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82,948</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419,976</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176,823</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99,541</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159,962</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1,018,425</w:t>
            </w:r>
          </w:p>
        </w:tc>
      </w:tr>
      <w:tr>
        <w:trPr/>
        <w:tc>
          <w:tcPr>
            <w:tcW w:w="723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33,183</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29,620</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12,883</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110,966</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26,527</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95,635</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234,572</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2025 and December 31, 2024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54,176 and 54,090 shares issued and 28,496 and 28,858 shares outstanding at March 31, 2025 and December 31, 2024,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25,680 and 25,232 shares of common stock at March 31, 2025 and December 31, 2024,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(2,024,370)</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340,365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336,736</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2,470,946</w:t>
            </w:r>
          </w:p>
        </w:tc>
      </w:tr>
      <w:tr>
        <w:trPr/>
        <w:tc>
          <w:tcPr>
            <w:tcW w:w="7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780,704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783,853</w:t>
            </w:r>
          </w:p>
        </w:tc>
      </w:tr>
      <w:tr>
        <w:trPr/>
        <w:tc>
          <w:tcPr>
            <w:tcW w:w="7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1,018,425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6" w:name="_25374677_f381_4041_9f90_919c21de49c8"/>
      <w:bookmarkEnd w:id="226"/>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27" w:name="Tc_lsRNiWzBOUiV8AfnIa9GYg_7_4"/>
      <w:bookmarkStart w:id="228" w:name="Tc_TdSGR0mqME-Iu4YXIUEz8w_7_1"/>
      <w:bookmarkStart w:id="229" w:name="Tc_uD8ENjXMsECSwQEStlCgXQ_7_0"/>
      <w:bookmarkStart w:id="230" w:name="Tc_qPTQWgsOKUCYAQrUAaJzYA_6_0"/>
      <w:bookmarkStart w:id="231" w:name="Tc_25-RDKbrTkuCYPVTVr_moQ_5_0"/>
      <w:bookmarkStart w:id="232" w:name="Tc_5cFM979DjUWk-5vx8uFUoA_4_4"/>
      <w:bookmarkStart w:id="233" w:name="Tc_N4MRP26NTU6fFjBGsendUg_4_1"/>
      <w:bookmarkStart w:id="234" w:name="Tc_4ZSfgOQbE0yRBhKvbUeM3Q_4_0"/>
      <w:bookmarkStart w:id="235" w:name="Tc_TFcVHfm7Uk28D13VboNuzQ_3_4"/>
      <w:bookmarkStart w:id="236" w:name="Tc_GTdVUkg13kilFLtX7mFYTg_3_1"/>
      <w:bookmarkStart w:id="237" w:name="Tc_yi8Jc-1MyE6JZqewuN-2ww_3_0"/>
      <w:bookmarkStart w:id="238" w:name="Tc_ji5dV7V5NkSfPArJZP-w1A_2_1"/>
      <w:bookmarkStart w:id="239" w:name="Tc_5VxOtPC5Uki8jiy0HphgCQ_1_1"/>
      <w:bookmarkStart w:id="240" w:name="_743169c8_3c37_4d4a_98c4_685ccd32df4d"/>
      <w:bookmarkStart w:id="241" w:name="Tc_lsRNiWzBOUiV8AfnIa9GYg_7_4"/>
      <w:bookmarkStart w:id="242" w:name="Tc_TdSGR0mqME-Iu4YXIUEz8w_7_1"/>
      <w:bookmarkStart w:id="243" w:name="Tc_uD8ENjXMsECSwQEStlCgXQ_7_0"/>
      <w:bookmarkStart w:id="244" w:name="Tc_qPTQWgsOKUCYAQrUAaJzYA_6_0"/>
      <w:bookmarkStart w:id="245" w:name="Tc_25-RDKbrTkuCYPVTVr_moQ_5_0"/>
      <w:bookmarkStart w:id="246" w:name="Tc_5cFM979DjUWk-5vx8uFUoA_4_4"/>
      <w:bookmarkStart w:id="247" w:name="Tc_N4MRP26NTU6fFjBGsendUg_4_1"/>
      <w:bookmarkStart w:id="248" w:name="Tc_4ZSfgOQbE0yRBhKvbUeM3Q_4_0"/>
      <w:bookmarkStart w:id="249" w:name="Tc_TFcVHfm7Uk28D13VboNuzQ_3_4"/>
      <w:bookmarkStart w:id="250" w:name="Tc_GTdVUkg13kilFLtX7mFYTg_3_1"/>
      <w:bookmarkStart w:id="251" w:name="Tc_yi8Jc-1MyE6JZqewuN-2ww_3_0"/>
      <w:bookmarkStart w:id="252" w:name="Tc_ji5dV7V5NkSfPArJZP-w1A_2_1"/>
      <w:bookmarkStart w:id="253" w:name="Tc_5VxOtPC5Uki8jiy0HphgCQ_1_1"/>
      <w:bookmarkStart w:id="254" w:name="_743169c8_3c37_4d4a_98c4_685ccd32df4d"/>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7734"/>
        <w:gridCol w:w="211"/>
        <w:gridCol w:w="676"/>
        <w:gridCol w:w="326"/>
        <w:gridCol w:w="211"/>
        <w:gridCol w:w="676"/>
        <w:gridCol w:w="371"/>
      </w:tblGrid>
      <w:tr>
        <w:trPr/>
        <w:tc>
          <w:tcPr>
            <w:tcW w:w="773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29260" cy="175260"/>
                      <wp:effectExtent l="0" t="0" r="0" b="0"/>
                      <wp:wrapNone/>
                      <wp:docPr id="16" name="Frame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5585" cy="175260"/>
                      <wp:effectExtent l="0" t="0" r="0" b="0"/>
                      <wp:wrapNone/>
                      <wp:docPr id="20" name="Frame2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34"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center"/>
              <w:rPr/>
            </w:pPr>
            <w:r>
              <w:rPr/>
              <w:t>​</w:t>
            </w:r>
          </w:p>
        </w:tc>
      </w:tr>
      <w:tr>
        <w:trPr/>
        <w:tc>
          <w:tcPr>
            <w:tcW w:w="7734"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0"/>
              <w:ind w:left="0" w:right="0" w:hanging="0"/>
              <w:jc w:val="center"/>
              <w:rPr/>
            </w:pPr>
            <w:r>
              <w:rPr/>
              <w:t>​</w:t>
            </w:r>
          </w:p>
        </w:tc>
      </w:tr>
      <w:tr>
        <w:trPr/>
        <w:tc>
          <w:tcPr>
            <w:tcW w:w="77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773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77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77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on available-for-sale securities, net of taxes of $1 and $18 for the three months ended March 31, 2025 and 2024, respectively</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77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67,954</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5" w:name="_75b26076_7870_463c_9e01_8f5c236c45ed"/>
      <w:bookmarkEnd w:id="255"/>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56" w:name="Tc_v2y1dquYc02ggAsH1qJnBw_11_21"/>
      <w:bookmarkStart w:id="257" w:name="Tc_QM9jLxV9R02kijCNRvQN7w_11_18"/>
      <w:bookmarkStart w:id="258" w:name="Tc_LsaqVBLA00iTwtuBPEWfog_11_15"/>
      <w:bookmarkStart w:id="259" w:name="Tc_EA6wefm6mkCJGKbZ6G3PHw_11_12"/>
      <w:bookmarkStart w:id="260" w:name="Tc_mWTlPqirWku1MS__XyrF1Q_11_9"/>
      <w:bookmarkStart w:id="261" w:name="Tc_kXMLvlkUfEC_BV7VmtsjQA_11_4"/>
      <w:bookmarkStart w:id="262" w:name="Tc_ShVlQGialECVhkokZfsbhg_11_0"/>
      <w:bookmarkStart w:id="263" w:name="Tc_9OoqZgdT1EqTNdBatOqkbQ_10_19"/>
      <w:bookmarkStart w:id="264" w:name="Tc_eh0P91xb902H17O-2h5K9w_10_16"/>
      <w:bookmarkStart w:id="265" w:name="Tc_UuKs5xcg7kODzr06-wQZRg_10_0"/>
      <w:bookmarkStart w:id="266" w:name="Tc_3f-ltdsMQUuAvwyGydD-mg_9_22"/>
      <w:bookmarkStart w:id="267" w:name="Tc_0_CSgAwJ7EatOMw7UJt89g_9_19"/>
      <w:bookmarkStart w:id="268" w:name="Tc_vTTZdEsTakWX8fU-15ftFA_9_16"/>
      <w:bookmarkStart w:id="269" w:name="Tc_Km7Alc18kUuAmfQza0DX-A_9_13"/>
      <w:bookmarkStart w:id="270" w:name="Tc_3Tvjl-zatUCU-CbrC6Wx8Q_9_10"/>
      <w:bookmarkStart w:id="271" w:name="Tc_wzIyne3ycUuo1w3B00CjAA_9_7"/>
      <w:bookmarkStart w:id="272" w:name="Tc_-B-JxQr9M0OsZ4vtQ0upgg_9_5"/>
      <w:bookmarkStart w:id="273" w:name="Tc_76VLj80J40uCfjo2SmOHvQ_9_2"/>
      <w:bookmarkStart w:id="274" w:name="Tc_0cm6_5lORUC5hkjgYJ4ozQ_9_0"/>
      <w:bookmarkStart w:id="275" w:name="Tc_GnNg_z47v06xQGKrSSV7MA_8_19"/>
      <w:bookmarkStart w:id="276" w:name="Tc_9NIHJXTgDE6NM7MaHRl2VA_8_16"/>
      <w:bookmarkStart w:id="277" w:name="Tc_kmP5xFwCbkeW-EfDlyyo4w_8_13"/>
      <w:bookmarkStart w:id="278" w:name="Tc_FrqSdF7Lbk6t4VnWGyPMsA_8_5"/>
      <w:bookmarkStart w:id="279" w:name="Tc_JNz5clRPzE26mBzdr5Cchg_8_2"/>
      <w:bookmarkStart w:id="280" w:name="Tc_jzkjd5DG9kqFXq534IEzcg_8_0"/>
      <w:bookmarkStart w:id="281" w:name="Tc_WfL-NKdxXEKkwZU8Ak89-Q_7_13"/>
      <w:bookmarkStart w:id="282" w:name="Tc_wTvOlDFRLUeRWpbOBiQGVQ_7_10"/>
      <w:bookmarkStart w:id="283" w:name="Tc_M6z4BvS-iUq-FqIGwBcocw_7_7"/>
      <w:bookmarkStart w:id="284" w:name="Tc_S_7ggCA-4Uqa2Rc8UJChWg_7_5"/>
      <w:bookmarkStart w:id="285" w:name="Tc_Z8vkYWeqzk2QqBFH_j37Fg_7_2"/>
      <w:bookmarkStart w:id="286" w:name="Tc_vZyiKYFAPkmymbD3hXSgXw_7_0"/>
      <w:bookmarkStart w:id="287" w:name="Tc_jogGSGkhYk2rlTe7ujgPkw_6_21"/>
      <w:bookmarkStart w:id="288" w:name="Tc_FJL6POW0iUSXGR3RZ2QeYQ_6_18"/>
      <w:bookmarkStart w:id="289" w:name="Tc_ZwBeLLUhO02ZtDee-hHSzA_6_16"/>
      <w:bookmarkStart w:id="290" w:name="Tc_KbCpYFM-m0uKZUD_9Nmo4A_6_15"/>
      <w:bookmarkStart w:id="291" w:name="Tc_e-XsNdKF5ECV7QoZScNj1g_6_12"/>
      <w:bookmarkStart w:id="292" w:name="Tc_DQ1XGQtZYky8yNjX9PX1lQ_6_9"/>
      <w:bookmarkStart w:id="293" w:name="Tc_2cYHfHaoHkecyGyrCt9vQQ_6_4"/>
      <w:bookmarkStart w:id="294" w:name="Tc_EwiEjXF-bUaT2P-h2iWPJg_6_0"/>
      <w:bookmarkStart w:id="295" w:name="Tc_bZuY9UaAUEu1YYorCULyJw_5_21"/>
      <w:bookmarkStart w:id="296" w:name="Tc_UhUVb8ZUMk-jJHOXi9BwmA_5_18"/>
      <w:bookmarkStart w:id="297" w:name="Tc_RgofzrGN7UmZ1GrCaBmjlw_5_15"/>
      <w:bookmarkStart w:id="298" w:name="Tc_dm6qVeTGt0CmocrTCDLHOA_5_12"/>
      <w:bookmarkStart w:id="299" w:name="Tc_Ow464_eOrk2RI_2ouK1t6g_5_9"/>
      <w:bookmarkStart w:id="300" w:name="Tc_rwmoTpUnaEyz-tjOJySFxg_5_7"/>
      <w:bookmarkStart w:id="301" w:name="Tc_-eOmotqOF0CiKjGwqu--Ig_5_4"/>
      <w:bookmarkStart w:id="302" w:name="Tc_QlOPtemTPUuDHdfoO6K4iw_5_2"/>
      <w:bookmarkStart w:id="303" w:name="Tc_QbmXVXhUB0imjzphA5hYzg_4_18"/>
      <w:bookmarkStart w:id="304" w:name="Tc_ni5diMDJwkutyk3KaYzbJw_4_15"/>
      <w:bookmarkStart w:id="305" w:name="Tc_upE_PqVVz0qa77yyxR8yeQ_4_12"/>
      <w:bookmarkStart w:id="306" w:name="Tc_ekTb0pm_BUC1bYlJojBB7Q_4_7"/>
      <w:bookmarkStart w:id="307" w:name="Tc_JiLCp7gMuE-_OZMTlZpZ_w_4_2"/>
      <w:bookmarkStart w:id="308" w:name="Tc_z-35cZ1HKEystk4H8O-qQA_3_15"/>
      <w:bookmarkStart w:id="309" w:name="Tc_oPxK-M1sRUCp6NNPhhy7Qg_3_12"/>
      <w:bookmarkStart w:id="310" w:name="Tc_Z1anoLu8BkWLzN9YVZ0hVw_2_15"/>
      <w:bookmarkStart w:id="311" w:name="Tc_YOw8_S8Pc0uGmLAlAfkmCw_1_2"/>
      <w:bookmarkStart w:id="312" w:name="_6c2148fc_67e0_4c26_b347_3f3814c45b99"/>
      <w:bookmarkStart w:id="313" w:name="Tc_v2y1dquYc02ggAsH1qJnBw_11_21"/>
      <w:bookmarkStart w:id="314" w:name="Tc_QM9jLxV9R02kijCNRvQN7w_11_18"/>
      <w:bookmarkStart w:id="315" w:name="Tc_LsaqVBLA00iTwtuBPEWfog_11_15"/>
      <w:bookmarkStart w:id="316" w:name="Tc_EA6wefm6mkCJGKbZ6G3PHw_11_12"/>
      <w:bookmarkStart w:id="317" w:name="Tc_mWTlPqirWku1MS__XyrF1Q_11_9"/>
      <w:bookmarkStart w:id="318" w:name="Tc_kXMLvlkUfEC_BV7VmtsjQA_11_4"/>
      <w:bookmarkStart w:id="319" w:name="Tc_ShVlQGialECVhkokZfsbhg_11_0"/>
      <w:bookmarkStart w:id="320" w:name="Tc_9OoqZgdT1EqTNdBatOqkbQ_10_19"/>
      <w:bookmarkStart w:id="321" w:name="Tc_eh0P91xb902H17O-2h5K9w_10_16"/>
      <w:bookmarkStart w:id="322" w:name="Tc_UuKs5xcg7kODzr06-wQZRg_10_0"/>
      <w:bookmarkStart w:id="323" w:name="Tc_3f-ltdsMQUuAvwyGydD-mg_9_22"/>
      <w:bookmarkStart w:id="324" w:name="Tc_0_CSgAwJ7EatOMw7UJt89g_9_19"/>
      <w:bookmarkStart w:id="325" w:name="Tc_vTTZdEsTakWX8fU-15ftFA_9_16"/>
      <w:bookmarkStart w:id="326" w:name="Tc_Km7Alc18kUuAmfQza0DX-A_9_13"/>
      <w:bookmarkStart w:id="327" w:name="Tc_3Tvjl-zatUCU-CbrC6Wx8Q_9_10"/>
      <w:bookmarkStart w:id="328" w:name="Tc_wzIyne3ycUuo1w3B00CjAA_9_7"/>
      <w:bookmarkStart w:id="329" w:name="Tc_-B-JxQr9M0OsZ4vtQ0upgg_9_5"/>
      <w:bookmarkStart w:id="330" w:name="Tc_76VLj80J40uCfjo2SmOHvQ_9_2"/>
      <w:bookmarkStart w:id="331" w:name="Tc_0cm6_5lORUC5hkjgYJ4ozQ_9_0"/>
      <w:bookmarkStart w:id="332" w:name="Tc_GnNg_z47v06xQGKrSSV7MA_8_19"/>
      <w:bookmarkStart w:id="333" w:name="Tc_9NIHJXTgDE6NM7MaHRl2VA_8_16"/>
      <w:bookmarkStart w:id="334" w:name="Tc_kmP5xFwCbkeW-EfDlyyo4w_8_13"/>
      <w:bookmarkStart w:id="335" w:name="Tc_FrqSdF7Lbk6t4VnWGyPMsA_8_5"/>
      <w:bookmarkStart w:id="336" w:name="Tc_JNz5clRPzE26mBzdr5Cchg_8_2"/>
      <w:bookmarkStart w:id="337" w:name="Tc_jzkjd5DG9kqFXq534IEzcg_8_0"/>
      <w:bookmarkStart w:id="338" w:name="Tc_WfL-NKdxXEKkwZU8Ak89-Q_7_13"/>
      <w:bookmarkStart w:id="339" w:name="Tc_wTvOlDFRLUeRWpbOBiQGVQ_7_10"/>
      <w:bookmarkStart w:id="340" w:name="Tc_M6z4BvS-iUq-FqIGwBcocw_7_7"/>
      <w:bookmarkStart w:id="341" w:name="Tc_S_7ggCA-4Uqa2Rc8UJChWg_7_5"/>
      <w:bookmarkStart w:id="342" w:name="Tc_Z8vkYWeqzk2QqBFH_j37Fg_7_2"/>
      <w:bookmarkStart w:id="343" w:name="Tc_vZyiKYFAPkmymbD3hXSgXw_7_0"/>
      <w:bookmarkStart w:id="344" w:name="Tc_jogGSGkhYk2rlTe7ujgPkw_6_21"/>
      <w:bookmarkStart w:id="345" w:name="Tc_FJL6POW0iUSXGR3RZ2QeYQ_6_18"/>
      <w:bookmarkStart w:id="346" w:name="Tc_ZwBeLLUhO02ZtDee-hHSzA_6_16"/>
      <w:bookmarkStart w:id="347" w:name="Tc_KbCpYFM-m0uKZUD_9Nmo4A_6_15"/>
      <w:bookmarkStart w:id="348" w:name="Tc_e-XsNdKF5ECV7QoZScNj1g_6_12"/>
      <w:bookmarkStart w:id="349" w:name="Tc_DQ1XGQtZYky8yNjX9PX1lQ_6_9"/>
      <w:bookmarkStart w:id="350" w:name="Tc_2cYHfHaoHkecyGyrCt9vQQ_6_4"/>
      <w:bookmarkStart w:id="351" w:name="Tc_EwiEjXF-bUaT2P-h2iWPJg_6_0"/>
      <w:bookmarkStart w:id="352" w:name="Tc_bZuY9UaAUEu1YYorCULyJw_5_21"/>
      <w:bookmarkStart w:id="353" w:name="Tc_UhUVb8ZUMk-jJHOXi9BwmA_5_18"/>
      <w:bookmarkStart w:id="354" w:name="Tc_RgofzrGN7UmZ1GrCaBmjlw_5_15"/>
      <w:bookmarkStart w:id="355" w:name="Tc_dm6qVeTGt0CmocrTCDLHOA_5_12"/>
      <w:bookmarkStart w:id="356" w:name="Tc_Ow464_eOrk2RI_2ouK1t6g_5_9"/>
      <w:bookmarkStart w:id="357" w:name="Tc_rwmoTpUnaEyz-tjOJySFxg_5_7"/>
      <w:bookmarkStart w:id="358" w:name="Tc_-eOmotqOF0CiKjGwqu--Ig_5_4"/>
      <w:bookmarkStart w:id="359" w:name="Tc_QlOPtemTPUuDHdfoO6K4iw_5_2"/>
      <w:bookmarkStart w:id="360" w:name="Tc_QbmXVXhUB0imjzphA5hYzg_4_18"/>
      <w:bookmarkStart w:id="361" w:name="Tc_ni5diMDJwkutyk3KaYzbJw_4_15"/>
      <w:bookmarkStart w:id="362" w:name="Tc_upE_PqVVz0qa77yyxR8yeQ_4_12"/>
      <w:bookmarkStart w:id="363" w:name="Tc_ekTb0pm_BUC1bYlJojBB7Q_4_7"/>
      <w:bookmarkStart w:id="364" w:name="Tc_JiLCp7gMuE-_OZMTlZpZ_w_4_2"/>
      <w:bookmarkStart w:id="365" w:name="Tc_z-35cZ1HKEystk4H8O-qQA_3_15"/>
      <w:bookmarkStart w:id="366" w:name="Tc_oPxK-M1sRUCp6NNPhhy7Qg_3_12"/>
      <w:bookmarkStart w:id="367" w:name="Tc_Z1anoLu8BkWLzN9YVZ0hVw_2_15"/>
      <w:bookmarkStart w:id="368" w:name="Tc_YOw8_S8Pc0uGmLAlAfkmCw_1_2"/>
      <w:bookmarkStart w:id="369" w:name="_6c2148fc_67e0_4c26_b347_3f3814c45b99"/>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460"/>
        <w:gridCol w:w="75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21" name="Frame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3" name="Frame2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7800" cy="175260"/>
                      <wp:effectExtent l="0" t="0" r="0" b="0"/>
                      <wp:wrapNone/>
                      <wp:docPr id="24" name="Frame2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56235" cy="175260"/>
                      <wp:effectExtent l="0" t="0" r="0" b="0"/>
                      <wp:wrapNone/>
                      <wp:docPr id="25" name="Frame2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0810" cy="175260"/>
                      <wp:effectExtent l="0" t="0" r="0" b="0"/>
                      <wp:wrapNone/>
                      <wp:docPr id="26" name="Frame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7"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29285" cy="175260"/>
                      <wp:effectExtent l="0" t="0" r="0" b="0"/>
                      <wp:wrapNone/>
                      <wp:docPr id="30" name="Frame3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810" cy="175260"/>
                      <wp:effectExtent l="0" t="0" r="0" b="0"/>
                      <wp:wrapNone/>
                      <wp:docPr id="31" name="Frame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95935" cy="175260"/>
                      <wp:effectExtent l="0" t="0" r="0" b="0"/>
                      <wp:wrapNone/>
                      <wp:docPr id="33" name="Frame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810" cy="175260"/>
                      <wp:effectExtent l="0" t="0" r="0" b="0"/>
                      <wp:wrapNone/>
                      <wp:docPr id="34" name="Frame3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2100" cy="175260"/>
                      <wp:effectExtent l="0" t="0" r="0" b="0"/>
                      <wp:wrapNone/>
                      <wp:docPr id="35" name="Frame35"/>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80060" cy="175260"/>
                      <wp:effectExtent l="0" t="0" r="0" b="0"/>
                      <wp:wrapNone/>
                      <wp:docPr id="36" name="Frame3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0810" cy="175260"/>
                      <wp:effectExtent l="0" t="0" r="0" b="0"/>
                      <wp:wrapNone/>
                      <wp:docPr id="37" name="Frame3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91185" cy="175260"/>
                      <wp:effectExtent l="0" t="0" r="0" b="0"/>
                      <wp:wrapNone/>
                      <wp:docPr id="39" name="Frame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2610" cy="175260"/>
                      <wp:effectExtent l="0" t="0" r="0" b="0"/>
                      <wp:wrapNone/>
                      <wp:docPr id="42" name="Frame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c>
          <w:tcPr>
            <w:tcW w:w="20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25,232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(2,024,370)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336,736</w:t>
            </w:r>
          </w:p>
        </w:tc>
        <w:tc>
          <w:tcPr>
            <w:tcW w:w="20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2,470,946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783,853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71,611</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(9,463)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3,629</w:t>
            </w:r>
          </w:p>
        </w:tc>
        <w:tc>
          <w:tcPr>
            <w:tcW w:w="20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54,176</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(2,102,760)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340,365</w:t>
            </w:r>
          </w:p>
        </w:tc>
        <w:tc>
          <w:tcPr>
            <w:tcW w:w="206"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2,542,564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780,704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0" w:name="Tc_MQWRcY_pHk2NTcXLp-LZCw_11_21"/>
      <w:bookmarkStart w:id="371" w:name="Tc_csw7_nI5rUe22f-JXYZY4w_11_18"/>
      <w:bookmarkStart w:id="372" w:name="Tc_j9SmvbOvV0Wpsq8cdMcr6g_11_15"/>
      <w:bookmarkStart w:id="373" w:name="Tc_TJkt38nqGkO3iVH20N8MSA_11_12"/>
      <w:bookmarkStart w:id="374" w:name="Tc_v4OvCehwA0y6ymOyBPVDZw_11_9"/>
      <w:bookmarkStart w:id="375" w:name="Tc_z-5p4XMYtkmEVyqOpxbQTA_11_4"/>
      <w:bookmarkStart w:id="376" w:name="Tc_jpQUF8c6KU2-XPeubnDKTg_11_0"/>
      <w:bookmarkStart w:id="377" w:name="Tc_g1QVCHNGHUO1GxC8c-2u1Q_10_19"/>
      <w:bookmarkStart w:id="378" w:name="Tc_wmnw-JILPUuRkfi58hjlaw_10_16"/>
      <w:bookmarkStart w:id="379" w:name="Tc_16JtmZwW2keu9PgU3XqcIQ_10_0"/>
      <w:bookmarkStart w:id="380" w:name="Tc_DXUQAp3epkeua4jJjuPSDw_9_22"/>
      <w:bookmarkStart w:id="381" w:name="Tc_AB-RDNDlcEOBwXS59DIibg_9_19"/>
      <w:bookmarkStart w:id="382" w:name="Tc_T-DAo13H2EaxyIY1LH7RYQ_9_16"/>
      <w:bookmarkStart w:id="383" w:name="Tc_w8IOrUUA_0GIAxAYJ8i54w_9_13"/>
      <w:bookmarkStart w:id="384" w:name="Tc_jTrNZuB6lUKYgPEChjuBDQ_9_10"/>
      <w:bookmarkStart w:id="385" w:name="Tc_KHrTClNTPkiGAzFOuHpFog_9_5"/>
      <w:bookmarkStart w:id="386" w:name="Tc_ZLXsCBHfKEKdeyt1vQJD7A_9_2"/>
      <w:bookmarkStart w:id="387" w:name="Tc_y5SxY5aq2UOZ1oQ3TLGRWQ_9_0"/>
      <w:bookmarkStart w:id="388" w:name="Tc_2K64PzO32UKpXCNLquKdXQ_8_19"/>
      <w:bookmarkStart w:id="389" w:name="Tc_L0pyOdtdR0qTI8ASUZBF4Q_8_16"/>
      <w:bookmarkStart w:id="390" w:name="Tc_mxFOr18k806LmSfEyyE94w_8_13"/>
      <w:bookmarkStart w:id="391" w:name="Tc_bn9XLDLfr0-F8k99Ye0cDw_8_5"/>
      <w:bookmarkStart w:id="392" w:name="Tc_mQZLeNaEiEWY9m6IMqriZA_8_2"/>
      <w:bookmarkStart w:id="393" w:name="Tc_IVmjlzw8REShCrmZPnSsXg_8_0"/>
      <w:bookmarkStart w:id="394" w:name="Tc_GyRqkG-v_E2bHCJAN_-r_g_7_13"/>
      <w:bookmarkStart w:id="395" w:name="Tc_g0t2s9_FbUCw6Ogmza42Yg_7_10"/>
      <w:bookmarkStart w:id="396" w:name="Tc_L9mebDkCPUui_q2GpKf3pA_7_7"/>
      <w:bookmarkStart w:id="397" w:name="Tc_rwPwzk6GZE-YShTwww8Lpg_7_5"/>
      <w:bookmarkStart w:id="398" w:name="Tc_Um7Rg315vUGp9mYflktiVg_7_2"/>
      <w:bookmarkStart w:id="399" w:name="Tc_teVhkf8GP0uZnzq4wvAA9g_7_0"/>
      <w:bookmarkStart w:id="400" w:name="Tc_7tQ3vAS5CUOiORfbJ9DF2A_6_21"/>
      <w:bookmarkStart w:id="401" w:name="Tc_aHWR_uUDRkqFLX2y3nBqKg_6_18"/>
      <w:bookmarkStart w:id="402" w:name="Tc_ohEBUADGkk27vcJMtkR58w_6_15"/>
      <w:bookmarkStart w:id="403" w:name="Tc_XDn5K2ViL0yOylaLxfJsuw_6_12"/>
      <w:bookmarkStart w:id="404" w:name="Tc_ctbiKKBtbEe4lrcKMJ7bvg_6_9"/>
      <w:bookmarkStart w:id="405" w:name="Tc_M-twoAeU-k-oElTWOHGV8Q_6_4"/>
      <w:bookmarkStart w:id="406" w:name="Tc_xcWC2T2SQ0KKnvqe-nyJsw_6_0"/>
      <w:bookmarkStart w:id="407" w:name="Tc_gVqJqeTpnUaOQ9xbTZJK7Q_5_21"/>
      <w:bookmarkStart w:id="408" w:name="Tc_IDd4dHVYoEuRjuUe2DBlSA_5_18"/>
      <w:bookmarkStart w:id="409" w:name="Tc_Q4_R1ykVA0mPHIY-Ay2V4Q_5_15"/>
      <w:bookmarkStart w:id="410" w:name="Tc_ChITtlL_W0ulJEH3w2df1Q_5_12"/>
      <w:bookmarkStart w:id="411" w:name="Tc_hGVqilgRdkWhLKMCDD0LLg_5_9"/>
      <w:bookmarkStart w:id="412" w:name="Tc_qbcEUiGCm0yGy7J80LcLvw_5_7"/>
      <w:bookmarkStart w:id="413" w:name="Tc_NHUp9mOKN0uHAWbSyEbymg_5_4"/>
      <w:bookmarkStart w:id="414" w:name="Tc_wVUxYxSCW0GikwJvndufzw_5_2"/>
      <w:bookmarkStart w:id="415" w:name="Tc_P64WknEpr0eehUJRAbv5YQ_4_18"/>
      <w:bookmarkStart w:id="416" w:name="Tc_rF99v3GmuUikKlYuQZBsXQ_4_15"/>
      <w:bookmarkStart w:id="417" w:name="Tc_VSRPzLxTrUqK_ouxnZw5gw_4_12"/>
      <w:bookmarkStart w:id="418" w:name="Tc_iLMOa4H-P0S-Bf_LCQYfsA_4_7"/>
      <w:bookmarkStart w:id="419" w:name="Tc_5R_xyEy2kUSUqt2XtTajvQ_4_2"/>
      <w:bookmarkStart w:id="420" w:name="Tc_Gt9CgAm-_k-Qj94dP_Ee1w_3_15"/>
      <w:bookmarkStart w:id="421" w:name="Tc_PwwjaeW7wE21okMt3RlQfQ_3_12"/>
      <w:bookmarkStart w:id="422" w:name="Tc_5nduqiBa-0uC2qkfFVddWQ_2_15"/>
      <w:bookmarkStart w:id="423" w:name="Tc_1urg-Te9sEqtDW9ohyiOmg_1_2"/>
      <w:bookmarkStart w:id="424" w:name="_f99ad569_bc19_45ea_b57e_63964ab0add2"/>
      <w:bookmarkStart w:id="425" w:name="Tc_MQWRcY_pHk2NTcXLp-LZCw_11_21"/>
      <w:bookmarkStart w:id="426" w:name="Tc_csw7_nI5rUe22f-JXYZY4w_11_18"/>
      <w:bookmarkStart w:id="427" w:name="Tc_j9SmvbOvV0Wpsq8cdMcr6g_11_15"/>
      <w:bookmarkStart w:id="428" w:name="Tc_TJkt38nqGkO3iVH20N8MSA_11_12"/>
      <w:bookmarkStart w:id="429" w:name="Tc_v4OvCehwA0y6ymOyBPVDZw_11_9"/>
      <w:bookmarkStart w:id="430" w:name="Tc_z-5p4XMYtkmEVyqOpxbQTA_11_4"/>
      <w:bookmarkStart w:id="431" w:name="Tc_jpQUF8c6KU2-XPeubnDKTg_11_0"/>
      <w:bookmarkStart w:id="432" w:name="Tc_g1QVCHNGHUO1GxC8c-2u1Q_10_19"/>
      <w:bookmarkStart w:id="433" w:name="Tc_wmnw-JILPUuRkfi58hjlaw_10_16"/>
      <w:bookmarkStart w:id="434" w:name="Tc_16JtmZwW2keu9PgU3XqcIQ_10_0"/>
      <w:bookmarkStart w:id="435" w:name="Tc_DXUQAp3epkeua4jJjuPSDw_9_22"/>
      <w:bookmarkStart w:id="436" w:name="Tc_AB-RDNDlcEOBwXS59DIibg_9_19"/>
      <w:bookmarkStart w:id="437" w:name="Tc_T-DAo13H2EaxyIY1LH7RYQ_9_16"/>
      <w:bookmarkStart w:id="438" w:name="Tc_w8IOrUUA_0GIAxAYJ8i54w_9_13"/>
      <w:bookmarkStart w:id="439" w:name="Tc_jTrNZuB6lUKYgPEChjuBDQ_9_10"/>
      <w:bookmarkStart w:id="440" w:name="Tc_KHrTClNTPkiGAzFOuHpFog_9_5"/>
      <w:bookmarkStart w:id="441" w:name="Tc_ZLXsCBHfKEKdeyt1vQJD7A_9_2"/>
      <w:bookmarkStart w:id="442" w:name="Tc_y5SxY5aq2UOZ1oQ3TLGRWQ_9_0"/>
      <w:bookmarkStart w:id="443" w:name="Tc_2K64PzO32UKpXCNLquKdXQ_8_19"/>
      <w:bookmarkStart w:id="444" w:name="Tc_L0pyOdtdR0qTI8ASUZBF4Q_8_16"/>
      <w:bookmarkStart w:id="445" w:name="Tc_mxFOr18k806LmSfEyyE94w_8_13"/>
      <w:bookmarkStart w:id="446" w:name="Tc_bn9XLDLfr0-F8k99Ye0cDw_8_5"/>
      <w:bookmarkStart w:id="447" w:name="Tc_mQZLeNaEiEWY9m6IMqriZA_8_2"/>
      <w:bookmarkStart w:id="448" w:name="Tc_IVmjlzw8REShCrmZPnSsXg_8_0"/>
      <w:bookmarkStart w:id="449" w:name="Tc_GyRqkG-v_E2bHCJAN_-r_g_7_13"/>
      <w:bookmarkStart w:id="450" w:name="Tc_g0t2s9_FbUCw6Ogmza42Yg_7_10"/>
      <w:bookmarkStart w:id="451" w:name="Tc_L9mebDkCPUui_q2GpKf3pA_7_7"/>
      <w:bookmarkStart w:id="452" w:name="Tc_rwPwzk6GZE-YShTwww8Lpg_7_5"/>
      <w:bookmarkStart w:id="453" w:name="Tc_Um7Rg315vUGp9mYflktiVg_7_2"/>
      <w:bookmarkStart w:id="454" w:name="Tc_teVhkf8GP0uZnzq4wvAA9g_7_0"/>
      <w:bookmarkStart w:id="455" w:name="Tc_7tQ3vAS5CUOiORfbJ9DF2A_6_21"/>
      <w:bookmarkStart w:id="456" w:name="Tc_aHWR_uUDRkqFLX2y3nBqKg_6_18"/>
      <w:bookmarkStart w:id="457" w:name="Tc_ohEBUADGkk27vcJMtkR58w_6_15"/>
      <w:bookmarkStart w:id="458" w:name="Tc_XDn5K2ViL0yOylaLxfJsuw_6_12"/>
      <w:bookmarkStart w:id="459" w:name="Tc_ctbiKKBtbEe4lrcKMJ7bvg_6_9"/>
      <w:bookmarkStart w:id="460" w:name="Tc_M-twoAeU-k-oElTWOHGV8Q_6_4"/>
      <w:bookmarkStart w:id="461" w:name="Tc_xcWC2T2SQ0KKnvqe-nyJsw_6_0"/>
      <w:bookmarkStart w:id="462" w:name="Tc_gVqJqeTpnUaOQ9xbTZJK7Q_5_21"/>
      <w:bookmarkStart w:id="463" w:name="Tc_IDd4dHVYoEuRjuUe2DBlSA_5_18"/>
      <w:bookmarkStart w:id="464" w:name="Tc_Q4_R1ykVA0mPHIY-Ay2V4Q_5_15"/>
      <w:bookmarkStart w:id="465" w:name="Tc_ChITtlL_W0ulJEH3w2df1Q_5_12"/>
      <w:bookmarkStart w:id="466" w:name="Tc_hGVqilgRdkWhLKMCDD0LLg_5_9"/>
      <w:bookmarkStart w:id="467" w:name="Tc_qbcEUiGCm0yGy7J80LcLvw_5_7"/>
      <w:bookmarkStart w:id="468" w:name="Tc_NHUp9mOKN0uHAWbSyEbymg_5_4"/>
      <w:bookmarkStart w:id="469" w:name="Tc_wVUxYxSCW0GikwJvndufzw_5_2"/>
      <w:bookmarkStart w:id="470" w:name="Tc_P64WknEpr0eehUJRAbv5YQ_4_18"/>
      <w:bookmarkStart w:id="471" w:name="Tc_rF99v3GmuUikKlYuQZBsXQ_4_15"/>
      <w:bookmarkStart w:id="472" w:name="Tc_VSRPzLxTrUqK_ouxnZw5gw_4_12"/>
      <w:bookmarkStart w:id="473" w:name="Tc_iLMOa4H-P0S-Bf_LCQYfsA_4_7"/>
      <w:bookmarkStart w:id="474" w:name="Tc_5R_xyEy2kUSUqt2XtTajvQ_4_2"/>
      <w:bookmarkStart w:id="475" w:name="Tc_Gt9CgAm-_k-Qj94dP_Ee1w_3_15"/>
      <w:bookmarkStart w:id="476" w:name="Tc_PwwjaeW7wE21okMt3RlQfQ_3_12"/>
      <w:bookmarkStart w:id="477" w:name="Tc_5nduqiBa-0uC2qkfFVddWQ_2_15"/>
      <w:bookmarkStart w:id="478" w:name="Tc_1urg-Te9sEqtDW9ohyiOmg_1_2"/>
      <w:bookmarkStart w:id="479" w:name="_f99ad569_bc19_45ea_b57e_63964ab0add2"/>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0810" cy="175260"/>
                      <wp:effectExtent l="0" t="0" r="0" b="0"/>
                      <wp:wrapNone/>
                      <wp:docPr id="43" name="Frame4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9260" cy="175260"/>
                      <wp:effectExtent l="0" t="0" r="0" b="0"/>
                      <wp:wrapNone/>
                      <wp:docPr id="44" name="Frame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5" name="Frame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77800" cy="175260"/>
                      <wp:effectExtent l="0" t="0" r="0" b="0"/>
                      <wp:wrapNone/>
                      <wp:docPr id="46" name="Frame4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56235" cy="175260"/>
                      <wp:effectExtent l="0" t="0" r="0" b="0"/>
                      <wp:wrapNone/>
                      <wp:docPr id="47" name="Frame4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0810" cy="175260"/>
                      <wp:effectExtent l="0" t="0" r="0" b="0"/>
                      <wp:wrapNone/>
                      <wp:docPr id="48" name="Frame4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29260" cy="175260"/>
                      <wp:effectExtent l="0" t="0" r="0" b="0"/>
                      <wp:wrapNone/>
                      <wp:docPr id="49" name="Frame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0810" cy="175260"/>
                      <wp:effectExtent l="0" t="0" r="0" b="0"/>
                      <wp:wrapNone/>
                      <wp:docPr id="50" name="Frame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29285" cy="175260"/>
                      <wp:effectExtent l="0" t="0" r="0" b="0"/>
                      <wp:wrapNone/>
                      <wp:docPr id="52" name="Frame5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810" cy="175260"/>
                      <wp:effectExtent l="0" t="0" r="0" b="0"/>
                      <wp:wrapNone/>
                      <wp:docPr id="53" name="Frame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260"/>
                      <wp:effectExtent l="0" t="0" r="0" b="0"/>
                      <wp:wrapNone/>
                      <wp:docPr id="55" name="Frame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0810" cy="175260"/>
                      <wp:effectExtent l="0" t="0" r="0" b="0"/>
                      <wp:wrapNone/>
                      <wp:docPr id="56" name="Frame5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34950" cy="175260"/>
                      <wp:effectExtent l="0" t="0" r="0" b="0"/>
                      <wp:wrapNone/>
                      <wp:docPr id="57" name="Frame5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37210" cy="175260"/>
                      <wp:effectExtent l="0" t="0" r="0" b="0"/>
                      <wp:wrapNone/>
                      <wp:docPr id="58" name="Frame5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0810" cy="175260"/>
                      <wp:effectExtent l="0" t="0" r="0" b="0"/>
                      <wp:wrapNone/>
                      <wp:docPr id="59" name="Frame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91185" cy="175260"/>
                      <wp:effectExtent l="0" t="0" r="0" b="0"/>
                      <wp:wrapNone/>
                      <wp:docPr id="61" name="Frame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62610" cy="175260"/>
                      <wp:effectExtent l="0" t="0" r="0" b="0"/>
                      <wp:wrapNone/>
                      <wp:docPr id="64" name="Frame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322,512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2,244,712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718,014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68,010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67,954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54,087</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(1,879,697)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325,994</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2,312,722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759,447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80" w:name="_0c5b925a_d9b5_4318_9dd8_6e6c9706cb5e"/>
      <w:bookmarkEnd w:id="48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81" w:name="Tc_58nYkLGBDUKYWChFEGS0QA_40_4"/>
      <w:bookmarkStart w:id="482" w:name="Tc_h6HQ0Gac30mMktm9K8pzYg_40_1"/>
      <w:bookmarkStart w:id="483" w:name="Tc_jmfB9hXhOk-k1Qp10amt4A_40_0"/>
      <w:bookmarkStart w:id="484" w:name="Tc_DjZfk3ezyU-kk9MoJaUQeg_39_4"/>
      <w:bookmarkStart w:id="485" w:name="Tc_DjJJ_2B7ZkKbw2RQfYCvZQ_39_2"/>
      <w:bookmarkStart w:id="486" w:name="Tc_ksrl9HOo5U-VNYVSaeayIQ_39_1"/>
      <w:bookmarkStart w:id="487" w:name="Tc_Qr76mKwmnkKttHkNw7bHmQ_39_0"/>
      <w:bookmarkStart w:id="488" w:name="Tc_NYYGEOG23kaJ305MydjYOQ_38_4"/>
      <w:bookmarkStart w:id="489" w:name="Tc_bUyyvh48Fk2WysSqUYCyTg_38_1"/>
      <w:bookmarkStart w:id="490" w:name="Tc_CP4G-HU810K7vXgEPy3eJg_38_0"/>
      <w:bookmarkStart w:id="491" w:name="Tc_OFCjUQ06e0ST8Cy0vUnSBg_37_0"/>
      <w:bookmarkStart w:id="492" w:name="Tc_ktbZ_0VvRUmsZWc2YjJHiw_36_4"/>
      <w:bookmarkStart w:id="493" w:name="Tc_mAOiQ06NEke5H6_wu4oL9g_36_1"/>
      <w:bookmarkStart w:id="494" w:name="Tc_qliRFoHJ9kaCWv7fAuqJ3Q_36_0"/>
      <w:bookmarkStart w:id="495" w:name="Tc_VpeT01UsJUap5ndanmmEJg_35_4"/>
      <w:bookmarkStart w:id="496" w:name="Tc_9kO-Eh-Z8kenukWA4pYZXg_35_2"/>
      <w:bookmarkStart w:id="497" w:name="Tc_4ng3PCmyMk6a_5XNyXJNLw_35_1"/>
      <w:bookmarkStart w:id="498" w:name="Tc_1TYofPuXzk-AF6O8bM50lQ_35_0"/>
      <w:bookmarkStart w:id="499" w:name="Tc_3uVZUKtvC0y2sOO1iAm1HQ_34_0"/>
      <w:bookmarkStart w:id="500" w:name="Tc_VoBqa6KN6UGX9EwKXV6rCQ_33_4"/>
      <w:bookmarkStart w:id="501" w:name="Tc_6kepxDSyrEiazfMw9Qle9w_33_1"/>
      <w:bookmarkStart w:id="502" w:name="Tc_7A5zmxbTpEe_qTgmFBFb_g_33_0"/>
      <w:bookmarkStart w:id="503" w:name="Tc_yb1NhEUDLkODTS-oiUjlug_32_0"/>
      <w:bookmarkStart w:id="504" w:name="Tc__oEuSGMRiEydpkXvX0STTA_31_0"/>
      <w:bookmarkStart w:id="505" w:name="Tc_8Dh1-AFInk6Ug6HbGPvf4A_30_0"/>
      <w:bookmarkStart w:id="506" w:name="Tc_tY0dDpU9dU2PvV6KyxzxUA_29_0"/>
      <w:bookmarkStart w:id="507" w:name="Tc_Mv6iP4RasUessav30Ztsdw_28_0"/>
      <w:bookmarkStart w:id="508" w:name="Tc_hihXL_SQnE2YFUEXY5jfxg_27_0"/>
      <w:bookmarkStart w:id="509" w:name="Tc_odc7flY_0Em0EfThk4g0KQ_26_2"/>
      <w:bookmarkStart w:id="510" w:name="Tc_LbaHXWDXt0aUFi3e_5TxeQ_26_0"/>
      <w:bookmarkStart w:id="511" w:name="Tc_Cfyh3l8U9EqwYomClUac9g_25_0"/>
      <w:bookmarkStart w:id="512" w:name="Tc_O3k9Lt_QYEOpSLj3zAJI_A_24_5"/>
      <w:bookmarkStart w:id="513" w:name="Tc_UPV6ShBERUifF4LiauEhuw_24_0"/>
      <w:bookmarkStart w:id="514" w:name="Tc_r_cBQbt5kUCes7XOWvADsw_23_0"/>
      <w:bookmarkStart w:id="515" w:name="Tc_19xT6HXbdUyZWvshxnnp-g_22_0"/>
      <w:bookmarkStart w:id="516" w:name="Tc_vBYmDJ82okyEGfhclG5N_w_21_0"/>
      <w:bookmarkStart w:id="517" w:name="Tc_-S609z1oxE65XpxkLSWWPw_20_0"/>
      <w:bookmarkStart w:id="518" w:name="Tc_K67VuGSxaECjM5DSd-EPFw_19_0"/>
      <w:bookmarkStart w:id="519" w:name="Tc_Crmx7bdMnEOSOZXzn4Yndg_18_0"/>
      <w:bookmarkStart w:id="520" w:name="Tc_fliq3A0ZvE2szjfKLURYtw_17_0"/>
      <w:bookmarkStart w:id="521" w:name="Tc_x1n23au1PUOK7jI254olbA_16_0"/>
      <w:bookmarkStart w:id="522" w:name="Tc_oGURJKpVMUaRieDIBCZtrQ_15_0"/>
      <w:bookmarkStart w:id="523" w:name="Tc_DdMg6SFDfkO_pMAqLuBO_g_14_0"/>
      <w:bookmarkStart w:id="524" w:name="Tc_t2-Yh9kC6ECzylkrUlz4-w_13_0"/>
      <w:bookmarkStart w:id="525" w:name="Tc_aDLtuAFDEEiq7HhIB-bJEA_12_0"/>
      <w:bookmarkStart w:id="526" w:name="Tc_p-b7ign8qEulpf70fKT0hA_11_0"/>
      <w:bookmarkStart w:id="527" w:name="Tc_Lyu-G8WqKEeECaO4D67ViA_10_0"/>
      <w:bookmarkStart w:id="528" w:name="Tc_W-Ipt83d_UOF2DBTqwCSgg_9_0"/>
      <w:bookmarkStart w:id="529" w:name="Tc_VNiVxUn0FEuOqEOlum9fuA_8_0"/>
      <w:bookmarkStart w:id="530" w:name="Tc_4gqhauVX_0yLieDFb2ttoQ_7_0"/>
      <w:bookmarkStart w:id="531" w:name="Tc_v_m1vp5T3kyyFZB1RmpnzA_6_0"/>
      <w:bookmarkStart w:id="532" w:name="Tc_ROiP8Hm660Gu-5dNKLwkmQ_5_4"/>
      <w:bookmarkStart w:id="533" w:name="Tc_Ab5Y6Gm5-0C6BTUSizST4A_5_1"/>
      <w:bookmarkStart w:id="534" w:name="Tc_Kn88I7WWn0K0pjLsQ7zMow_5_0"/>
      <w:bookmarkStart w:id="535" w:name="Tc_Gz-PIntuKkK5P6RZi-NRqA_4_0"/>
      <w:bookmarkStart w:id="536" w:name="Tc_WWBbBQ4VPE-V92qYyIXz9A_3_4"/>
      <w:bookmarkStart w:id="537" w:name="Tc_96sdRqK2A02jRg0MXojj3w_3_1"/>
      <w:bookmarkStart w:id="538" w:name="Tc_ca-akSp6UEW4wX7rJ7Jy2Q_3_0"/>
      <w:bookmarkStart w:id="539" w:name="Tc_CAZb34RqMkamuGSvakXShA_2_1"/>
      <w:bookmarkStart w:id="540" w:name="Tc_PegaE280j0Kd6J5ttxw9NQ_1_1"/>
      <w:bookmarkStart w:id="541" w:name="_3ef04afb_51ad_45aa_87a2_1fc8f1a88ea0"/>
      <w:bookmarkStart w:id="542" w:name="Tc_58nYkLGBDUKYWChFEGS0QA_40_4"/>
      <w:bookmarkStart w:id="543" w:name="Tc_h6HQ0Gac30mMktm9K8pzYg_40_1"/>
      <w:bookmarkStart w:id="544" w:name="Tc_jmfB9hXhOk-k1Qp10amt4A_40_0"/>
      <w:bookmarkStart w:id="545" w:name="Tc_DjZfk3ezyU-kk9MoJaUQeg_39_4"/>
      <w:bookmarkStart w:id="546" w:name="Tc_DjJJ_2B7ZkKbw2RQfYCvZQ_39_2"/>
      <w:bookmarkStart w:id="547" w:name="Tc_ksrl9HOo5U-VNYVSaeayIQ_39_1"/>
      <w:bookmarkStart w:id="548" w:name="Tc_Qr76mKwmnkKttHkNw7bHmQ_39_0"/>
      <w:bookmarkStart w:id="549" w:name="Tc_NYYGEOG23kaJ305MydjYOQ_38_4"/>
      <w:bookmarkStart w:id="550" w:name="Tc_bUyyvh48Fk2WysSqUYCyTg_38_1"/>
      <w:bookmarkStart w:id="551" w:name="Tc_CP4G-HU810K7vXgEPy3eJg_38_0"/>
      <w:bookmarkStart w:id="552" w:name="Tc_OFCjUQ06e0ST8Cy0vUnSBg_37_0"/>
      <w:bookmarkStart w:id="553" w:name="Tc_ktbZ_0VvRUmsZWc2YjJHiw_36_4"/>
      <w:bookmarkStart w:id="554" w:name="Tc_mAOiQ06NEke5H6_wu4oL9g_36_1"/>
      <w:bookmarkStart w:id="555" w:name="Tc_qliRFoHJ9kaCWv7fAuqJ3Q_36_0"/>
      <w:bookmarkStart w:id="556" w:name="Tc_VpeT01UsJUap5ndanmmEJg_35_4"/>
      <w:bookmarkStart w:id="557" w:name="Tc_9kO-Eh-Z8kenukWA4pYZXg_35_2"/>
      <w:bookmarkStart w:id="558" w:name="Tc_4ng3PCmyMk6a_5XNyXJNLw_35_1"/>
      <w:bookmarkStart w:id="559" w:name="Tc_1TYofPuXzk-AF6O8bM50lQ_35_0"/>
      <w:bookmarkStart w:id="560" w:name="Tc_3uVZUKtvC0y2sOO1iAm1HQ_34_0"/>
      <w:bookmarkStart w:id="561" w:name="Tc_VoBqa6KN6UGX9EwKXV6rCQ_33_4"/>
      <w:bookmarkStart w:id="562" w:name="Tc_6kepxDSyrEiazfMw9Qle9w_33_1"/>
      <w:bookmarkStart w:id="563" w:name="Tc_7A5zmxbTpEe_qTgmFBFb_g_33_0"/>
      <w:bookmarkStart w:id="564" w:name="Tc_yb1NhEUDLkODTS-oiUjlug_32_0"/>
      <w:bookmarkStart w:id="565" w:name="Tc__oEuSGMRiEydpkXvX0STTA_31_0"/>
      <w:bookmarkStart w:id="566" w:name="Tc_8Dh1-AFInk6Ug6HbGPvf4A_30_0"/>
      <w:bookmarkStart w:id="567" w:name="Tc_tY0dDpU9dU2PvV6KyxzxUA_29_0"/>
      <w:bookmarkStart w:id="568" w:name="Tc_Mv6iP4RasUessav30Ztsdw_28_0"/>
      <w:bookmarkStart w:id="569" w:name="Tc_hihXL_SQnE2YFUEXY5jfxg_27_0"/>
      <w:bookmarkStart w:id="570" w:name="Tc_odc7flY_0Em0EfThk4g0KQ_26_2"/>
      <w:bookmarkStart w:id="571" w:name="Tc_LbaHXWDXt0aUFi3e_5TxeQ_26_0"/>
      <w:bookmarkStart w:id="572" w:name="Tc_Cfyh3l8U9EqwYomClUac9g_25_0"/>
      <w:bookmarkStart w:id="573" w:name="Tc_O3k9Lt_QYEOpSLj3zAJI_A_24_5"/>
      <w:bookmarkStart w:id="574" w:name="Tc_UPV6ShBERUifF4LiauEhuw_24_0"/>
      <w:bookmarkStart w:id="575" w:name="Tc_r_cBQbt5kUCes7XOWvADsw_23_0"/>
      <w:bookmarkStart w:id="576" w:name="Tc_19xT6HXbdUyZWvshxnnp-g_22_0"/>
      <w:bookmarkStart w:id="577" w:name="Tc_vBYmDJ82okyEGfhclG5N_w_21_0"/>
      <w:bookmarkStart w:id="578" w:name="Tc_-S609z1oxE65XpxkLSWWPw_20_0"/>
      <w:bookmarkStart w:id="579" w:name="Tc_K67VuGSxaECjM5DSd-EPFw_19_0"/>
      <w:bookmarkStart w:id="580" w:name="Tc_Crmx7bdMnEOSOZXzn4Yndg_18_0"/>
      <w:bookmarkStart w:id="581" w:name="Tc_fliq3A0ZvE2szjfKLURYtw_17_0"/>
      <w:bookmarkStart w:id="582" w:name="Tc_x1n23au1PUOK7jI254olbA_16_0"/>
      <w:bookmarkStart w:id="583" w:name="Tc_oGURJKpVMUaRieDIBCZtrQ_15_0"/>
      <w:bookmarkStart w:id="584" w:name="Tc_DdMg6SFDfkO_pMAqLuBO_g_14_0"/>
      <w:bookmarkStart w:id="585" w:name="Tc_t2-Yh9kC6ECzylkrUlz4-w_13_0"/>
      <w:bookmarkStart w:id="586" w:name="Tc_aDLtuAFDEEiq7HhIB-bJEA_12_0"/>
      <w:bookmarkStart w:id="587" w:name="Tc_p-b7ign8qEulpf70fKT0hA_11_0"/>
      <w:bookmarkStart w:id="588" w:name="Tc_Lyu-G8WqKEeECaO4D67ViA_10_0"/>
      <w:bookmarkStart w:id="589" w:name="Tc_W-Ipt83d_UOF2DBTqwCSgg_9_0"/>
      <w:bookmarkStart w:id="590" w:name="Tc_VNiVxUn0FEuOqEOlum9fuA_8_0"/>
      <w:bookmarkStart w:id="591" w:name="Tc_4gqhauVX_0yLieDFb2ttoQ_7_0"/>
      <w:bookmarkStart w:id="592" w:name="Tc_v_m1vp5T3kyyFZB1RmpnzA_6_0"/>
      <w:bookmarkStart w:id="593" w:name="Tc_ROiP8Hm660Gu-5dNKLwkmQ_5_4"/>
      <w:bookmarkStart w:id="594" w:name="Tc_Ab5Y6Gm5-0C6BTUSizST4A_5_1"/>
      <w:bookmarkStart w:id="595" w:name="Tc_Kn88I7WWn0K0pjLsQ7zMow_5_0"/>
      <w:bookmarkStart w:id="596" w:name="Tc_Gz-PIntuKkK5P6RZi-NRqA_4_0"/>
      <w:bookmarkStart w:id="597" w:name="Tc_WWBbBQ4VPE-V92qYyIXz9A_3_4"/>
      <w:bookmarkStart w:id="598" w:name="Tc_96sdRqK2A02jRg0MXojj3w_3_1"/>
      <w:bookmarkStart w:id="599" w:name="Tc_ca-akSp6UEW4wX7rJ7Jy2Q_3_0"/>
      <w:bookmarkStart w:id="600" w:name="Tc_CAZb34RqMkamuGSvakXShA_2_1"/>
      <w:bookmarkStart w:id="601" w:name="Tc_PegaE280j0Kd6J5ttxw9NQ_1_1"/>
      <w:bookmarkStart w:id="602" w:name="_3ef04afb_51ad_45aa_87a2_1fc8f1a88ea0"/>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tbl>
      <w:tblPr>
        <w:tblW w:w="8011" w:type="dxa"/>
        <w:jc w:val="left"/>
        <w:tblInd w:w="0" w:type="dxa"/>
        <w:tblLayout w:type="fixed"/>
        <w:tblCellMar>
          <w:top w:w="0" w:type="dxa"/>
          <w:left w:w="0" w:type="dxa"/>
          <w:bottom w:w="0" w:type="dxa"/>
          <w:right w:w="0" w:type="dxa"/>
        </w:tblCellMar>
      </w:tblPr>
      <w:tblGrid>
        <w:gridCol w:w="5716"/>
        <w:gridCol w:w="196"/>
        <w:gridCol w:w="811"/>
        <w:gridCol w:w="326"/>
        <w:gridCol w:w="196"/>
        <w:gridCol w:w="76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629660" cy="175260"/>
                      <wp:effectExtent l="0" t="0" r="0" b="0"/>
                      <wp:wrapNone/>
                      <wp:docPr id="65" name="Frame65"/>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4985" cy="175260"/>
                      <wp:effectExtent l="0" t="0" r="0" b="0"/>
                      <wp:wrapNone/>
                      <wp:docPr id="67" name="Frame6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86410" cy="175260"/>
                      <wp:effectExtent l="0" t="0" r="0" b="0"/>
                      <wp:wrapNone/>
                      <wp:docPr id="70" name="Frame7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716" w:type="dxa"/>
            <w:tcBorders/>
            <w:vAlign w:val="center"/>
          </w:tcPr>
          <w:p>
            <w:pPr>
              <w:pStyle w:val="TableContents"/>
              <w:bidi w:val="0"/>
              <w:spacing w:before="0" w:after="0"/>
              <w:ind w:left="0" w:right="0" w:hanging="0"/>
              <w:jc w:val="left"/>
              <w:rPr/>
            </w:pPr>
            <w:r>
              <w:rPr/>
              <w:t>​</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(32,899)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11,970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17,328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84,963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investing activities: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investment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(19,381)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23,172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(169,888)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(77,857)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(29,970)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(29,970)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(decrease) increase in cash and cash equivalents and restricted cash</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(180,114)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49,733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146,475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144,509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196,208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ROU Asset and Liability recognition</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34</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603" w:name="_cp_text_1_117"/>
      <w:bookmarkEnd w:id="603"/>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nine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2025, GCE provides education services to 22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(“GAAP”)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2024. They do not include all of the information and footnotes required by GAAP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2024 from which the December 31, 2024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had no investments. As of March 31,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Unrealized investment 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March 31, 2025 and December 31, 2024, $596 and $658,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March 31, 2025.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Services Agreements have initial terms ranging from 7-15 years, subject to renewal options, although certain agreements may give the university partners the right to terminate early if certain conditions are met. The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March 31, 2025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on December 31 of each year, unbilled revenue is low at year end (whereas a semester is ongoing at the end of each other fiscal quarter, and unbilled revenue is thus higher at the end of our first three quarters). Our unbilled revenue of $3,880 and $115 as of March 31, 2025 and December 31, 2024,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its accounts receivable at the net amount expected to be collected. Our accounts receivable are derived through education services provided to university partners. The Company maintains an allowance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March 31, 2025 and December 31, 2024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March 31, 2025 and December 31, 2024, the Company had $143,509 and $323,124, respectively, in excess of the FDIC insured limit. The Company is also subject to credit risk for its accounts receivable balance. Our dependence on our most significant university partner, GCU, with 90.4% and 89.7% of total service revenue for the three-month periods ended March 31, 2025 and 2024,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 xml:space="preserve">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year 2027 and in the first quarter of fiscal year 2028 for interim reporting. Retrospective application is permitted. The Company does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expect the adoption of this guidance to have a material impact on the Company’s financial condition, results of operations or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bidi w:val="0"/>
        <w:spacing w:before="0" w:after="120"/>
        <w:ind w:left="0" w:right="0" w:hanging="0"/>
        <w:jc w:val="left"/>
        <w:rPr>
          <w:rFonts w:ascii="Times New Roman;Times;serif" w:hAnsi="Times New Roman;Times;serif"/>
          <w:b/>
          <w:sz w:val="20"/>
        </w:rPr>
      </w:pPr>
      <w:bookmarkStart w:id="604" w:name="Tc_gh5xRJEMvUSbAYUGNRlgWw_6_2"/>
      <w:bookmarkStart w:id="605" w:name="Tc_gWOCyy36JEyDR-kyD-gHFQ_5_0"/>
      <w:bookmarkStart w:id="606" w:name="Tc_VQ9a2wMpv0OpX6c3cnRfxQ_4_0"/>
      <w:bookmarkStart w:id="607" w:name="Tc_YNl8eRDwoEyDSy_cTXWxwA_3_0"/>
      <w:bookmarkStart w:id="608" w:name="Tc_ECpJhkIJ1kSSyFo716b73g_2_2"/>
      <w:bookmarkStart w:id="609" w:name="Tc_DykmzWVG70afER7DU_g2mA_2_0"/>
      <w:bookmarkStart w:id="610" w:name="Tc_SUDG85X5t0W_BrbXL_h14g_1_0"/>
      <w:bookmarkStart w:id="611" w:name="Tc_sC3VsxOFgU667T8ebm-ioQ_9_11"/>
      <w:bookmarkStart w:id="612" w:name="Tc_RoRjJuWh-EKJVSrrdtjIYA_9_8"/>
      <w:bookmarkStart w:id="613" w:name="Tc_lesoLqvMT0Ci2fGgR1oXTA_9_5"/>
      <w:bookmarkStart w:id="614" w:name="Tc_fWFwmmJ_G0SNwNofn-0Jxw_9_2"/>
      <w:bookmarkStart w:id="615" w:name="Tc_JdcrdcM6kEqImqK3c6SrQA_9_0"/>
      <w:bookmarkStart w:id="616" w:name="Tc_i0RbJ8GW-Eu5er0xN_xPSA_8_0"/>
      <w:bookmarkStart w:id="617" w:name="Tc_lQqdPeXRWk--sFkD0jMn9A_7_9"/>
      <w:bookmarkStart w:id="618" w:name="Tc__a_nAx_NSki7xHVDjnRcng_7_0"/>
      <w:bookmarkStart w:id="619" w:name="Tc_pL_b6NBYj0Ks2b9R9Tq3LQ_6_6"/>
      <w:bookmarkStart w:id="620" w:name="Tc_5VCU3DWtFEiVNeTk5w6ywg_6_0"/>
      <w:bookmarkStart w:id="621" w:name="Tc_QoEvzrJIJ0iUEwBtoNsikQ_5_11"/>
      <w:bookmarkStart w:id="622" w:name="Tc_4BIltoCB7UyccO8kTFFB3A_5_8"/>
      <w:bookmarkStart w:id="623" w:name="Tc_ZmzYjW5aHkmZssT5y2Dw5Q_5_5"/>
      <w:bookmarkStart w:id="624" w:name="Tc_TUb57YjTC06C336Sk61QfA_5_2"/>
      <w:bookmarkStart w:id="625" w:name="Tc_MiLNS78xN0eFjNR2yfLqYQ_5_0"/>
      <w:bookmarkStart w:id="626" w:name="Tc_swU1cHDzEEuhKFKOmscSbA_4_11"/>
      <w:bookmarkStart w:id="627" w:name="Tc_OPmvRBTiwUKxc3Iiz3X3pA_4_8"/>
      <w:bookmarkStart w:id="628" w:name="Tc_NpbebfZPo0CUXpmeBUkC-Q_4_5"/>
      <w:bookmarkStart w:id="629" w:name="Tc_EFowMXCSq0-L2rResbXX6Q_4_2"/>
      <w:bookmarkStart w:id="630" w:name="Tc_2f_Nlcvw5E2n9PIFK9Qrfg_3_11"/>
      <w:bookmarkStart w:id="631" w:name="Tc_qVoqjobrWEGvW7p3vgu9Fw_3_8"/>
      <w:bookmarkStart w:id="632" w:name="Tc_62aDoyIwlE2OJ7vmfc_GUg_3_5"/>
      <w:bookmarkStart w:id="633" w:name="Tc_UEsNviDjSEOe8q-lnrbaPQ_3_2"/>
      <w:bookmarkStart w:id="634" w:name="Tc_2AoeH1ZHcEazwVBQsadxqQ_2_11"/>
      <w:bookmarkStart w:id="635" w:name="Tc_AJmrxW0GREyPVqfJsm0oAg_2_8"/>
      <w:bookmarkStart w:id="636" w:name="Tc_CZpSMnWG302BOwfs-GPdVQ_2_5"/>
      <w:bookmarkStart w:id="637" w:name="Tc_zfBEoiegs067TIqac0AGNA_1_2"/>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March 31, 2025 the Company had investments of $160,144 classified as available-for-sale securities. The Company had no investments at December 31, 2024 as it sold all its investments in the third quarter of 2024 and the proceeds were invested in cash and cash equivalents.</w:t>
      </w:r>
    </w:p>
    <w:p>
      <w:pPr>
        <w:pStyle w:val="TextBody"/>
        <w:bidi w:val="0"/>
        <w:spacing w:before="0" w:after="0"/>
        <w:ind w:left="0" w:right="0" w:hanging="0"/>
        <w:jc w:val="left"/>
        <w:rPr/>
      </w:pPr>
      <w:r>
        <w:rPr/>
        <w:t>​</w:t>
      </w:r>
    </w:p>
    <w:tbl>
      <w:tblPr>
        <w:tblW w:w="6781" w:type="dxa"/>
        <w:jc w:val="left"/>
        <w:tblInd w:w="0" w:type="dxa"/>
        <w:tblLayout w:type="fixed"/>
        <w:tblCellMar>
          <w:top w:w="0" w:type="dxa"/>
          <w:left w:w="0" w:type="dxa"/>
          <w:bottom w:w="0" w:type="dxa"/>
          <w:right w:w="0" w:type="dxa"/>
        </w:tblCellMar>
      </w:tblPr>
      <w:tblGrid>
        <w:gridCol w:w="1606"/>
        <w:gridCol w:w="326"/>
        <w:gridCol w:w="211"/>
        <w:gridCol w:w="781"/>
        <w:gridCol w:w="326"/>
        <w:gridCol w:w="295"/>
        <w:gridCol w:w="591"/>
        <w:gridCol w:w="326"/>
        <w:gridCol w:w="270"/>
        <w:gridCol w:w="616"/>
        <w:gridCol w:w="326"/>
        <w:gridCol w:w="211"/>
        <w:gridCol w:w="8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19810" cy="175260"/>
                      <wp:effectExtent l="0" t="0" r="0" b="0"/>
                      <wp:wrapNone/>
                      <wp:docPr id="71" name="Frame7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7325" cy="175260"/>
                      <wp:effectExtent l="0" t="0" r="0" b="0"/>
                      <wp:wrapNone/>
                      <wp:docPr id="76" name="Frame7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75285" cy="175260"/>
                      <wp:effectExtent l="0" t="0" r="0" b="0"/>
                      <wp:wrapNone/>
                      <wp:docPr id="77" name="Frame7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71450" cy="175260"/>
                      <wp:effectExtent l="0" t="0" r="0" b="0"/>
                      <wp:wrapNone/>
                      <wp:docPr id="79" name="Frame7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91160" cy="175260"/>
                      <wp:effectExtent l="0" t="0" r="0" b="0"/>
                      <wp:wrapNone/>
                      <wp:docPr id="80" name="Frame8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68960" cy="175260"/>
                      <wp:effectExtent l="0" t="0" r="0" b="0"/>
                      <wp:wrapNone/>
                      <wp:docPr id="83" name="Frame8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2025</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119,861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119,857</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10,986</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10,983</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bills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14,307</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14,997</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160,152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160,144</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2025 and 2024, the net unrealized losses were $7 and $56,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pStyle w:val="TextBody"/>
        <w:bidi w:val="0"/>
        <w:spacing w:before="0" w:after="0"/>
        <w:ind w:left="0" w:right="0" w:hanging="0"/>
        <w:jc w:val="left"/>
        <w:rPr/>
      </w:pPr>
      <w:r>
        <w:rPr/>
        <w:t>​</w:t>
      </w:r>
    </w:p>
    <w:tbl>
      <w:tblPr>
        <w:tblW w:w="5972" w:type="dxa"/>
        <w:jc w:val="left"/>
        <w:tblInd w:w="0" w:type="dxa"/>
        <w:tblLayout w:type="fixed"/>
        <w:tblCellMar>
          <w:top w:w="0" w:type="dxa"/>
          <w:left w:w="0" w:type="dxa"/>
          <w:bottom w:w="0" w:type="dxa"/>
          <w:right w:w="0" w:type="dxa"/>
        </w:tblCellMar>
      </w:tblPr>
      <w:tblGrid>
        <w:gridCol w:w="4756"/>
        <w:gridCol w:w="109"/>
        <w:gridCol w:w="211"/>
        <w:gridCol w:w="89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020060" cy="175260"/>
                      <wp:effectExtent l="0" t="0" r="0" b="0"/>
                      <wp:wrapNone/>
                      <wp:docPr id="84" name="Frame84"/>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8960" cy="175260"/>
                      <wp:effectExtent l="0" t="0" r="0" b="0"/>
                      <wp:wrapNone/>
                      <wp:docPr id="87" name="Frame8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29,062</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59,403</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53,753</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17,926</w:t>
            </w:r>
          </w:p>
        </w:tc>
      </w:tr>
      <w:tr>
        <w:trPr/>
        <w:tc>
          <w:tcPr>
            <w:tcW w:w="47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160,144</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638" w:name="Tc_3X3a5yj2ikaYGnzZqb_rBA_7_0"/>
      <w:bookmarkStart w:id="639" w:name="Tc_6bQM-tivWk2v6z9kPRiv-Q_6_0"/>
      <w:bookmarkStart w:id="640" w:name="Tc_0GZa7Yiv-0OMe7i7qem3tA_5_0"/>
      <w:bookmarkStart w:id="641" w:name="Tc_8lBsq6pI30azKQXlK7Obxg_4_0"/>
      <w:bookmarkStart w:id="642" w:name="Tc_7kjM1wVAm02hp-MdlBa-XQ_3_4"/>
      <w:bookmarkStart w:id="643" w:name="Tc_AzdKh47zrU-fgARojiWI5w_3_2"/>
      <w:bookmarkStart w:id="644" w:name="Tc_51eurX-DIUSk3SZ_vhrfAA_2_2"/>
      <w:bookmarkStart w:id="645" w:name="Tc_FkPmVawhOE-2b0H6OSFoaw_1_2"/>
      <w:bookmarkEnd w:id="638"/>
      <w:bookmarkEnd w:id="639"/>
      <w:bookmarkEnd w:id="640"/>
      <w:bookmarkEnd w:id="641"/>
      <w:bookmarkEnd w:id="642"/>
      <w:bookmarkEnd w:id="643"/>
      <w:bookmarkEnd w:id="644"/>
      <w:bookmarkEnd w:id="645"/>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6456" w:type="dxa"/>
        <w:jc w:val="left"/>
        <w:tblInd w:w="0" w:type="dxa"/>
        <w:tblLayout w:type="fixed"/>
        <w:tblCellMar>
          <w:top w:w="0" w:type="dxa"/>
          <w:left w:w="0" w:type="dxa"/>
          <w:bottom w:w="0" w:type="dxa"/>
          <w:right w:w="0" w:type="dxa"/>
        </w:tblCellMar>
      </w:tblPr>
      <w:tblGrid>
        <w:gridCol w:w="4261"/>
        <w:gridCol w:w="146"/>
        <w:gridCol w:w="676"/>
        <w:gridCol w:w="326"/>
        <w:gridCol w:w="676"/>
        <w:gridCol w:w="37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705735" cy="175260"/>
                      <wp:effectExtent l="0" t="0" r="0" b="0"/>
                      <wp:wrapNone/>
                      <wp:docPr id="88" name="Frame8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2710" cy="175260"/>
                      <wp:effectExtent l="0" t="0" r="0" b="0"/>
                      <wp:wrapNone/>
                      <wp:docPr id="89" name="Frame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29260" cy="175260"/>
                      <wp:effectExtent l="0" t="0" r="0" b="0"/>
                      <wp:wrapNone/>
                      <wp:docPr id="90" name="Frame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2"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35585" cy="175260"/>
                      <wp:effectExtent l="0" t="0" r="0" b="0"/>
                      <wp:wrapNone/>
                      <wp:docPr id="93" name="Frame9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1"/>
              <w:ind w:left="0" w:right="0" w:hanging="0"/>
              <w:jc w:val="center"/>
              <w:rPr/>
            </w:pPr>
            <w:r>
              <w:rPr/>
              <w:t>    </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28,277</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29,459</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71" w:type="dxa"/>
            <w:tcBorders/>
            <w:vAlign w:val="center"/>
          </w:tcPr>
          <w:p>
            <w:pPr>
              <w:pStyle w:val="TableContents"/>
              <w:bidi w:val="0"/>
              <w:spacing w:before="0" w:after="1"/>
              <w:ind w:left="0" w:right="0" w:hanging="0"/>
              <w:jc w:val="lef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28,469</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29,639</w:t>
            </w:r>
          </w:p>
        </w:tc>
        <w:tc>
          <w:tcPr>
            <w:tcW w:w="37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March 31, 2025 and 2024, approximately 60 and 78,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646" w:name="Tc_Z-jMyte6vEymJ55wggHq7Q_13_4"/>
      <w:bookmarkStart w:id="647" w:name="Tc_JDlGxq5Jf0CJgSBuYBQigw_13_1"/>
      <w:bookmarkStart w:id="648" w:name="Tc_9AJnBwHnZ0C3cszavZJnWg_13_0"/>
      <w:bookmarkStart w:id="649" w:name="Tc_B-HYE1-BZkam1Xi3BgwkBw_12_0"/>
      <w:bookmarkStart w:id="650" w:name="Tc_eQBa0HLbU0CiOZXyAKxvvw_10_0"/>
      <w:bookmarkStart w:id="651" w:name="Tc_yCMWbl5Km0eY6Fd7gPrOzA_9_0"/>
      <w:bookmarkStart w:id="652" w:name="Tc_Q4YAA2sXwUeepan9-koHRg_8_0"/>
      <w:bookmarkStart w:id="653" w:name="Tc_g0CYvFoIUUm2q_Kl1eBgcw_7_0"/>
      <w:bookmarkStart w:id="654" w:name="Tc_2Zc1pAiubUiKDKa5HDzBhw_6_0"/>
      <w:bookmarkStart w:id="655" w:name="Tc_FKai60UgcUyrCBTm5PegFw_5_0"/>
      <w:bookmarkStart w:id="656" w:name="Tc_F-KoUyn8AkGPNahUexnuKw_4_0"/>
      <w:bookmarkStart w:id="657" w:name="Tc_5Qh2xbvCW0OBR3jyRbbr1g_3_4"/>
      <w:bookmarkStart w:id="658" w:name="Tc_dq4tG6X3VEaQ_02SUatxsw_3_1"/>
      <w:bookmarkStart w:id="659" w:name="Tc_-7Xo3lC_OkyMm6IVtkrlDQ_3_0"/>
      <w:bookmarkStart w:id="660" w:name="Tc_ek9LytFlCkmxfOlO-3qPGg_2_4"/>
      <w:bookmarkStart w:id="661" w:name="Tc_8UnLrQ_A_kqZmocTiyTvrg_2_1"/>
      <w:bookmarkStart w:id="662" w:name="Tc_HA8Fu8j3KEiKSvc4wqtiIw_1_4"/>
      <w:bookmarkStart w:id="663" w:name="Tc_XLERdSKBpU23l8KrKtz2sQ_1_1"/>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674" w:type="dxa"/>
        <w:jc w:val="left"/>
        <w:tblInd w:w="0" w:type="dxa"/>
        <w:tblLayout w:type="fixed"/>
        <w:tblCellMar>
          <w:top w:w="0" w:type="dxa"/>
          <w:left w:w="0" w:type="dxa"/>
          <w:bottom w:w="0" w:type="dxa"/>
          <w:right w:w="0" w:type="dxa"/>
        </w:tblCellMar>
      </w:tblPr>
      <w:tblGrid>
        <w:gridCol w:w="4051"/>
        <w:gridCol w:w="211"/>
        <w:gridCol w:w="901"/>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72385" cy="175260"/>
                      <wp:effectExtent l="0" t="0" r="0" b="0"/>
                      <wp:wrapNone/>
                      <wp:docPr id="94" name="Frame94"/>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72135" cy="175260"/>
                      <wp:effectExtent l="0" t="0" r="0" b="0"/>
                      <wp:wrapNone/>
                      <wp:docPr id="96" name="Frame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7160" cy="175260"/>
                      <wp:effectExtent l="0" t="0" r="0" b="0"/>
                      <wp:wrapNone/>
                      <wp:docPr id="98" name="Frame9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15315" cy="175260"/>
                      <wp:effectExtent l="0" t="0" r="0" b="0"/>
                      <wp:wrapNone/>
                      <wp:docPr id="99" name="Frame9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38,515</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142,160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141,160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106,129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98,605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4,772</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6,393</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380,171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372,036</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(202,413)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(195,213)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177,758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176,823</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664" w:name="Tc_RDOjLbJFAEmPOh_rBus6mg_7_2"/>
      <w:bookmarkStart w:id="665" w:name="Tc_jyHrGEOlok2BuZe9tfK4OQ_6_0"/>
      <w:bookmarkStart w:id="666" w:name="Tc_QEgHoBAbIUuXYSoZmJ4kgA_5_0"/>
      <w:bookmarkStart w:id="667" w:name="Tc_ORqkQDFmsU-5GMslHxe-ng_4_0"/>
      <w:bookmarkStart w:id="668" w:name="Tc_l4pQHNzk4k2oXWZ-t2EBHg_3_0"/>
      <w:bookmarkStart w:id="669" w:name="Tc_z8-E9kQqRECQfPCBTGNvfQ_2_0"/>
      <w:bookmarkStart w:id="670" w:name="Tc_STtIyLyQw0WwC4GF0Fqd3g_1_2"/>
      <w:bookmarkStart w:id="671" w:name="Tc_SlZGFT8WJUaj_iAc2Pkxvw_1_0"/>
      <w:bookmarkStart w:id="672" w:name="Tc_wswdzNxjfkSqBHna6A5lEg_7_9"/>
      <w:bookmarkStart w:id="673" w:name="Tc_YvpNfFGLV0OFZFGOFguMdw_7_6"/>
      <w:bookmarkStart w:id="674" w:name="Tc_l8d6Sb4c6065p2I8ODYiVA_7_3"/>
      <w:bookmarkStart w:id="675" w:name="Tc_BD4eSnNL40KToAHZ56dunQ_7_0"/>
      <w:bookmarkStart w:id="676" w:name="Tc_4b2E80RYtEW8Tz4VAz-OZw_6_10"/>
      <w:bookmarkStart w:id="677" w:name="Tc_wEXzFUmC5kmFUnTvuvareA_6_0"/>
      <w:bookmarkStart w:id="678" w:name="Tc_WLVei1yq5k6-mkssNqbw3w_5_9"/>
      <w:bookmarkStart w:id="679" w:name="Tc_ayTM5AgLOUqJbQV9uPxT-A_5_6"/>
      <w:bookmarkStart w:id="680" w:name="Tc_u2KHRtpW0E6K5SuYpVi55Q_5_3"/>
      <w:bookmarkStart w:id="681" w:name="Tc_HJx1xyCzdEiLbnG_JjqW-Q_5_0"/>
      <w:bookmarkStart w:id="682" w:name="Tc_c3jJCQ1G5020Cp-eVcy6mg_4_9"/>
      <w:bookmarkStart w:id="683" w:name="Tc_gHBUDA-WeUiWye4TxLRD8g_4_6"/>
      <w:bookmarkStart w:id="684" w:name="Tc_PVBXBPo55UugpeHutJSTcQ_4_3"/>
      <w:bookmarkStart w:id="685" w:name="Tc_NrVYVJIA-EKjeTVQn7d5wA_4_1"/>
      <w:bookmarkStart w:id="686" w:name="Tc_rCN71AuiMUyRVUZsCndcfA_3_9"/>
      <w:bookmarkStart w:id="687" w:name="Tc_g4KmXfCesEGSZ3gaSO2Y-A_3_6"/>
      <w:bookmarkStart w:id="688" w:name="Tc_E3sjPH0gpke-MrUhjIcHnw_3_3"/>
      <w:bookmarkStart w:id="689" w:name="Tc_6OrfV6ie7U-C1WRvoalMPA_3_1"/>
      <w:bookmarkStart w:id="690" w:name="Tc_55mKeI9CQU6a4LN45tpZZQ_2_9"/>
      <w:bookmarkStart w:id="691" w:name="Tc_aCjv_Anh40qclYa82-SAgg_2_3"/>
      <w:bookmarkStart w:id="692" w:name="Tc_SLq_ka9uOUiIDh33My1ihg_2_1"/>
      <w:bookmarkStart w:id="693" w:name="Tc_trStuXLV9USJn-E91ySTVA_1_1"/>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acquisition of Orbis Education in January 2019.</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96135" cy="175260"/>
                      <wp:effectExtent l="0" t="0" r="0" b="0"/>
                      <wp:wrapNone/>
                      <wp:docPr id="100" name="Frame10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72160" cy="175260"/>
                      <wp:effectExtent l="0" t="0" r="0" b="0"/>
                      <wp:wrapNone/>
                      <wp:docPr id="101" name="Frame10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0810" cy="175260"/>
                      <wp:effectExtent l="0" t="0" r="0" b="0"/>
                      <wp:wrapNone/>
                      <wp:docPr id="102" name="Frame10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0810" cy="175260"/>
                      <wp:effectExtent l="0" t="0" r="0" b="0"/>
                      <wp:wrapNone/>
                      <wp:docPr id="105" name="Frame10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52400" cy="175260"/>
                      <wp:effectExtent l="0" t="0" r="0" b="0"/>
                      <wp:wrapNone/>
                      <wp:docPr id="106" name="Frame10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34035" cy="175260"/>
                      <wp:effectExtent l="0" t="0" r="0" b="0"/>
                      <wp:wrapNone/>
                      <wp:docPr id="107" name="Frame10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0810" cy="175260"/>
                      <wp:effectExtent l="0" t="0" r="0" b="0"/>
                      <wp:wrapNone/>
                      <wp:docPr id="108" name="Frame10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8960" cy="175260"/>
                      <wp:effectExtent l="0" t="0" r="0" b="0"/>
                      <wp:wrapNone/>
                      <wp:docPr id="110" name="Frame11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(52,143)</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157,857</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(52,423)</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157,857</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00710" cy="175260"/>
                      <wp:effectExtent l="0" t="0" r="0" b="0"/>
                      <wp:wrapNone/>
                      <wp:docPr id="111" name="Frame11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8960" cy="175260"/>
                      <wp:effectExtent l="0" t="0" r="0" b="0"/>
                      <wp:wrapNone/>
                      <wp:docPr id="114" name="Frame11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117,867</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157,857</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operating leases for off-campus classroom and laboratory sites, office space, office equipment, and optical fiber communication lines. These leases have remaining lease terms that range from three months to 10 years and one month. At lease inception, we determine the lease term by assuming no exercises of renewal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694" w:name="Tc_aH2ee_K2ZkikbEqKaGT1xA_10_2"/>
      <w:bookmarkStart w:id="695" w:name="Tc_EHNugGnqj0ywTChcsJsH-A_10_0"/>
      <w:bookmarkStart w:id="696" w:name="Tc_NvcI7MGDPkGWbUp32v9_TA_9_0"/>
      <w:bookmarkStart w:id="697" w:name="Tc_ZsKBL9ub0U-XI-qODt-1sw_8_2"/>
      <w:bookmarkStart w:id="698" w:name="Tc_bmneGFt8xUimiT-NNbIReQ_8_0"/>
      <w:bookmarkStart w:id="699" w:name="Tc_enTSuMBZWkaT4kULluRmMA_7_0"/>
      <w:bookmarkStart w:id="700" w:name="Tc_YXq9DMFY00OHMFh8441c4A_6_0"/>
      <w:bookmarkStart w:id="701" w:name="Tc_rrIDlmQ_l0eU16p1MP94UQ_5_0"/>
      <w:bookmarkStart w:id="702" w:name="Tc_nmMpREghh02UfTj9zmhyRA_4_0"/>
      <w:bookmarkStart w:id="703" w:name="Tc_a52Yi_zNdE26IWq0uoHQ6Q_3_0"/>
      <w:bookmarkStart w:id="704" w:name="Tc_FyBDHQNt60ClQko-elbb7A_2_2"/>
      <w:bookmarkStart w:id="705" w:name="Tc_Q63RDkW3BkiEk06G71r8yg_2_0"/>
      <w:bookmarkStart w:id="706" w:name="Tc_BasZWaYJN0Gu5ijo3RzVFQ_1_2"/>
      <w:bookmarkStart w:id="707" w:name="Tc_XU-YA_cpDkiO0INmgTJXCQ_1_0"/>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ascii="Times New Roman;Times;serif" w:hAnsi="Times New Roman;Times;serif"/>
          <w:sz w:val="20"/>
        </w:rPr>
        <w:t>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$4,339 and $3,877 for the three-month periods ended March 31, 2025 and 2024,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March 31, 2025, the Company had $17,029 of non-cancelable operating lease commitments for four off-campus classroom and laboratory sites that had not yet commenced. The Company’s weighted-average remaining lease term relating to its operating leases is 7.44 years, with a weighted-average discount rate of 4.24%. The cash paid for operating lease liabilities was $4,053 and $3,541 for the three months ended March 31, 2025 and 2024, respectively. As of March 31, 2025,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March 31, 2025, by year and in the aggregate, are as follows:</w:t>
      </w:r>
    </w:p>
    <w:p>
      <w:pPr>
        <w:pStyle w:val="TextBody"/>
        <w:bidi w:val="0"/>
        <w:spacing w:before="0" w:after="0"/>
        <w:ind w:left="0" w:right="0" w:hanging="0"/>
        <w:jc w:val="left"/>
        <w:rPr/>
      </w:pPr>
      <w:r>
        <w:rPr/>
        <w:t>​</w:t>
      </w:r>
    </w:p>
    <w:tbl>
      <w:tblPr>
        <w:tblW w:w="4119" w:type="dxa"/>
        <w:jc w:val="left"/>
        <w:tblInd w:w="0" w:type="dxa"/>
        <w:tblLayout w:type="fixed"/>
        <w:tblCellMar>
          <w:top w:w="0" w:type="dxa"/>
          <w:left w:w="0" w:type="dxa"/>
          <w:bottom w:w="0" w:type="dxa"/>
          <w:right w:w="0" w:type="dxa"/>
        </w:tblCellMar>
      </w:tblPr>
      <w:tblGrid>
        <w:gridCol w:w="2686"/>
        <w:gridCol w:w="326"/>
        <w:gridCol w:w="211"/>
        <w:gridCol w:w="8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05610" cy="175260"/>
                      <wp:effectExtent l="0" t="0" r="0" b="0"/>
                      <wp:wrapNone/>
                      <wp:docPr id="115" name="Frame115"/>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68960" cy="175260"/>
                      <wp:effectExtent l="0" t="0" r="0" b="0"/>
                      <wp:wrapNone/>
                      <wp:docPr id="118" name="Frame11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16,575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124,017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18,703</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105,314</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0"/>
        <w:ind w:left="0" w:right="0" w:firstLine="490"/>
        <w:jc w:val="left"/>
        <w:rPr>
          <w:rFonts w:ascii="Times New Roman;Times;serif" w:hAnsi="Times New Roman;Times;serif"/>
          <w:sz w:val="20"/>
        </w:rPr>
      </w:pPr>
      <w:r>
        <w:rPr>
          <w:rFonts w:ascii="Times New Roman;font-style:italic" w:hAnsi="Times New Roman;font-style:italic"/>
          <w:i/>
          <w:sz w:val="20"/>
        </w:rPr>
        <w:t>False Claims Act Matter</w:t>
      </w:r>
      <w:r>
        <w:rPr>
          <w:rFonts w:ascii="Times New Roman" w:hAnsi="Times New Roman"/>
          <w:sz w:val="20"/>
        </w:rPr>
        <w:t>. In May 2020, the Company was served with a </w:t>
      </w:r>
      <w:r>
        <w:rPr>
          <w:rFonts w:ascii="Times New Roman;font-style:italic" w:hAnsi="Times New Roman;font-style:italic"/>
          <w:i/>
          <w:sz w:val="20"/>
        </w:rPr>
        <w:t>qui tam </w:t>
      </w:r>
      <w:r>
        <w:rPr>
          <w:rFonts w:ascii="Times New Roman" w:hAnsi="Times New Roman"/>
          <w:sz w:val="20"/>
        </w:rPr>
        <w:t xml:space="preserve">lawsuit that had been filed against 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font-style:italic" w:hAnsi="Times New Roman;font-style:italic"/>
          <w:i/>
          <w:sz w:val="20"/>
        </w:rPr>
        <w:t>United States ex rel Mackillop v. Grand Canyon Education, Inc.</w:t>
      </w:r>
      <w:r>
        <w:rPr>
          <w:rFonts w:ascii="Times New Roman" w:hAnsi="Times New Roman"/>
          <w:sz w:val="20"/>
        </w:rPr>
        <w:t xml:space="preserve">, alleges that we violated the False Claims Act by improperly compensating 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white-space:pre-wrap" w:hAnsi="Times New Roman;white-space:pre-wrap"/>
          <w:sz w:val="20"/>
        </w:rPr>
      </w:pPr>
      <w:r>
        <w:rPr>
          <w:rFonts w:ascii="Times New Roman;white-space:pre-wrap" w:hAnsi="Times New Roman;white-space:pre-wrap"/>
          <w:sz w:val="20"/>
        </w:rPr>
        <w:t xml:space="preserve">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that motion remains pending. Prior to trial commencing, we and the relator reached an agreement to stay trial while the parties attempt to finalize the terms upon which the litigation could be concluded. Having been unsuccessful in reaching terms with the relevant parties, which would have avoided litigation, the Court has rescheduled the trial for October 2025. For any future settlement to be affected, all parties to the litigation will need to agree on acceptable terms, both monetary and non-monetary. In this regard, because this matter involves claims under the False Claims Act, any such terms would also need to be approved by the applicable U.S. government agencies. </w:t>
      </w:r>
    </w:p>
    <w:p>
      <w:pPr>
        <w:pStyle w:val="TextBody"/>
        <w:bidi w:val="0"/>
        <w:spacing w:before="0" w:after="120"/>
        <w:ind w:left="0" w:right="0" w:firstLine="490"/>
        <w:jc w:val="left"/>
        <w:rPr>
          <w:rFonts w:ascii="Times New Roman" w:hAnsi="Times New Roman"/>
          <w:sz w:val="20"/>
        </w:rPr>
      </w:pPr>
      <w:r>
        <w:rPr>
          <w:rFonts w:ascii="Times New Roman" w:hAnsi="Times New Roman"/>
          <w:sz w:val="20"/>
        </w:rPr>
        <w:t>We believe that the compensation practices at issue in the complaint, which were developed with the guidance of outside regulatory counsel specifically to comply with Title IV and its regulations and relevant case law interpreting the incentive compensation rule, do not violate applicable law.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GCU graduate programs, and (in the case of the FTC matter noted below) also made false or misleading representations regarding GCU’s non-profit status and made telemarketing calls to phone numbers on do not call lists.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motion to dismiss is pending with the court.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Trade Commission v. Grand Canyon Education, Inc., et al. This suit was filed in late December 2023 in United States District Court for the District of Arizona and asserts claims under the FTC Act and Telemarketing Sales Rule. In February 2024, GCE filed a partial motion to dismiss, which was denied in August 2024. Discovery in this matter has commenced and is ongoing, with fact and expert discovery scheduled to conclude in May 2025 and October 2025 respectively.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Ogdon v. Grand Canyon Education, Inc., et al.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On May 27, 2022, after significant motions practice, the Company filed an amended motion to dismiss and a motion to strike certain allegations in Plaintiff’s amended complaint. On August 8, 2023, the court presiding over the dispute entered two orders: (1) an order granting in part the Company’s motion to dismiss as to Ogdon’s RICO claim from the case and to dismiss the individual Defendants; and (2) an order granting in part the Company’s motion to strike scandalous and impertinent allegations in Ogdon’s complaint about our business. Shortly thereafter on August 22, 2023, Plaintiff moved the court to reconsider its dismissal of the RICO claim. Though discovery had commenced, and the Company substantially completed its discovery obligations on the state-law claims, discovery was stayed on March 18, 2024, pending mediation and the disposition of Ogdon’s motion for reconsideration. On March 29, 2024,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 issued an order reinstating Plaintiff’s RICO claim. On September 26, 2024, the court lifted the stay on discovery, and discovery resumed, with class certification briefing to conclude in September 2025.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Valerio, et al. v. Grand Canyon Education, Inc., et al. This suit was filed on December 24, 2024, in Maricopa County, Arizona Superior Court on behalf of nearly 300 plaintiffs. The plaintiffs assert various claims, including claims for violations of state law consumer protection statutes. The Company’s response to the complaint is due on May 12, 2025.  There is currently no trial date scheduled in this matter.</w:t>
            </w:r>
          </w:p>
        </w:tc>
      </w:tr>
    </w:tbl>
    <w:p>
      <w:pPr>
        <w:pStyle w:val="TextBody"/>
        <w:bidi w:val="0"/>
        <w:spacing w:before="0" w:after="0"/>
        <w:ind w:left="1440" w:right="0" w:hanging="0"/>
        <w:jc w:val="left"/>
        <w:rPr/>
      </w:pPr>
      <w:r>
        <w:rPr/>
        <w:t>​</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Company’s representations made in marketing materials or by our employees regarding GCU’s non-profit status and doctoral program requirements were at all times accurate and not false or misleading, and thus did not violate applicable law. In addition, to the extent the representations we made or actions we took that are at issue in these proceedings were done or taken after July 1, 2018 at the direction of GCU and/or based on written instructions, or advertising or web materials, provided to us for use by GCU, GCU has agreed to indemnify us in part under the terms of the Master Services Agreement for our losses and expenses arising from these matters. With regard to the FTC’s claims under the Telemarketing Sales Rule, we only make telemarketing calls to individuals who have demonstrated interest in speaking to us about educational opportunities at GCU, which are permitted by the rule.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bookmarkStart w:id="708" w:name="Tc_8CDdZA9WCEWqi3pQrODq7A_8_4"/>
      <w:bookmarkStart w:id="709" w:name="Tc_k603Q9R5ekuPE8grOgzZIw_8_0"/>
      <w:bookmarkStart w:id="710" w:name="Tc_YZ-HdvvxOUKmn2eLP-vUXg_7_5"/>
      <w:bookmarkStart w:id="711" w:name="Tc_CIUY0Wlax02YFrmOvO-3Yw_7_4"/>
      <w:bookmarkStart w:id="712" w:name="Tc_IrE2l1jrRk2q3Q_5H-0j1Q_7_2"/>
      <w:bookmarkStart w:id="713" w:name="Tc_1r9XI9nDh0qWOXtyEwqXeQ_7_0"/>
      <w:bookmarkStart w:id="714" w:name="Tc_guK35ts0f0WBwzVoAcqoqg_6_4"/>
      <w:bookmarkStart w:id="715" w:name="Tc_2gdawVd_DkSGvYYwFwH0Jg_6_0"/>
      <w:bookmarkStart w:id="716" w:name="Tc_w8IisqA6ykia_HVXUg-OKA_5_4"/>
      <w:bookmarkStart w:id="717" w:name="Tc_QGwFeOKrpEaJDOVUwsxVXg_5_0"/>
      <w:bookmarkStart w:id="718" w:name="Tc_n8HoEScvjU6GMyTLnuhudw_4_4"/>
      <w:bookmarkStart w:id="719" w:name="Tc_mXdpP2KcK0aY3PlhaPyWdQ_4_0"/>
      <w:bookmarkStart w:id="720" w:name="Tc_HkoyeuSzXkWYDJjPFWiUQA_3_4"/>
      <w:bookmarkStart w:id="721" w:name="Tc_1PxIKD7JRU2n3Tklurn6wQ_3_2"/>
      <w:bookmarkStart w:id="722" w:name="Tc_kJGB_7MyEkWvmvWSGGq0iw_2_4"/>
      <w:bookmarkStart w:id="723" w:name="Tc_kww0d3AIDE2T9meHuA7KJw_2_2"/>
      <w:bookmarkStart w:id="724" w:name="Tc_KI9uCrChiECYvGQMTy9VJw_1_4"/>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March 31, 2025, 875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2025, the Company granted 86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three months ended March 31, 2025, the Company withheld 53 shares of common stock in lieu of taxes at a cost of $9,463 on the restricted stock vesting dates. </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2017 Plan since December 31, 2024 is as follows:</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256"/>
        <w:gridCol w:w="326"/>
        <w:gridCol w:w="586"/>
        <w:gridCol w:w="326"/>
        <w:gridCol w:w="353"/>
        <w:gridCol w:w="1328"/>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67560" cy="175260"/>
                      <wp:effectExtent l="0" t="0" r="0" b="0"/>
                      <wp:wrapNone/>
                      <wp:docPr id="119" name="Frame11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72110" cy="175260"/>
                      <wp:effectExtent l="0" t="0" r="0" b="0"/>
                      <wp:wrapNone/>
                      <wp:docPr id="121" name="Frame1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24155" cy="175260"/>
                      <wp:effectExtent l="0" t="0" r="0" b="0"/>
                      <wp:wrapNone/>
                      <wp:docPr id="123" name="Frame12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43280" cy="175260"/>
                      <wp:effectExtent l="0" t="0" r="0" b="0"/>
                      <wp:wrapNone/>
                      <wp:docPr id="124" name="Frame124"/>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124.10</w:t>
            </w:r>
          </w:p>
        </w:tc>
      </w:tr>
    </w:tbl>
    <w:p>
      <w:pPr>
        <w:pStyle w:val="TextBody"/>
        <w:bidi w:val="0"/>
        <w:spacing w:lineRule="atLeast" w:line="20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00" w:before="0" w:after="120"/>
        <w:ind w:left="0" w:right="0" w:hanging="0"/>
        <w:jc w:val="left"/>
        <w:rPr>
          <w:rFonts w:ascii="Times New Roman;Times;serif" w:hAnsi="Times New Roman;Times;serif"/>
          <w:b/>
          <w:i/>
          <w:sz w:val="20"/>
        </w:rPr>
      </w:pPr>
      <w:bookmarkStart w:id="725" w:name="Tc_q3cIBkqCuEqqqNLqyHPuKw_8_4"/>
      <w:bookmarkStart w:id="726" w:name="Tc_D2n7p0MzmEC5eOxmcQFdOw_8_1"/>
      <w:bookmarkStart w:id="727" w:name="Tc_6ZC9ftlB5kWa7V4Mzfz8fQ_8_0"/>
      <w:bookmarkStart w:id="728" w:name="Tc_eLjwnxFtNUaJGbqYhpKZvg_7_0"/>
      <w:bookmarkStart w:id="729" w:name="Tc_BOtAGgmH6Ua7P1pkAW-l9A_6_4"/>
      <w:bookmarkStart w:id="730" w:name="Tc_YYta4MtiYUSDJBsz89kA3w_6_1"/>
      <w:bookmarkStart w:id="731" w:name="Tc_WiHckZAvIUuVZj6CJwT28g_6_0"/>
      <w:bookmarkStart w:id="732" w:name="Tc_S8EYWqJDmUCzqTSmdrjPmg_5_0"/>
      <w:bookmarkStart w:id="733" w:name="Tc_-uty3uXlhEejTMmYT1Dumw_4_0"/>
      <w:bookmarkStart w:id="734" w:name="Tc_YAFbLMekN0Ozq0GMEj0qcQ_3_0"/>
      <w:bookmarkStart w:id="735" w:name="Tc_ST8_81Y9GEatvX5fH0wt-w_2_4"/>
      <w:bookmarkStart w:id="736" w:name="Tc_mfz286nGXkSpO-jYVCBLKQ_2_1"/>
      <w:bookmarkStart w:id="737" w:name="Tc_mdI62whGkEOlk0eUPGzcnQ_2_0"/>
      <w:bookmarkStart w:id="738" w:name="Tc_pAsjEQauYEGTHxXQttSYiQ_1_4"/>
      <w:bookmarkStart w:id="739" w:name="Tc_cmhQ5O2BTEKF99MfKtdFbw_1_1"/>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three months ended March 31, 2025 and 2024 related to restricted stock granted:</w:t>
      </w:r>
    </w:p>
    <w:p>
      <w:pPr>
        <w:pStyle w:val="TextBody"/>
        <w:bidi w:val="0"/>
        <w:spacing w:before="0" w:after="0"/>
        <w:ind w:left="0" w:right="0" w:hanging="0"/>
        <w:jc w:val="left"/>
        <w:rPr/>
      </w:pPr>
      <w:r>
        <w:rPr/>
        <w:t>​</w:t>
      </w:r>
    </w:p>
    <w:tbl>
      <w:tblPr>
        <w:tblW w:w="7696" w:type="dxa"/>
        <w:jc w:val="left"/>
        <w:tblInd w:w="0" w:type="dxa"/>
        <w:tblLayout w:type="fixed"/>
        <w:tblCellMar>
          <w:top w:w="0" w:type="dxa"/>
          <w:left w:w="0" w:type="dxa"/>
          <w:bottom w:w="0" w:type="dxa"/>
          <w:right w:w="0" w:type="dxa"/>
        </w:tblCellMar>
      </w:tblPr>
      <w:tblGrid>
        <w:gridCol w:w="5701"/>
        <w:gridCol w:w="211"/>
        <w:gridCol w:w="571"/>
        <w:gridCol w:w="326"/>
        <w:gridCol w:w="211"/>
        <w:gridCol w:w="67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0135" cy="175260"/>
                      <wp:effectExtent l="0" t="0" r="0" b="0"/>
                      <wp:wrapNone/>
                      <wp:docPr id="125" name="Frame125"/>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62585" cy="175260"/>
                      <wp:effectExtent l="0" t="0" r="0" b="0"/>
                      <wp:wrapNone/>
                      <wp:docPr id="127"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2,612</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$2,245,000 since the initiation of the Company’s stock repurchase program. The expiration date on the current repurchase authorization is March 1, 2026. Repurchases occur at the Company’s discretion.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the Company repurchased 395 shares of common stock, at an aggregate cost of $68,394. As of March 31, 2025, there remained $231,255 available under its current share repurchase authorization. Shares repurchased in lieu of taxes are not included in the repurchase plan totals as they were approved in conjunction with the restricted share awards. Excise taxes of $533 are not included in the repurchase plan totals but are included in the total cost of net share repurchases in the consolidated statement of stockholders’ equity.</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40" w:name="Item2ManagementsDiscussionandAnalysisofF"/>
      <w:bookmarkStart w:id="741" w:name="_35d70715_7790_449b_b117_d73d28c52601"/>
      <w:bookmarkEnd w:id="740"/>
      <w:bookmarkEnd w:id="741"/>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retract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employees,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on behalf of our university partners,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“2024 Form 10-K”) filed with the Securities and Exchange Commission (“SEC”) for the fiscal year ended December 31, 2024,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nine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2025, GCE provides education services to 22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2024 Form 10-K for the fiscal year ended December 31, 2024. During the three months ended March 31, 2025,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5292" w:type="dxa"/>
        <w:jc w:val="left"/>
        <w:tblInd w:w="0" w:type="dxa"/>
        <w:tblLayout w:type="fixed"/>
        <w:tblCellMar>
          <w:top w:w="0" w:type="dxa"/>
          <w:left w:w="0" w:type="dxa"/>
          <w:bottom w:w="0" w:type="dxa"/>
          <w:right w:w="0" w:type="dxa"/>
        </w:tblCellMar>
      </w:tblPr>
      <w:tblGrid>
        <w:gridCol w:w="2956"/>
        <w:gridCol w:w="326"/>
        <w:gridCol w:w="578"/>
        <w:gridCol w:w="448"/>
        <w:gridCol w:w="578"/>
        <w:gridCol w:w="40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77060" cy="175260"/>
                      <wp:effectExtent l="0" t="0" r="0" b="0"/>
                      <wp:wrapNone/>
                      <wp:docPr id="131" name="Frame131"/>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7030" cy="175260"/>
                      <wp:effectExtent l="0" t="0" r="0" b="0"/>
                      <wp:wrapNone/>
                      <wp:docPr id="133" name="Frame13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84480" cy="175260"/>
                      <wp:effectExtent l="0" t="0" r="0" b="0"/>
                      <wp:wrapNone/>
                      <wp:docPr id="134" name="Frame13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7030" cy="175260"/>
                      <wp:effectExtent l="0" t="0" r="0" b="0"/>
                      <wp:wrapNone/>
                      <wp:docPr id="135" name="Frame13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57810" cy="175260"/>
                      <wp:effectExtent l="0" t="0" r="0" b="0"/>
                      <wp:wrapNone/>
                      <wp:docPr id="136" name="Frame1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406"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6"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406"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06"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2025 Compared to Three Months Ended March 31,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March 31, 2025 was $289.3 million, an increase of $14.6 million, or 5.3%, as compared to service revenue of $274.7 million for the three months ended March 31, 2024. The increase year over year in service revenue was primarily due to an increase in partner enrollments of 5.8% to 127,779 at March 31, 2025 as compared to 120,788 at March 31, 2024. GCU enrollments increased to 123,773 at March 31, 2025, an increase of 5.8% over enrollments at March 31, 2024. University partner enrollments at our off-campus classroom and laboratory sites were 5,027, an increase of 12.1% over enrollments at March 31, 2024, which includes 1,021 and 650 GCU students at March 31, 2025 and 2024, respectively. Excluding sites closing in 2024 to new enrollments, total enrollments at our off-campus classroom and laboratory sites increased 16.5% between years. Revenue per student decreased slightly between years primarily due to the additional day for leap year in 2024 which added additional service revenue of $1.5 million as compared to the current year and contract modifications for some of our university partners in which the revenue share percentage was reduced in exchange for us no longer reimbursing the partner for certain faculty costs both of which had the effect of reducing revenue per student partially offset by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Although partner enrollments at our off-campus classroom and laboratory sites returned to year over year growth in 2024,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Spring 2025 semester.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six sites in the year ended December 31, 2024 and opened one site in the three months ended March 31, 2025 increasing the total number of these sites to 46 at March 31, 2025, which has also positively impacted the enrollment growth. Enrollments for GCU ground students were 22,330 at March 31, 2025 down from 22,965 at March 31, 2024 due to a small decline in traditional ground students year over year and the continued decline in professional studies students (working adults attending the university’s traditional campus at night), partially offset by an increase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ABSN students between years. GCU online enrollments were 101,443 at March 31, 2025, up from 93,987 at December 31, 2024, an increase of 7.9% between years.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three months ended March 31, 2025 were $41.7 million, an increase of $2.6 million, or 6.5%, as compared to technology and academic services expenses of $39.1 million for the three months ended March 31, 2024. This increase was primarily due to increases in other technology and academic costs and in occupancy and depreciation of $2.0 million and $0.7 million, respectively, partially offset by a decrease in employee compensation and related expenses, including share-based compensation, of $0.1 million. The increases in other technology and academic costs and occupancy and depreciation were primarily due to the costs associated with the increased number of off-campus classroom and laboratory sites to support our 22 university partners and their increased enrollment growth as well as an increase in curriculum cost reimbursement to our university partners.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22 university partners and their increased enrollment growth, tenure-based salary adjustments, a significant year over year increase in benefit costs and the increased number of off-campus classroom and laboratory sites year over year. Our technology and academic services expenses as a percentage of revenue increased by 0.2% to 14.4% for the three months ended March 31, 2025, from 14.2% for the three months ended March 31, 2024. This increase was primarily due to the growing curriculum cost reimbursement partially offset by decreased faculty reimbursements between years. We anticipate that technology and academic services expenses as a percentage of revenue will increase in the future as we open more off-site classroom and laboratory sites and the growing curriculum cost reimbursements.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March 31, 2025 were $86.8 million, an increase of $3.9 million, or 4.8%, as compared to counseling services and support expenses of $82.9 million for the three months ended March 31, 2024. This increase was primarily attributable to increases in employee compensation and related expenses including share-based compensation and benefits, and in occupancy and depreciation costs of $4.5 million, $0.4 million, respectively, partially offset by decreases in other counseling services and support expenses of $1.0 million. The increases in employee compensation including share-based compensation and benefits were primarily due to increased headcount to support our university partners, and their planned increases in enrollment, tenure-based salary adjustments, a significant year over year increase in benefit costs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decrease in other counseling services and support expenses is primarily the result of lower travel costs for our 22 university partners. Our counseling services and support expenses as a percentage of revenue decreased 0.2% to 30.0% for the three months ended March 31, 2025, from 30.2% for the three months ended March 31, 2024 primarily due to our ability to leverage our counseling services and support expenses across an increasing revenue base. We anticipate that counseling services and support expense will increase in the future as we continue to invest to meet our partners’ needs although we might continue to have a decline in these costs as a percentage of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March 31, 2025 were $60.3 million, an increase of $4.9 million, or 9.0%, as compared to marketing and communication expenses of $55.4 million for the three months ended March 31, 2024. This increase was primarily attributable to the increased cost to market our university partners’ programs and to the marketing of new university partners and new locations which resulted in increased advertising of $4.5 million and increased employee compensation, including share-based compensation and benefits of $0.4 million. Our marketing and communication expenses as a percentage of revenue increased by 0.7% to 20.9% for the three months ended March 31, 2025, from 20.2% for the three months ended March 31, 2024, primarily due to our enrollment growth goals at our university partners’ programs and increased advertising to achieve those goals and a timing difference between years and our planned spend. We anticipate that marketing and communication expenses will increase in the future as we continue to invest to meet our partners’ needs although we anticipate a decline in these costs as a percentage of revenue in the second half of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March 31, 2025 were $10.4 million, a decrease of $0.3 million, or 3.4%, as compared to general and administrative expenses of $10.7 million for the three months ended March 31, 2024. This decrease was primarily attributable to a decrease in professional fees, including legal costs of $0.4 million, partially offset by an increase in employee compensation,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including share-based compensation and benefits of $0.1 million. The decreases in professional fees were due to lower spend on non-litigation services. Our general and administrative expenses as a percentage of revenue decreased by 0.3% to 3.6% for the three months ended March 31, 2025, from 3.9% for the three months ended March 31, 2024 primarily due to our ability to leverage our general and administrative expenses across an increasing revenue base. We anticipate that general and administrative expenses will increase in the future and these costs as a percentage of revenue might increase if legal costs rise faster than our revenue growth rate.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March 31, 2025 and 2024 were $2.1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March 31, 2025 was $3.4 million, a decrease of $0.3 million, as compared to $3.7 million for the three months ended March 31, 2024 due to lower returns on our investment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three months ended March 31, 2025 was $19.8 million, a decrease of $0.4 million, or 2.0%, as compared to income tax expense of $20.2 million for the three months ended March 31, 2024. Our effective tax rate was 21.6% during the three months ended March 31, 2025 compared to 22.9% during the three months ended March 31, 2024. The effective tax rate decreased year over year primarily due to an increase in excess tax benefits of $2.7 million as compared to $1.5 million in the three months ended March 31, 2025 and 2024, respectively, partially offset by higher state income taxes.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March 31, 2025 was $71.6 million, an increase of $3.6 million, or 5.3% as compared to $68.0 million for the three months ended March 31, 2024,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275" w:type="dxa"/>
        <w:jc w:val="left"/>
        <w:tblInd w:w="0" w:type="dxa"/>
        <w:tblLayout w:type="fixed"/>
        <w:tblCellMar>
          <w:top w:w="0" w:type="dxa"/>
          <w:left w:w="0" w:type="dxa"/>
          <w:bottom w:w="0" w:type="dxa"/>
          <w:right w:w="0" w:type="dxa"/>
        </w:tblCellMar>
      </w:tblPr>
      <w:tblGrid>
        <w:gridCol w:w="3331"/>
        <w:gridCol w:w="109"/>
        <w:gridCol w:w="244"/>
        <w:gridCol w:w="905"/>
        <w:gridCol w:w="126"/>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54940" cy="175260"/>
                      <wp:effectExtent l="0" t="0" r="0" b="0"/>
                      <wp:wrapNone/>
                      <wp:docPr id="138" name="Frame13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74675" cy="175260"/>
                      <wp:effectExtent l="0" t="0" r="0" b="0"/>
                      <wp:wrapNone/>
                      <wp:docPr id="139" name="Frame139"/>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0010" cy="175260"/>
                      <wp:effectExtent l="0" t="0" r="0" b="0"/>
                      <wp:wrapNone/>
                      <wp:docPr id="140" name="Frame140"/>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8595" cy="175260"/>
                      <wp:effectExtent l="0" t="0" r="0" b="0"/>
                      <wp:wrapNone/>
                      <wp:docPr id="141" name="Frame14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02005" cy="175260"/>
                      <wp:effectExtent l="0" t="0" r="0" b="0"/>
                      <wp:wrapNone/>
                      <wp:docPr id="142" name="Frame142"/>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7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6"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304,653</w:t>
            </w:r>
          </w:p>
        </w:tc>
        <w:tc>
          <w:tcPr>
            <w:tcW w:w="1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324,623</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$20.0 million between December 31, 2024 and March 31, 2025, which was largely attributable to share repurchases, changes in our investment balance and capital expenditures exceeding our cash provided by operations during the three months ended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019" w:type="dxa"/>
        <w:jc w:val="left"/>
        <w:tblInd w:w="0" w:type="dxa"/>
        <w:tblLayout w:type="fixed"/>
        <w:tblCellMar>
          <w:top w:w="0" w:type="dxa"/>
          <w:left w:w="0" w:type="dxa"/>
          <w:bottom w:w="0" w:type="dxa"/>
          <w:right w:w="0" w:type="dxa"/>
        </w:tblCellMar>
      </w:tblPr>
      <w:tblGrid>
        <w:gridCol w:w="3466"/>
        <w:gridCol w:w="109"/>
        <w:gridCol w:w="258"/>
        <w:gridCol w:w="827"/>
        <w:gridCol w:w="133"/>
        <w:gridCol w:w="258"/>
        <w:gridCol w:w="968"/>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63830" cy="175260"/>
                      <wp:effectExtent l="0" t="0" r="0" b="0"/>
                      <wp:wrapNone/>
                      <wp:docPr id="144" name="Frame14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25145" cy="175260"/>
                      <wp:effectExtent l="0" t="0" r="0" b="0"/>
                      <wp:wrapNone/>
                      <wp:docPr id="145" name="Frame145"/>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4455" cy="175260"/>
                      <wp:effectExtent l="0" t="0" r="0" b="0"/>
                      <wp:wrapNone/>
                      <wp:docPr id="146" name="Frame146"/>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3830" cy="175260"/>
                      <wp:effectExtent l="0" t="0" r="0" b="0"/>
                      <wp:wrapNone/>
                      <wp:docPr id="147" name="Frame14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4680" cy="175260"/>
                      <wp:effectExtent l="0" t="0" r="0" b="0"/>
                      <wp:wrapNone/>
                      <wp:docPr id="148" name="Frame148"/>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3" w:type="dxa"/>
            <w:tcBorders/>
            <w:vAlign w:val="center"/>
          </w:tcPr>
          <w:p>
            <w:pPr>
              <w:pStyle w:val="TableContents"/>
              <w:bidi w:val="0"/>
              <w:spacing w:before="0" w:after="1"/>
              <w:ind w:left="0" w:right="0" w:hanging="0"/>
              <w:jc w:val="left"/>
              <w:rPr/>
            </w:pPr>
            <w:r>
              <w:rPr/>
              <w:t>​</w:t>
            </w:r>
          </w:p>
        </w:tc>
        <w:tc>
          <w:tcPr>
            <w:tcW w:w="12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67,631</w:t>
            </w:r>
          </w:p>
        </w:tc>
        <w:tc>
          <w:tcPr>
            <w:tcW w:w="133"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84,963</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decrease in cash generated from operating activities between the three months ended March 31, 2024 and the three months ended March 31, 2025 was primarily due to changes in working capital balances, primarily accounts payable and accrued liabilities, partially offset by increased income. Accounts payable increased between December 31, 2023 and March 31, 2024 by $12.0 million compared to the decrease of $2.0 million between December 31, 2024 and March 31, 2025 due to the timing of vendor payments. Accrued liabilities decreased by $5.5 million between December 31, 2024 and March 31, 2025 whereas it was flat between December 31, 2023 and March 31, 2024 due to timing differences between the last pay period at the end of each fiscal quarter.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5599" w:type="dxa"/>
        <w:jc w:val="left"/>
        <w:tblInd w:w="0" w:type="dxa"/>
        <w:tblLayout w:type="fixed"/>
        <w:tblCellMar>
          <w:top w:w="0" w:type="dxa"/>
          <w:left w:w="0" w:type="dxa"/>
          <w:bottom w:w="0" w:type="dxa"/>
          <w:right w:w="0" w:type="dxa"/>
        </w:tblCellMar>
      </w:tblPr>
      <w:tblGrid>
        <w:gridCol w:w="3046"/>
        <w:gridCol w:w="109"/>
        <w:gridCol w:w="238"/>
        <w:gridCol w:w="1016"/>
        <w:gridCol w:w="122"/>
        <w:gridCol w:w="238"/>
        <w:gridCol w:w="830"/>
      </w:tblGrid>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1130" cy="175260"/>
                      <wp:effectExtent l="0" t="0" r="0" b="0"/>
                      <wp:wrapNone/>
                      <wp:docPr id="150" name="Frame15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5160" cy="175260"/>
                      <wp:effectExtent l="0" t="0" r="0" b="0"/>
                      <wp:wrapNone/>
                      <wp:docPr id="151" name="Frame151"/>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7470" cy="175260"/>
                      <wp:effectExtent l="0" t="0" r="0" b="0"/>
                      <wp:wrapNone/>
                      <wp:docPr id="152" name="Frame152"/>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1130" cy="175260"/>
                      <wp:effectExtent l="0" t="0" r="0" b="0"/>
                      <wp:wrapNone/>
                      <wp:docPr id="153" name="Frame15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27050" cy="175260"/>
                      <wp:effectExtent l="0" t="0" r="0" b="0"/>
                      <wp:wrapNone/>
                      <wp:docPr id="154" name="Frame154"/>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2" w:type="dxa"/>
            <w:tcBorders/>
            <w:vAlign w:val="center"/>
          </w:tcPr>
          <w:p>
            <w:pPr>
              <w:pStyle w:val="TableContents"/>
              <w:bidi w:val="0"/>
              <w:spacing w:before="0" w:after="1"/>
              <w:ind w:left="0" w:right="0" w:hanging="0"/>
              <w:jc w:val="left"/>
              <w:rPr/>
            </w:pPr>
            <w:r>
              <w:rPr/>
              <w:t>​</w:t>
            </w:r>
          </w:p>
        </w:tc>
        <w:tc>
          <w:tcPr>
            <w:tcW w:w="10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(169,888)</w:t>
            </w:r>
          </w:p>
        </w:tc>
        <w:tc>
          <w:tcPr>
            <w:tcW w:w="122"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consumed $169.9 million of cash in the three months ended March 31, 2025 compared to $5.3 million in the three months ended March 31,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Cash used in investing activities includes net investment activity. In the three months ended March 31, 2024, proceeds from the sale of investments, net of purchases of available-for-sale securities were $3.8 million. In the three months ended March 31, 2025, the purchase of available-for-sale securities, net of proceeds from the sale of investments were $159.9 million.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three months of 2025 and 2024 cash used in investing activities also included capital expenditures totaling $8.9 million and $9.0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614" w:type="dxa"/>
        <w:jc w:val="left"/>
        <w:tblInd w:w="0" w:type="dxa"/>
        <w:tblLayout w:type="fixed"/>
        <w:tblCellMar>
          <w:top w:w="0" w:type="dxa"/>
          <w:left w:w="0" w:type="dxa"/>
          <w:bottom w:w="0" w:type="dxa"/>
          <w:right w:w="0" w:type="dxa"/>
        </w:tblCellMar>
      </w:tblPr>
      <w:tblGrid>
        <w:gridCol w:w="3061"/>
        <w:gridCol w:w="109"/>
        <w:gridCol w:w="238"/>
        <w:gridCol w:w="898"/>
        <w:gridCol w:w="122"/>
        <w:gridCol w:w="238"/>
        <w:gridCol w:w="948"/>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1130" cy="175260"/>
                      <wp:effectExtent l="0" t="0" r="0" b="0"/>
                      <wp:wrapNone/>
                      <wp:docPr id="156" name="Frame15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70230" cy="175260"/>
                      <wp:effectExtent l="0" t="0" r="0" b="0"/>
                      <wp:wrapNone/>
                      <wp:docPr id="157" name="Frame15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7470" cy="175260"/>
                      <wp:effectExtent l="0" t="0" r="0" b="0"/>
                      <wp:wrapNone/>
                      <wp:docPr id="158" name="Frame158"/>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51130" cy="175260"/>
                      <wp:effectExtent l="0" t="0" r="0" b="0"/>
                      <wp:wrapNone/>
                      <wp:docPr id="159" name="Frame15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01980" cy="175260"/>
                      <wp:effectExtent l="0" t="0" r="0" b="0"/>
                      <wp:wrapNone/>
                      <wp:docPr id="160" name="Frame160"/>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2"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(77,857)</w:t>
            </w:r>
          </w:p>
        </w:tc>
        <w:tc>
          <w:tcPr>
            <w:tcW w:w="122"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(29,970)</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$77.9 million of cash in the three months ended March 31, 2025 compared to $30.0 million in the three months ended March 31,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and 2024, $68.4 million and $22.6 million, respectively was used to purchase treasury stock in accordance with GCE’s share repurchase program. In 2025 and 2024, $9.5 million and $7.4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has authorized share repurchases of up to $2,245.0 million since the initiation of the Company’s stock repurchase program. The expiration date on the current repurchase authorization by our Board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Directors is March 1, 2026.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repurchased 395,426 shares of common stock in the three months ended March 31, 2025. At March 31, 2025, there remains $231.3 million available under our share repurchase authorization.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742" w:name="Item3QuantitativeandQualitativeDisclosur"/>
      <w:bookmarkStart w:id="743" w:name="_f0883ec1_c096_4ac4_9492_4960d95e2511"/>
      <w:bookmarkEnd w:id="742"/>
      <w:bookmarkEnd w:id="743"/>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March 31, 2025,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treasury bills,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2025,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744" w:name="Item4ControlsandProcedures_621985"/>
      <w:bookmarkStart w:id="745" w:name="_0aa02968_707c_4c7d_a1fc_3805ed8434e7"/>
      <w:bookmarkEnd w:id="744"/>
      <w:bookmarkEnd w:id="745"/>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March 31, 2025,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46" w:name="PARTIIOTHERINFORMATION_437433"/>
      <w:bookmarkStart w:id="747" w:name="_0e1cd925_1f0a_464c_a6ba_938f928cf320"/>
      <w:bookmarkEnd w:id="746"/>
      <w:bookmarkEnd w:id="747"/>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748" w:name="Item1LegalProceedings_770208"/>
      <w:bookmarkEnd w:id="748"/>
      <w:r>
        <w:rPr>
          <w:rFonts w:ascii="Times New Roman;Times;serif" w:hAnsi="Times New Roman;Times;serif"/>
          <w:b/>
          <w:sz w:val="20"/>
        </w:rPr>
        <w:t>Item 1.   Legal Proceedings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8 – Commitments and Contingencies of our notes to consolidated financial statements included in Part I, Item 1 of this report, which section is incorporated by reference into this Part II, Item 1.</w:t>
      </w:r>
    </w:p>
    <w:p>
      <w:pPr>
        <w:pStyle w:val="TextBody"/>
        <w:bidi w:val="0"/>
        <w:spacing w:before="0" w:after="120"/>
        <w:ind w:left="0" w:right="0" w:hanging="0"/>
        <w:jc w:val="left"/>
        <w:rPr>
          <w:rFonts w:ascii="Times New Roman;Times;serif" w:hAnsi="Times New Roman;Times;serif"/>
          <w:b/>
          <w:sz w:val="20"/>
        </w:rPr>
      </w:pPr>
      <w:bookmarkStart w:id="749" w:name="Item1ARiskFactors_601971"/>
      <w:bookmarkStart w:id="750" w:name="_2e6f67fb_3b57_479c_9b2f_4ea4c65b771e"/>
      <w:bookmarkEnd w:id="749"/>
      <w:bookmarkEnd w:id="750"/>
      <w:r>
        <w:rPr>
          <w:rFonts w:ascii="Times New Roman;Times;serif" w:hAnsi="Times New Roman;Times;serif"/>
          <w:b/>
          <w:sz w:val="20"/>
        </w:rPr>
        <w:t>Item 1A. Risk Factors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2024 Form 10-K.</w:t>
      </w:r>
    </w:p>
    <w:p>
      <w:pPr>
        <w:pStyle w:val="TextBody"/>
        <w:bidi w:val="0"/>
        <w:spacing w:before="0" w:after="120"/>
        <w:ind w:left="0" w:right="0" w:hanging="0"/>
        <w:jc w:val="left"/>
        <w:rPr>
          <w:rFonts w:ascii="Times New Roman;Times;serif" w:hAnsi="Times New Roman;Times;serif"/>
          <w:b/>
          <w:sz w:val="20"/>
        </w:rPr>
      </w:pPr>
      <w:bookmarkStart w:id="751" w:name="Item2UnregisteredSalesofEquitySecurities"/>
      <w:bookmarkStart w:id="752" w:name="_68915f29_40ae_4c97_b1bf_e84c720944fa"/>
      <w:bookmarkEnd w:id="751"/>
      <w:bookmarkEnd w:id="752"/>
      <w:r>
        <w:rPr>
          <w:rFonts w:ascii="Times New Roman;Times;serif" w:hAnsi="Times New Roman;Times;serif"/>
          <w:b/>
          <w:sz w:val="20"/>
        </w:rPr>
        <w:t>Item 2.   Unregistered Sales of Equity Securities and Use of Proceeds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 million since the initiation of the Company’s stock repurchase program. The expiration date on the current repurchase authorization by our Board of Directors is March 1, 2026.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395,426 shares of common stock were repurchased by the Company. At March 31, 2025, there remains $231.3 million available under our share repurchase authorization.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2025:</w:t>
      </w:r>
    </w:p>
    <w:tbl>
      <w:tblPr>
        <w:tblW w:w="9666" w:type="dxa"/>
        <w:jc w:val="left"/>
        <w:tblInd w:w="0" w:type="dxa"/>
        <w:tblLayout w:type="fixed"/>
        <w:tblCellMar>
          <w:top w:w="0" w:type="dxa"/>
          <w:left w:w="0" w:type="dxa"/>
          <w:bottom w:w="0" w:type="dxa"/>
          <w:right w:w="0" w:type="dxa"/>
        </w:tblCellMar>
      </w:tblPr>
      <w:tblGrid>
        <w:gridCol w:w="3181"/>
        <w:gridCol w:w="326"/>
        <w:gridCol w:w="1381"/>
        <w:gridCol w:w="326"/>
        <w:gridCol w:w="211"/>
        <w:gridCol w:w="676"/>
        <w:gridCol w:w="326"/>
        <w:gridCol w:w="1576"/>
        <w:gridCol w:w="266"/>
        <w:gridCol w:w="211"/>
        <w:gridCol w:w="1186"/>
      </w:tblGrid>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876935" cy="175260"/>
                      <wp:effectExtent l="0" t="0" r="0" b="0"/>
                      <wp:wrapNone/>
                      <wp:docPr id="162" name="Frame16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29260" cy="175260"/>
                      <wp:effectExtent l="0" t="0" r="0" b="0"/>
                      <wp:wrapNone/>
                      <wp:docPr id="165" name="Frame1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000760" cy="175260"/>
                      <wp:effectExtent l="0" t="0" r="0" b="0"/>
                      <wp:wrapNone/>
                      <wp:docPr id="167" name="Frame16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8910" cy="175260"/>
                      <wp:effectExtent l="0" t="0" r="0" b="0"/>
                      <wp:wrapNone/>
                      <wp:docPr id="168" name="Frame16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53110" cy="175260"/>
                      <wp:effectExtent l="0" t="0" r="0" b="0"/>
                      <wp:wrapNone/>
                      <wp:docPr id="170" name="Frame17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2025 – January 31,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167.74</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150,517</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274,400,000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2025 – February 28,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181.76</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117,590</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253,000,000</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2025 – March 31,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171.01</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127,319</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231,300,000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172.96</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395,426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231,300,000</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2025 – January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2025 – February 28,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2025 –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179.82</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179.82</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753" w:name="Item3DefaultsUponSeniorSecurities_862648"/>
      <w:bookmarkStart w:id="754" w:name="_86fcfce1_3579_436d_b18e_98b7e2e6c7c7"/>
      <w:bookmarkEnd w:id="753"/>
      <w:bookmarkEnd w:id="754"/>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755" w:name="Item4MineSafetyDisclosures_953586"/>
      <w:bookmarkStart w:id="756" w:name="_2c1a0fc4_6fe1_44bf_b74d_8063f90a51bd"/>
      <w:bookmarkEnd w:id="755"/>
      <w:bookmarkEnd w:id="756"/>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757" w:name="Item5OtherInformation_422882"/>
      <w:bookmarkStart w:id="758" w:name="_96db165f_681f_4a3b_af82_3492baca8241"/>
      <w:bookmarkEnd w:id="757"/>
      <w:bookmarkEnd w:id="758"/>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2025,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759" w:name="Item6Exhibits_355966"/>
      <w:bookmarkStart w:id="760" w:name="_0607c835_b2ee_4900_ac5f_716587f6193a"/>
      <w:bookmarkEnd w:id="759"/>
      <w:bookmarkEnd w:id="760"/>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4450"/>
        <w:gridCol w:w="326"/>
        <w:gridCol w:w="4397"/>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9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331xex10d1.htm">
              <w:r>
                <w:rPr>
                  <w:rStyle w:val="InternetLink"/>
                  <w:rFonts w:ascii="Times New Roman;Times;serif" w:hAnsi="Times New Roman;Times;serif"/>
                  <w:b w:val="false"/>
                  <w:i w:val="false"/>
                  <w:caps w:val="false"/>
                  <w:smallCaps w:val="false"/>
                  <w:sz w:val="20"/>
                </w:rPr>
                <w:t>Second Amended and Restated Executive Employment Agreement, dated April 29, 2025, by and between Grand Canyon Education, Inc. and Kathy J. Claypatch†</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hyperlink w:anchor="lope-2025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0"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97"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109"/>
        <w:gridCol w:w="8562"/>
        <w:gridCol w:w="109"/>
        <w:gridCol w:w="989"/>
      </w:tblGrid>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8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March 31, 2025,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March 31, 2025, formatted in Inline XBRL (included as Exhibit 101).</w:t>
            </w:r>
          </w:p>
        </w:tc>
        <w:tc>
          <w:tcPr>
            <w:tcW w:w="109"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61" w:name="SIGNATURES_551969"/>
      <w:bookmarkStart w:id="762" w:name="_d0ee9c39_9f17_45b5_9fe4_76cb78e54255"/>
      <w:bookmarkEnd w:id="761"/>
      <w:bookmarkEnd w:id="762"/>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367" w:type="dxa"/>
        <w:jc w:val="left"/>
        <w:tblInd w:w="0" w:type="dxa"/>
        <w:tblLayout w:type="fixed"/>
        <w:tblCellMar>
          <w:top w:w="0" w:type="dxa"/>
          <w:left w:w="0" w:type="dxa"/>
          <w:bottom w:w="0" w:type="dxa"/>
          <w:right w:w="0" w:type="dxa"/>
        </w:tblCellMar>
      </w:tblPr>
      <w:tblGrid>
        <w:gridCol w:w="1636"/>
        <w:gridCol w:w="326"/>
        <w:gridCol w:w="630"/>
        <w:gridCol w:w="2775"/>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right"/>
        <w:rPr>
          <w:rFonts w:ascii="Arial;Helvetica;sans-serif" w:hAnsi="Arial;Helvetica;sans-serif"/>
          <w:b/>
          <w:sz w:val="22"/>
        </w:rPr>
      </w:pPr>
      <w:bookmarkStart w:id="763" w:name="lope-20250331xex10d1.htm"/>
      <w:bookmarkStart w:id="764" w:name="kslope20250331xex10d1"/>
      <w:bookmarkEnd w:id="763"/>
      <w:bookmarkEnd w:id="764"/>
      <w:r>
        <w:rPr>
          <w:rFonts w:ascii="Arial;Helvetica;sans-serif" w:hAnsi="Arial;Helvetica;sans-serif"/>
          <w:b/>
          <w:sz w:val="22"/>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SECOND AMENDED AND RESTATED</w:t>
      </w:r>
    </w:p>
    <w:p>
      <w:pPr>
        <w:pStyle w:val="TextBody"/>
        <w:bidi w:val="0"/>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(Chief Information Officer)</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color w:val="1F1F1F"/>
          <w:sz w:val="22"/>
        </w:rPr>
        <w:t>This Second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xml:space="preserve">) is entered into </w:t>
      </w:r>
      <w:r>
        <w:rPr>
          <w:rFonts w:ascii="Arial;Helvetica;sans-serif" w:hAnsi="Arial;Helvetica;sans-serif"/>
          <w:sz w:val="22"/>
        </w:rPr>
        <w:t>on April 29, 2025</w:t>
      </w:r>
      <w:r>
        <w:rPr>
          <w:rFonts w:ascii="Arial;Helvetica;sans-serif" w:hAnsi="Arial;Helvetica;sans-serif"/>
          <w:color w:val="1F1F1F"/>
          <w:sz w:val="22"/>
        </w:rPr>
        <w:t>, and is effective as of January 1, 2025 (the “</w:t>
      </w:r>
      <w:r>
        <w:rPr>
          <w:rFonts w:ascii="Arial;Helvetica;sans-serif" w:hAnsi="Arial;Helvetica;sans-serif"/>
          <w:color w:val="1F1F1F"/>
          <w:sz w:val="22"/>
          <w:u w:val="single"/>
        </w:rPr>
        <w:t>Effective Date</w:t>
      </w:r>
      <w:r>
        <w:rPr>
          <w:rFonts w:ascii="Arial;Helvetica;sans-serif" w:hAnsi="Arial;Helvetica;sans-serif"/>
          <w:color w:val="1F1F1F"/>
          <w:sz w:val="22"/>
        </w:rPr>
        <w:t xml:space="preserve">”), by and between Grand Canyon Education, Inc., a Delaware corporation </w:t>
      </w:r>
      <w:r>
        <w:rPr>
          <w:rFonts w:ascii="Arial;Helvetica;sans-serif" w:hAnsi="Arial;Helvetica;sans-serif"/>
          <w:sz w:val="22"/>
        </w:rPr>
        <w:t xml:space="preserve">(the </w:t>
      </w:r>
      <w:r>
        <w:rPr>
          <w:rFonts w:ascii="Arial;Helvetica;sans-serif" w:hAnsi="Arial;Helvetica;sans-serif"/>
          <w:color w:val="1F1F1F"/>
          <w:sz w:val="22"/>
        </w:rPr>
        <w:t>“Company”) and Kathy J. Claypatch (“</w:t>
      </w:r>
      <w:r>
        <w:rPr>
          <w:rFonts w:ascii="Arial;Helvetica;sans-serif" w:hAnsi="Arial;Helvetica;sans-serif"/>
          <w:color w:val="1F1F1F"/>
          <w:sz w:val="22"/>
          <w:u w:val="single"/>
        </w:rPr>
        <w:t>Executive</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sz w:val="22"/>
        </w:rPr>
      </w:pPr>
      <w:r>
        <w:rPr>
          <w:rFonts w:ascii="Arial;Helvetica;sans-serif" w:hAnsi="Arial;Helvetica;sans-serif"/>
          <w:color w:val="1F1F1F"/>
          <w:sz w:val="22"/>
        </w:rPr>
        <w:t>WHEREAS, Company and Executive are parties to an amended and restated executive employment agreement effective as of July 1, 2021, and effective July 1, 2023, (the “</w:t>
      </w:r>
      <w:r>
        <w:rPr>
          <w:rFonts w:ascii="Arial;Helvetica;sans-serif" w:hAnsi="Arial;Helvetica;sans-serif"/>
          <w:color w:val="1F1F1F"/>
          <w:sz w:val="22"/>
          <w:u w:val="single"/>
        </w:rPr>
        <w:t>Original Agreement”</w:t>
      </w:r>
      <w:r>
        <w:rPr>
          <w:rFonts w:ascii="Arial;Helvetica;sans-serif" w:hAnsi="Arial;Helvetica;sans-serif"/>
          <w:color w:val="1F1F1F"/>
          <w:sz w:val="22"/>
        </w:rPr>
        <w:t>), and Executive has been employed with Company since that time; and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WHEREAS, Company and Executive desire to amend and restate the Original Agreement through the execution and delivery of this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w:t>
      </w:r>
      <w:r>
        <w:rPr>
          <w:rFonts w:ascii="Arial;Helvetica;sans-serif" w:hAnsi="Arial;Helvetica;sans-serif"/>
          <w:color w:val="1F1F1F"/>
          <w:sz w:val="22"/>
          <w:u w:val="single"/>
        </w:rPr>
        <w:t>Employment.</w:t>
      </w:r>
      <w:r>
        <w:rPr>
          <w:rFonts w:ascii="Arial;Helvetica;sans-serif" w:hAnsi="Arial;Helvetica;sans-serif"/>
          <w:color w:val="1F1F1F"/>
          <w:sz w:val="22"/>
        </w:rPr>
        <w:t xml:space="preserve"> </w:t>
      </w:r>
      <w:r>
        <w:rPr>
          <w:rFonts w:ascii="Arial;Helvetica;sans-serif" w:hAnsi="Arial;Helvetica;sans-serif"/>
          <w:sz w:val="22"/>
        </w:rPr>
        <w:t xml:space="preserve">The </w:t>
      </w:r>
      <w:r>
        <w:rPr>
          <w:rFonts w:ascii="Arial;Helvetica;sans-serif" w:hAnsi="Arial;Helvetica;sans-serif"/>
          <w:color w:val="1F1F1F"/>
          <w:sz w:val="22"/>
        </w:rPr>
        <w:t>Company desires to continue to employ Executive, and Executive desires to continue such employment, upon the terms and conditions set forth herein.</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xml:space="preserve">. Executive is employed by Company and shall have the duties and responsibilities reasonably assigned to Executive from time to time by </w:t>
      </w:r>
      <w:r>
        <w:rPr>
          <w:rFonts w:ascii="Arial;Helvetica;sans-serif" w:hAnsi="Arial;Helvetica;sans-serif"/>
          <w:sz w:val="22"/>
        </w:rPr>
        <w:t xml:space="preserve">the </w:t>
      </w:r>
      <w:r>
        <w:rPr>
          <w:rFonts w:ascii="Arial;Helvetica;sans-serif" w:hAnsi="Arial;Helvetica;sans-serif"/>
          <w:color w:val="1F1F1F"/>
          <w:sz w:val="22"/>
        </w:rPr>
        <w:t>Company’s Chief Executive Officer (“</w:t>
      </w:r>
      <w:r>
        <w:rPr>
          <w:rFonts w:ascii="Arial;Helvetica;sans-serif" w:hAnsi="Arial;Helvetica;sans-serif"/>
          <w:color w:val="1F1F1F"/>
          <w:sz w:val="22"/>
          <w:u w:val="single"/>
        </w:rPr>
        <w:t>CEO</w:t>
      </w:r>
      <w:r>
        <w:rPr>
          <w:rFonts w:ascii="Arial;Helvetica;sans-serif" w:hAnsi="Arial;Helvetica;sans-serif"/>
          <w:color w:val="1F1F1F"/>
          <w:sz w:val="22"/>
        </w:rPr>
        <w:t>”), or Board of Directors (the “</w:t>
      </w:r>
      <w:r>
        <w:rPr>
          <w:rFonts w:ascii="Arial;Helvetica;sans-serif" w:hAnsi="Arial;Helvetica;sans-serif"/>
          <w:color w:val="1F1F1F"/>
          <w:sz w:val="22"/>
          <w:u w:val="single"/>
        </w:rPr>
        <w:t>Board</w:t>
      </w:r>
      <w:r>
        <w:rPr>
          <w:rFonts w:ascii="Arial;Helvetica;sans-serif" w:hAnsi="Arial;Helvetica;sans-serif"/>
          <w:color w:val="1F1F1F"/>
          <w:sz w:val="22"/>
        </w:rPr>
        <w:t xml:space="preserve">”). Executive shall perform faithfully and diligently all duties assigned to Executive. </w:t>
      </w:r>
      <w:r>
        <w:rPr>
          <w:rFonts w:ascii="Arial;Helvetica;sans-serif" w:hAnsi="Arial;Helvetica;sans-serif"/>
          <w:sz w:val="22"/>
        </w:rPr>
        <w:t xml:space="preserve">The </w:t>
      </w:r>
      <w:r>
        <w:rPr>
          <w:rFonts w:ascii="Arial;Helvetica;sans-serif" w:hAnsi="Arial;Helvetica;sans-serif"/>
          <w:color w:val="1F1F1F"/>
          <w:sz w:val="22"/>
        </w:rPr>
        <w:t>Company reserves the right to modify Executive’s position and duties at any time in its sole and absolute discretion, except that any material diminution in Executive’s duties shall be subject to Section 7.3(ii).</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 Company in the performance of duties assigned to Executive under this Agreement, and will abide by all policies and decisions made by Company, as well as all applicable federal, state and local laws, regulations or ordinances. Executive will act in the best interest of Company at all times in the performance of duties assigned to Executive under this Agreement. Executive shall devote Executive's full business time and efforts to the performance of Executive’s assigned duties for Company, unless Executive notifies Company in advance of Executive's intent to engage in other paid work and receives Company’s express written consent to do so. Notwithstanding the foregoing, Executive will be permitted to serve as an outside director on the board of directors for corporate, civic, nonprofit or charitable entities, so long as Executive obtains the consent of Company and provided such entities are not competitive with Company or Company and subject to the provisions of Section 9.</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Executive's principal place of work shall be located in Phoenix, Arizona, or such other location as</w:t>
      </w:r>
      <w:r>
        <w:rPr>
          <w:rFonts w:ascii="Arial;Helvetica;sans-serif" w:hAnsi="Arial;Helvetica;sans-serif"/>
          <w:sz w:val="22"/>
        </w:rPr>
        <w:t xml:space="preserve"> the</w:t>
      </w:r>
      <w:r>
        <w:rPr>
          <w:rFonts w:ascii="Arial;Helvetica;sans-serif" w:hAnsi="Arial;Helvetica;sans-serif"/>
          <w:color w:val="1F1F1F"/>
          <w:sz w:val="22"/>
        </w:rPr>
        <w:t xml:space="preserve"> Company may direct from time to time.</w:t>
      </w:r>
    </w:p>
    <w:p>
      <w:pPr>
        <w:pStyle w:val="TextBody"/>
        <w:bidi w:val="0"/>
        <w:spacing w:before="0" w:after="0"/>
        <w:ind w:left="0" w:right="0" w:hanging="0"/>
        <w:jc w:val="both"/>
        <w:rPr/>
      </w:pPr>
      <w:r>
        <w:rP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1</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2028 (the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Arial;Helvetica;sans-serif" w:hAnsi="Arial;Helvetica;sans-serif"/>
          <w:color w:val="1F1F1F"/>
          <w:sz w:val="22"/>
        </w:rPr>
        <w:t>”) unless either party provides ninety (90) days' advance written notice to the other that</w:t>
      </w:r>
      <w:r>
        <w:rPr>
          <w:rFonts w:ascii="Arial;Helvetica;sans-serif" w:hAnsi="Arial;Helvetica;sans-serif"/>
          <w:sz w:val="22"/>
        </w:rPr>
        <w:t xml:space="preserve"> the</w:t>
      </w:r>
      <w:r>
        <w:rPr>
          <w:rFonts w:ascii="Arial;Helvetica;sans-serif" w:hAnsi="Arial;Helvetica;sans-serif"/>
          <w:color w:val="1F1F1F"/>
          <w:sz w:val="22"/>
        </w:rPr>
        <w:t xml:space="preserv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4.</w:t>
      </w:r>
      <w:r>
        <w:rPr>
          <w:rFonts w:ascii="Arial;Helvetica;sans-serif" w:hAnsi="Arial;Helvetica;sans-serif"/>
          <w:color w:val="1F1F1F"/>
          <w:sz w:val="22"/>
          <w:u w:val="single"/>
        </w:rPr>
        <w:t>Compensation.</w:t>
      </w:r>
    </w:p>
    <w:p>
      <w:pPr>
        <w:pStyle w:val="TextBody"/>
        <w:bidi w:val="0"/>
        <w:spacing w:before="0" w:after="0"/>
        <w:ind w:left="0" w:right="0" w:hanging="0"/>
        <w:jc w:val="both"/>
        <w:rPr>
          <w:color w:val="1F1F1F"/>
        </w:rPr>
      </w:pPr>
      <w:r>
        <w:rPr>
          <w:color w:val="1F1F1F"/>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4.1</w:t>
      </w:r>
      <w:r>
        <w:rPr>
          <w:rFonts w:ascii="Arial;Helvetica;sans-serif" w:hAnsi="Arial;Helvetica;sans-serif"/>
          <w:color w:val="1F1F1F"/>
          <w:sz w:val="22"/>
          <w:u w:val="single"/>
        </w:rPr>
        <w:t>Base</w:t>
      </w:r>
      <w:r>
        <w:rPr>
          <w:rFonts w:ascii="Arial;Helvetica;sans-serif" w:hAnsi="Arial;Helvetica;sans-serif"/>
          <w:sz w:val="22"/>
          <w:u w:val="single"/>
        </w:rPr>
        <w:t xml:space="preserve"> </w:t>
      </w:r>
      <w:r>
        <w:rPr>
          <w:rFonts w:ascii="Arial;Helvetica;sans-serif" w:hAnsi="Arial;Helvetica;sans-serif"/>
          <w:color w:val="1F1F1F"/>
          <w:sz w:val="22"/>
          <w:u w:val="single"/>
        </w:rPr>
        <w:t>Salary</w:t>
      </w:r>
      <w:r>
        <w:rPr>
          <w:rFonts w:ascii="Arial;Helvetica;sans-serif" w:hAnsi="Arial;Helvetica;sans-serif"/>
          <w:color w:val="1F1F1F"/>
          <w:sz w:val="22"/>
        </w:rPr>
        <w:t xml:space="preserve">. As compensation for Executive’s performance of Executive’s duties hereunder, effective beginning on the Effective Date </w:t>
      </w:r>
      <w:r>
        <w:rPr>
          <w:rFonts w:ascii="Arial;Helvetica;sans-serif" w:hAnsi="Arial;Helvetica;sans-serif"/>
          <w:sz w:val="22"/>
        </w:rPr>
        <w:t xml:space="preserve">the </w:t>
      </w:r>
      <w:r>
        <w:rPr>
          <w:rFonts w:ascii="Arial;Helvetica;sans-serif" w:hAnsi="Arial;Helvetica;sans-serif"/>
          <w:color w:val="1F1F1F"/>
          <w:sz w:val="22"/>
        </w:rPr>
        <w:t xml:space="preserve">Company shall pay to Executive an initial Base Salary at the rate of </w:t>
      </w:r>
      <w:r>
        <w:rPr>
          <w:rFonts w:ascii="Arial;Helvetica;sans-serif" w:hAnsi="Arial;Helvetica;sans-serif"/>
          <w:sz w:val="22"/>
        </w:rPr>
        <w:t>Three</w:t>
      </w:r>
      <w:r>
        <w:rPr>
          <w:rFonts w:ascii="Arial;Helvetica;sans-serif" w:hAnsi="Arial;Helvetica;sans-serif"/>
          <w:color w:val="1F1F1F"/>
          <w:sz w:val="22"/>
        </w:rPr>
        <w:t xml:space="preserve"> Hundred Twenty-Six Thousand One Hundred Eight and 38/100 Dollars ($</w:t>
      </w:r>
      <w:r>
        <w:rPr>
          <w:rFonts w:ascii="Arial;Helvetica;sans-serif" w:hAnsi="Arial;Helvetica;sans-serif"/>
          <w:sz w:val="22"/>
        </w:rPr>
        <w:t>326,108.38</w:t>
      </w:r>
      <w:r>
        <w:rPr>
          <w:rFonts w:ascii="Arial;Helvetica;sans-serif" w:hAnsi="Arial;Helvetica;sans-serif"/>
          <w:color w:val="1F1F1F"/>
          <w:sz w:val="22"/>
        </w:rPr>
        <w:t>) per year, payable in accordance with the normal payroll practices of</w:t>
      </w:r>
      <w:r>
        <w:rPr>
          <w:rFonts w:ascii="Arial;Helvetica;sans-serif" w:hAnsi="Arial;Helvetica;sans-serif"/>
          <w:sz w:val="22"/>
        </w:rPr>
        <w:t xml:space="preserve"> the</w:t>
      </w:r>
      <w:r>
        <w:rPr>
          <w:rFonts w:ascii="Arial;Helvetica;sans-serif" w:hAnsi="Arial;Helvetica;sans-serif"/>
          <w:color w:val="1F1F1F"/>
          <w:sz w:val="22"/>
        </w:rPr>
        <w:t xml:space="preserve"> Company, less required deductions for state and federal withholding tax, social security and all other employment taxes and payroll deductions. </w:t>
      </w:r>
      <w:r>
        <w:rPr>
          <w:rFonts w:ascii="Arial;Helvetica;sans-serif" w:hAnsi="Arial;Helvetica;sans-serif"/>
          <w:sz w:val="22"/>
        </w:rPr>
        <w:t>Executive’s</w:t>
      </w:r>
      <w:r>
        <w:rPr>
          <w:rFonts w:ascii="Arial;Helvetica;sans-serif" w:hAnsi="Arial;Helvetica;sans-serif"/>
          <w:color w:val="1F1F1F"/>
          <w:sz w:val="22"/>
        </w:rPr>
        <w:t xml:space="preserve"> Base Salary shall be reviewed annually by the Compensation Committee of Company (the “</w:t>
      </w:r>
      <w:r>
        <w:rPr>
          <w:rFonts w:ascii="Arial;Helvetica;sans-serif" w:hAnsi="Arial;Helvetica;sans-serif"/>
          <w:color w:val="1F1F1F"/>
          <w:sz w:val="22"/>
          <w:u w:val="single"/>
        </w:rPr>
        <w:t>Compensation Committee</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4.2</w:t>
      </w:r>
      <w:r>
        <w:rPr>
          <w:rFonts w:ascii="Arial;Helvetica;sans-serif" w:hAnsi="Arial;Helvetica;sans-serif"/>
          <w:color w:val="1F1F1F"/>
          <w:sz w:val="22"/>
          <w:u w:val="single"/>
        </w:rPr>
        <w:t>Incentive Compensation.</w:t>
      </w:r>
      <w:r>
        <w:rPr>
          <w:rFonts w:ascii="Arial;Helvetica;sans-serif" w:hAnsi="Arial;Helvetica;sans-serif"/>
          <w:color w:val="1F1F1F"/>
          <w:sz w:val="22"/>
        </w:rPr>
        <w:t xml:space="preserve"> Executive will be eligible to earn incentive compensation in the form of </w:t>
      </w:r>
      <w:r>
        <w:rPr>
          <w:rFonts w:ascii="Arial;Helvetica;sans-serif" w:hAnsi="Arial;Helvetica;sans-serif"/>
          <w:sz w:val="22"/>
        </w:rPr>
        <w:t>a semi-</w:t>
      </w:r>
      <w:r>
        <w:rPr>
          <w:rFonts w:ascii="Arial;Helvetica;sans-serif" w:hAnsi="Arial;Helvetica;sans-serif"/>
          <w:color w:val="1F1F1F"/>
          <w:sz w:val="22"/>
        </w:rPr>
        <w:t xml:space="preserve">annual bonus for each fiscal year of </w:t>
      </w:r>
      <w:r>
        <w:rPr>
          <w:rFonts w:ascii="Arial;Helvetica;sans-serif" w:hAnsi="Arial;Helvetica;sans-serif"/>
          <w:sz w:val="22"/>
        </w:rPr>
        <w:t xml:space="preserve">the </w:t>
      </w:r>
      <w:r>
        <w:rPr>
          <w:rFonts w:ascii="Arial;Helvetica;sans-serif" w:hAnsi="Arial;Helvetica;sans-serif"/>
          <w:color w:val="1F1F1F"/>
          <w:sz w:val="22"/>
        </w:rPr>
        <w:t xml:space="preserve">Company, to be awarded under </w:t>
      </w:r>
      <w:r>
        <w:rPr>
          <w:rFonts w:ascii="Arial;Helvetica;sans-serif" w:hAnsi="Arial;Helvetica;sans-serif"/>
          <w:sz w:val="22"/>
        </w:rPr>
        <w:t xml:space="preserve">the </w:t>
      </w:r>
      <w:r>
        <w:rPr>
          <w:rFonts w:ascii="Arial;Helvetica;sans-serif" w:hAnsi="Arial;Helvetica;sans-serif"/>
          <w:color w:val="1F1F1F"/>
          <w:sz w:val="22"/>
        </w:rPr>
        <w:t xml:space="preserve">Company’s annual cash incentive plan as then in effect, with a target amount equal to </w:t>
      </w:r>
      <w:r>
        <w:rPr>
          <w:rFonts w:ascii="Arial;Helvetica;sans-serif" w:hAnsi="Arial;Helvetica;sans-serif"/>
          <w:sz w:val="22"/>
        </w:rPr>
        <w:t>Seventy Thousand Dollars ($70,000)</w:t>
      </w:r>
      <w:r>
        <w:rPr>
          <w:rFonts w:ascii="Arial;Helvetica;sans-serif" w:hAnsi="Arial;Helvetica;sans-serif"/>
          <w:color w:val="1F1F1F"/>
          <w:sz w:val="22"/>
        </w:rPr>
        <w:t xml:space="preserve"> (the “</w:t>
      </w:r>
      <w:r>
        <w:rPr>
          <w:rFonts w:ascii="Arial;Helvetica;sans-serif" w:hAnsi="Arial;Helvetica;sans-serif"/>
          <w:color w:val="1F1F1F"/>
          <w:sz w:val="22"/>
          <w:u w:val="single"/>
        </w:rPr>
        <w:t>Target Bonus</w:t>
      </w:r>
      <w:r>
        <w:rPr>
          <w:rFonts w:ascii="Arial;Helvetica;sans-serif" w:hAnsi="Arial;Helvetica;sans-serif"/>
          <w:color w:val="1F1F1F"/>
          <w:sz w:val="22"/>
        </w:rPr>
        <w:t xml:space="preserve">").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w:t>
      </w:r>
      <w:r>
        <w:rPr>
          <w:rFonts w:ascii="Arial;Helvetica;sans-serif" w:hAnsi="Arial;Helvetica;sans-serif"/>
          <w:sz w:val="22"/>
        </w:rPr>
        <w:t xml:space="preserve">the </w:t>
      </w:r>
      <w:r>
        <w:rPr>
          <w:rFonts w:ascii="Arial;Helvetica;sans-serif" w:hAnsi="Arial;Helvetica;sans-serif"/>
          <w:color w:val="1F1F1F"/>
          <w:sz w:val="22"/>
        </w:rPr>
        <w:t xml:space="preserve">Company's achievement of overall performance metrics for the year and Executive's achievement of individual performance metrics as agreed upon by the Compensation Committee and Executive. Earned bonus amounts, if any, shall be paid within two and one-half months following the end of </w:t>
      </w:r>
      <w:r>
        <w:rPr>
          <w:rFonts w:ascii="Arial;Helvetica;sans-serif" w:hAnsi="Arial;Helvetica;sans-serif"/>
          <w:sz w:val="22"/>
        </w:rPr>
        <w:t>each semi-annual period</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Arial;Helvetica;sans-serif" w:hAnsi="Arial;Helvetica;sans-serif"/>
          <w:color w:val="1F1F1F"/>
          <w:sz w:val="22"/>
        </w:rPr>
        <w:t xml:space="preserve">”) under </w:t>
      </w:r>
      <w:r>
        <w:rPr>
          <w:rFonts w:ascii="Arial;Helvetica;sans-serif" w:hAnsi="Arial;Helvetica;sans-serif"/>
          <w:sz w:val="22"/>
        </w:rPr>
        <w:t xml:space="preserve">the </w:t>
      </w:r>
      <w:r>
        <w:rPr>
          <w:rFonts w:ascii="Arial;Helvetica;sans-serif" w:hAnsi="Arial;Helvetica;sans-serif"/>
          <w:color w:val="1F1F1F"/>
          <w:sz w:val="22"/>
        </w:rPr>
        <w:t>Company’s equity incentive plan as then in effect (the “</w:t>
      </w:r>
      <w:r>
        <w:rPr>
          <w:rFonts w:ascii="Arial;Helvetica;sans-serif" w:hAnsi="Arial;Helvetica;sans-serif"/>
          <w:color w:val="1F1F1F"/>
          <w:sz w:val="22"/>
          <w:u w:val="single"/>
        </w:rPr>
        <w:t>Plan</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xml:space="preserve">. Executive will be eligible for all customary and usual fringe benefits generally available to senior management of </w:t>
      </w:r>
      <w:r>
        <w:rPr>
          <w:rFonts w:ascii="Arial;Helvetica;sans-serif" w:hAnsi="Arial;Helvetica;sans-serif"/>
          <w:sz w:val="22"/>
        </w:rPr>
        <w:t xml:space="preserve">the </w:t>
      </w:r>
      <w:r>
        <w:rPr>
          <w:rFonts w:ascii="Arial;Helvetica;sans-serif" w:hAnsi="Arial;Helvetica;sans-serif"/>
          <w:color w:val="1F1F1F"/>
          <w:sz w:val="22"/>
        </w:rPr>
        <w:t xml:space="preserve">Company, subject to the terms and conditions of </w:t>
      </w:r>
      <w:r>
        <w:rPr>
          <w:rFonts w:ascii="Arial;Helvetica;sans-serif" w:hAnsi="Arial;Helvetica;sans-serif"/>
          <w:sz w:val="22"/>
        </w:rPr>
        <w:t>the Company’s</w:t>
      </w:r>
      <w:r>
        <w:rPr>
          <w:rFonts w:ascii="Arial;Helvetica;sans-serif" w:hAnsi="Arial;Helvetica;sans-serif"/>
          <w:color w:val="1F1F1F"/>
          <w:sz w:val="22"/>
        </w:rPr>
        <w:t xml:space="preserve"> benefit plan documents.</w:t>
      </w:r>
      <w:r>
        <w:rPr>
          <w:rFonts w:ascii="Arial;Helvetica;sans-serif" w:hAnsi="Arial;Helvetica;sans-serif"/>
          <w:sz w:val="22"/>
        </w:rPr>
        <w:t xml:space="preserve"> The</w:t>
      </w:r>
      <w:r>
        <w:rPr>
          <w:rFonts w:ascii="Arial;Helvetica;sans-serif" w:hAnsi="Arial;Helvetica;sans-serif"/>
          <w:color w:val="1F1F1F"/>
          <w:sz w:val="22"/>
        </w:rPr>
        <w:t xml:space="preserve"> Company reserves the right to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2</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color w:val="1F1F1F"/>
          <w:sz w:val="22"/>
        </w:rPr>
      </w:pPr>
      <w:r>
        <w:rPr>
          <w:rFonts w:ascii="Arial;Helvetica;sans-serif" w:hAnsi="Arial;Helvetica;sans-serif"/>
          <w:color w:val="1F1F1F"/>
          <w:sz w:val="22"/>
        </w:rPr>
        <w:t>change or eliminate fringe benefits on a prospective basis, at any time, effective upon notice to Executive.</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xml:space="preserve">. Executive will be reimbursed for all reasonable, out-of- pocket business expenses incurred in the performance of Executive's duties on behalf of </w:t>
      </w:r>
      <w:r>
        <w:rPr>
          <w:rFonts w:ascii="Arial;Helvetica;sans-serif" w:hAnsi="Arial;Helvetica;sans-serif"/>
          <w:sz w:val="22"/>
        </w:rPr>
        <w:t xml:space="preserve">the </w:t>
      </w:r>
      <w:r>
        <w:rPr>
          <w:rFonts w:ascii="Arial;Helvetica;sans-serif" w:hAnsi="Arial;Helvetica;sans-serif"/>
          <w:color w:val="1F1F1F"/>
          <w:sz w:val="22"/>
        </w:rPr>
        <w:t xml:space="preserve">Company. To obtain reimbursement, expenses must be submitted promptly with appropriate supporting documentation and will be reimbursed in accordance with </w:t>
      </w:r>
      <w:r>
        <w:rPr>
          <w:rFonts w:ascii="Arial;Helvetica;sans-serif" w:hAnsi="Arial;Helvetica;sans-serif"/>
          <w:sz w:val="22"/>
        </w:rPr>
        <w:t xml:space="preserve">the </w:t>
      </w:r>
      <w:r>
        <w:rPr>
          <w:rFonts w:ascii="Arial;Helvetica;sans-serif" w:hAnsi="Arial;Helvetica;sans-serif"/>
          <w:color w:val="1F1F1F"/>
          <w:sz w:val="22"/>
        </w:rPr>
        <w:t>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bidi w:val="0"/>
        <w:spacing w:before="0" w:after="0"/>
        <w:ind w:left="0" w:right="0" w:hanging="0"/>
        <w:jc w:val="both"/>
        <w:rPr>
          <w:color w:val="1F1F1F"/>
        </w:rPr>
      </w:pPr>
      <w:r>
        <w:rPr>
          <w:color w:val="1F1F1F"/>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bidi w:val="0"/>
        <w:spacing w:before="0" w:after="0"/>
        <w:ind w:left="0" w:right="0" w:hanging="0"/>
        <w:jc w:val="both"/>
        <w:rPr>
          <w:color w:val="1F1F1F"/>
        </w:rPr>
      </w:pPr>
      <w:r>
        <w:rPr>
          <w:color w:val="1F1F1F"/>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7.1</w:t>
      </w:r>
      <w:r>
        <w:rPr>
          <w:rFonts w:ascii="Arial;Helvetica;sans-serif" w:hAnsi="Arial;Helvetica;sans-serif"/>
          <w:color w:val="1F1F1F"/>
          <w:sz w:val="22"/>
          <w:u w:val="single"/>
        </w:rPr>
        <w:t>Termination for Cause by Company</w:t>
      </w:r>
      <w:r>
        <w:rPr>
          <w:rFonts w:ascii="Arial;Helvetica;sans-serif" w:hAnsi="Arial;Helvetica;sans-serif"/>
          <w:color w:val="1F1F1F"/>
          <w:sz w:val="22"/>
        </w:rPr>
        <w:t>. Although Company anticipates the continuation of a mutually rewarding employment relationship with Executive, Company may terminate Executive’s employment immediately at any time for Cause. For purposes of this Agreement, "</w:t>
      </w:r>
      <w:r>
        <w:rPr>
          <w:rFonts w:ascii="Arial;Helvetica;sans-serif" w:hAnsi="Arial;Helvetica;sans-serif"/>
          <w:color w:val="1F1F1F"/>
          <w:sz w:val="22"/>
          <w:u w:val="single"/>
        </w:rPr>
        <w:t>Cause</w:t>
      </w:r>
      <w:r>
        <w:rPr>
          <w:rFonts w:ascii="Arial;Helvetica;sans-serif" w:hAnsi="Arial;Helvetica;sans-serif"/>
          <w:color w:val="1F1F1F"/>
          <w:sz w:val="22"/>
        </w:rPr>
        <w:t xml:space="preserve"> is defined as: (a) acts or omissions constituting gross negligence, recklessness or willful misconduct on the part of Executive with respect to Executive’s ' obligations or otherwise relating to the business of Company; (b) Executive’s material breach of this Agreement including, without limitation, any breach of Section 8, Section 9 or Section 11; (c) Executive’s breach of Company's Employee Nondisclosure and Assignment Agreement (a copy of which has been executed and delivered to 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Company, provided that Executive has received written notice of the action or omission giving rise to such determination and has failed to remedy such situation to the satisfaction of Company 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 Company (the “</w:t>
      </w:r>
      <w:r>
        <w:rPr>
          <w:rFonts w:ascii="Arial;Helvetica;sans-serif" w:hAnsi="Arial;Helvetica;sans-serif"/>
          <w:color w:val="1F1F1F"/>
          <w:sz w:val="22"/>
          <w:u w:val="single"/>
        </w:rPr>
        <w:t>Termination Date</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7.2</w:t>
      </w:r>
      <w:r>
        <w:rPr>
          <w:rFonts w:ascii="Arial;Helvetica;sans-serif" w:hAnsi="Arial;Helvetica;sans-serif"/>
          <w:color w:val="1F1F1F"/>
          <w:sz w:val="22"/>
          <w:u w:val="single"/>
        </w:rPr>
        <w:t>Termination Without Cause by Company.</w:t>
      </w:r>
      <w:r>
        <w:rPr>
          <w:rFonts w:ascii="Arial;Helvetica;sans-serif" w:hAnsi="Arial;Helvetica;sans-serif"/>
          <w:color w:val="1F1F1F"/>
          <w:sz w:val="22"/>
        </w:rPr>
        <w:t xml:space="preserve"> </w:t>
      </w:r>
      <w:r>
        <w:rPr>
          <w:rFonts w:ascii="Arial;Helvetica;sans-serif" w:hAnsi="Arial;Helvetica;sans-serif"/>
          <w:sz w:val="22"/>
        </w:rPr>
        <w:t xml:space="preserve">The </w:t>
      </w:r>
      <w:r>
        <w:rPr>
          <w:rFonts w:ascii="Arial;Helvetica;sans-serif" w:hAnsi="Arial;Helvetica;sans-serif"/>
          <w:color w:val="1F1F1F"/>
          <w:sz w:val="22"/>
        </w:rPr>
        <w:t>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Arial;Helvetica;sans-serif" w:hAnsi="Arial;Helvetica;sans-serif"/>
          <w:sz w:val="22"/>
        </w:rPr>
        <w:t>”</w:t>
      </w:r>
      <w:r>
        <w:rPr>
          <w:rFonts w:ascii="Arial;Helvetica;sans-serif" w:hAnsi="Arial;Helvetica;sans-serif"/>
          <w:color w:val="1F1F1F"/>
          <w:sz w:val="22"/>
        </w:rPr>
        <w:t xml:space="preserve"> that shall consist of:</w:t>
      </w:r>
    </w:p>
    <w:p>
      <w:pPr>
        <w:pStyle w:val="TextBody"/>
        <w:bidi w:val="0"/>
        <w:spacing w:before="0" w:after="0"/>
        <w:ind w:left="0" w:right="0" w:hanging="0"/>
        <w:jc w:val="both"/>
        <w:rPr/>
      </w:pPr>
      <w:r>
        <w:rPr/>
        <w:t>​</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 xml:space="preserve">(a)severance in an amount equal to the sum of (i) twelve (12) months of Executive’s Base Salary then in effect on the Termination Date, and (ii) 100% of Executive’s Target Bonus for the fiscal year in which the Termination Date occurs, with the total of such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amount to be payable over twelve (12) months in equal installments in accordance with the Company’s regular payroll cycle, commencing with the first payroll date occurring on or after the 60th day following the Termination Date; and</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(b)payment by the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 had Executive’s employment with Company continued uninterrupted until the first anniversary of the Termination Date.</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Notwithstanding Section 7.2(b), if the 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Arial;Helvetica;sans-serif" w:hAnsi="Arial;Helvetica;sans-serif"/>
          <w:sz w:val="22"/>
        </w:rPr>
        <w:t>”),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for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w:t>
      </w:r>
      <w:r>
        <w:rPr>
          <w:rFonts w:ascii="Arial;Helvetica;sans-serif" w:hAnsi="Arial;Helvetica;sans-serif"/>
          <w:sz w:val="22"/>
        </w:rPr>
        <w:t xml:space="preserve"> the</w:t>
      </w:r>
      <w:r>
        <w:rPr>
          <w:rFonts w:ascii="Arial;Helvetica;sans-serif" w:hAnsi="Arial;Helvetica;sans-serif"/>
          <w:color w:val="1F1F1F"/>
          <w:sz w:val="22"/>
        </w:rPr>
        <w:t xml:space="preserve"> Company within ninety (90) days following the first occurrence of a condition constituting Good Reason. “</w:t>
      </w:r>
      <w:r>
        <w:rPr>
          <w:rFonts w:ascii="Arial;Helvetica;sans-serif" w:hAnsi="Arial;Helvetica;sans-serif"/>
          <w:color w:val="1F1F1F"/>
          <w:sz w:val="22"/>
          <w:u w:val="single"/>
        </w:rPr>
        <w:t>Good Reason</w:t>
      </w:r>
      <w:r>
        <w:rPr>
          <w:rFonts w:ascii="Arial;Helvetica;sans-serif" w:hAnsi="Arial;Helvetica;sans-serif"/>
          <w:color w:val="1F1F1F"/>
          <w:sz w:val="22"/>
        </w:rPr>
        <w:t xml:space="preserve">” means the occurrence of any of the following conditions without Executive's written consent, which condition(s) remain(s) in effect thirty (30) days after Executive provides written notice to </w:t>
      </w:r>
      <w:r>
        <w:rPr>
          <w:rFonts w:ascii="Arial;Helvetica;sans-serif" w:hAnsi="Arial;Helvetica;sans-serif"/>
          <w:sz w:val="22"/>
        </w:rPr>
        <w:t xml:space="preserve">the </w:t>
      </w:r>
      <w:r>
        <w:rPr>
          <w:rFonts w:ascii="Arial;Helvetica;sans-serif" w:hAnsi="Arial;Helvetica;sans-serif"/>
          <w:color w:val="1F1F1F"/>
          <w:sz w:val="22"/>
        </w:rPr>
        <w:t>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w:t>
      </w:r>
      <w:r>
        <w:rPr>
          <w:rFonts w:ascii="Arial;Helvetica;sans-serif" w:hAnsi="Arial;Helvetica;sans-serif"/>
          <w:sz w:val="22"/>
        </w:rPr>
        <w:t xml:space="preserve"> the</w:t>
      </w:r>
      <w:r>
        <w:rPr>
          <w:rFonts w:ascii="Arial;Helvetica;sans-serif" w:hAnsi="Arial;Helvetica;sans-serif"/>
          <w:color w:val="1F1F1F"/>
          <w:sz w:val="22"/>
        </w:rPr>
        <w:t xml:space="preserve"> Company as they existed prior to such change, or (iii) a relocation of Executive's principal place of work which increases Executive's one-way commute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4</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 xml:space="preserve">distance by more than fifty (50) miles. Executive will be deemed to have given consent to any condition(s) described in this Section 7.3 if Executive does not provide written notice to </w:t>
      </w:r>
      <w:r>
        <w:rPr>
          <w:rFonts w:ascii="Arial;Helvetica;sans-serif" w:hAnsi="Arial;Helvetica;sans-serif"/>
          <w:sz w:val="22"/>
        </w:rPr>
        <w:t xml:space="preserve">the </w:t>
      </w:r>
      <w:r>
        <w:rPr>
          <w:rFonts w:ascii="Arial;Helvetica;sans-serif" w:hAnsi="Arial;Helvetica;sans-serif"/>
          <w:color w:val="1F1F1F"/>
          <w:sz w:val="22"/>
        </w:rPr>
        <w:t>Company of Executive's intent to exercise Executive's rights pursuant to this Section within thirty (30) days following the first occurrence of such condition(s).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without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Arial;Helvetica;sans-serif" w:hAnsi="Arial;Helvetica;sans-serif"/>
          <w:color w:val="1F1F1F"/>
          <w:sz w:val="22"/>
        </w:rPr>
        <w:t xml:space="preserve"> If, upon or within twelve (12) months after a Change in Control (as that term is defined below), Executive’s employment is terminated by</w:t>
      </w:r>
      <w:r>
        <w:rPr>
          <w:rFonts w:ascii="Arial;Helvetica;sans-serif" w:hAnsi="Arial;Helvetica;sans-serif"/>
          <w:sz w:val="22"/>
        </w:rPr>
        <w:t xml:space="preserve"> the</w:t>
      </w:r>
      <w:r>
        <w:rPr>
          <w:rFonts w:ascii="Arial;Helvetica;sans-serif" w:hAnsi="Arial;Helvetica;sans-serif"/>
          <w:color w:val="1F1F1F"/>
          <w:sz w:val="22"/>
        </w:rPr>
        <w:t xml:space="preserve">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w:t>
      </w:r>
      <w:r>
        <w:rPr>
          <w:rFonts w:ascii="Arial;Helvetica;sans-serif" w:hAnsi="Arial;Helvetica;sans-serif"/>
          <w:sz w:val="22"/>
        </w:rPr>
        <w:t xml:space="preserve">the </w:t>
      </w:r>
      <w:r>
        <w:rPr>
          <w:rFonts w:ascii="Arial;Helvetica;sans-serif" w:hAnsi="Arial;Helvetica;sans-serif"/>
          <w:color w:val="1F1F1F"/>
          <w:sz w:val="22"/>
        </w:rPr>
        <w:t>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 14.8.</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Arial;Helvetica;sans-serif" w:hAnsi="Arial;Helvetica;sans-serif"/>
          <w:color w:val="1F1F1F"/>
          <w:sz w:val="22"/>
        </w:rPr>
        <w:t xml:space="preserve">”),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5</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color w:val="1F1F1F"/>
          <w:sz w:val="22"/>
        </w:rPr>
      </w:pPr>
      <w:r>
        <w:rPr>
          <w:rFonts w:ascii="Arial;Helvetica;sans-serif" w:hAnsi="Arial;Helvetica;sans-serif"/>
          <w:color w:val="1F1F1F"/>
          <w:sz w:val="22"/>
        </w:rPr>
        <w:t>Equity Awards are granted on the same date, the accelerated vesting of each award will be reduced on a pro-rata basis.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(ii)</w:t>
      </w:r>
      <w:r>
        <w:rPr>
          <w:rFonts w:ascii="Arial;Helvetica;sans-serif" w:hAnsi="Arial;Helvetica;sans-serif"/>
          <w:color w:val="1F1F1F"/>
          <w:sz w:val="22"/>
        </w:rPr>
        <w:t xml:space="preserve">The professional firm engaged by </w:t>
      </w:r>
      <w:r>
        <w:rPr>
          <w:rFonts w:ascii="Arial;Helvetica;sans-serif" w:hAnsi="Arial;Helvetica;sans-serif"/>
          <w:sz w:val="22"/>
        </w:rPr>
        <w:t xml:space="preserve">the </w:t>
      </w:r>
      <w:r>
        <w:rPr>
          <w:rFonts w:ascii="Arial;Helvetica;sans-serif" w:hAnsi="Arial;Helvetica;sans-serif"/>
          <w:color w:val="1F1F1F"/>
          <w:sz w:val="22"/>
        </w:rPr>
        <w:t xml:space="preserve">Company for general tax purposes as of the day prior to the date of the event that might reasonably be anticipated to result in Payments that would otherwise be subject to the Excise Tax will perform the foregoing calculations. If the tax firm so engaged by </w:t>
      </w:r>
      <w:r>
        <w:rPr>
          <w:rFonts w:ascii="Arial;Helvetica;sans-serif" w:hAnsi="Arial;Helvetica;sans-serif"/>
          <w:sz w:val="22"/>
        </w:rPr>
        <w:t xml:space="preserve">the </w:t>
      </w:r>
      <w:r>
        <w:rPr>
          <w:rFonts w:ascii="Arial;Helvetica;sans-serif" w:hAnsi="Arial;Helvetica;sans-serif"/>
          <w:color w:val="1F1F1F"/>
          <w:sz w:val="22"/>
        </w:rPr>
        <w:t>Company is serving as accountant or auditor for the acquiring company,</w:t>
      </w:r>
      <w:r>
        <w:rPr>
          <w:rFonts w:ascii="Arial;Helvetica;sans-serif" w:hAnsi="Arial;Helvetica;sans-serif"/>
          <w:sz w:val="22"/>
        </w:rPr>
        <w:t xml:space="preserve"> the</w:t>
      </w:r>
      <w:r>
        <w:rPr>
          <w:rFonts w:ascii="Arial;Helvetica;sans-serif" w:hAnsi="Arial;Helvetica;sans-serif"/>
          <w:color w:val="1F1F1F"/>
          <w:sz w:val="22"/>
        </w:rPr>
        <w:t xml:space="preserve"> Company will appoint a nationally recognized tax firm to make the determinations required by this Section. </w:t>
      </w:r>
      <w:r>
        <w:rPr>
          <w:rFonts w:ascii="Arial;Helvetica;sans-serif" w:hAnsi="Arial;Helvetica;sans-serif"/>
          <w:sz w:val="22"/>
        </w:rPr>
        <w:t xml:space="preserve">The </w:t>
      </w:r>
      <w:r>
        <w:rPr>
          <w:rFonts w:ascii="Arial;Helvetica;sans-serif" w:hAnsi="Arial;Helvetica;sans-serif"/>
          <w:color w:val="1F1F1F"/>
          <w:sz w:val="22"/>
        </w:rPr>
        <w:t>Company will bear all expenses with respect to the determinations by the tax firm required to be made by this Section.</w:t>
      </w:r>
      <w:r>
        <w:rPr>
          <w:rFonts w:ascii="Arial;Helvetica;sans-serif" w:hAnsi="Arial;Helvetica;sans-serif"/>
          <w:sz w:val="22"/>
        </w:rPr>
        <w:t xml:space="preserve"> The</w:t>
      </w:r>
      <w:r>
        <w:rPr>
          <w:rFonts w:ascii="Arial;Helvetica;sans-serif" w:hAnsi="Arial;Helvetica;sans-serif"/>
          <w:color w:val="1F1F1F"/>
          <w:sz w:val="22"/>
        </w:rPr>
        <w:t xml:space="preserve"> Company and Executive shall furnish the tax firm such information and documents as the tax firm may reasonably request in order to make its required determination. The tax firm will provide its calculations, together with detailed supporting documentation, to </w:t>
      </w:r>
      <w:r>
        <w:rPr>
          <w:rFonts w:ascii="Arial;Helvetica;sans-serif" w:hAnsi="Arial;Helvetica;sans-serif"/>
          <w:sz w:val="22"/>
        </w:rPr>
        <w:t xml:space="preserve">the </w:t>
      </w:r>
      <w:r>
        <w:rPr>
          <w:rFonts w:ascii="Arial;Helvetica;sans-serif" w:hAnsi="Arial;Helvetica;sans-serif"/>
          <w:color w:val="1F1F1F"/>
          <w:sz w:val="22"/>
        </w:rPr>
        <w:t xml:space="preserve">Company and Executive as soon as practicable following its engagement. Any good faith determinations of the tax firm made hereunder will be final, binding and conclusive upon </w:t>
      </w:r>
      <w:r>
        <w:rPr>
          <w:rFonts w:ascii="Arial;Helvetica;sans-serif" w:hAnsi="Arial;Helvetica;sans-serif"/>
          <w:sz w:val="22"/>
        </w:rPr>
        <w:t>the</w:t>
      </w:r>
      <w:r>
        <w:rPr>
          <w:rFonts w:ascii="Arial;Helvetica;sans-serif" w:hAnsi="Arial;Helvetica;sans-serif"/>
          <w:color w:val="1F1F1F"/>
          <w:sz w:val="22"/>
        </w:rPr>
        <w:t xml:space="preserve"> Company and Executive.</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Arial;Helvetica;sans-serif" w:hAnsi="Arial;Helvetica;sans-serif"/>
          <w:color w:val="1F1F1F"/>
          <w:sz w:val="22"/>
        </w:rPr>
        <w:t xml:space="preserve">”)), becomes the “beneficial owner” (as such term is defined in Rule 13d-3 promulgated under the Exchange Act), directly or indirectly, of securities of </w:t>
      </w:r>
      <w:r>
        <w:rPr>
          <w:rFonts w:ascii="Arial;Helvetica;sans-serif" w:hAnsi="Arial;Helvetica;sans-serif"/>
          <w:sz w:val="22"/>
        </w:rPr>
        <w:t>the  </w:t>
      </w:r>
      <w:r>
        <w:rPr>
          <w:rFonts w:ascii="Arial;Helvetica;sans-serif" w:hAnsi="Arial;Helvetica;sans-serif"/>
          <w:color w:val="1F1F1F"/>
          <w:sz w:val="22"/>
        </w:rPr>
        <w:t xml:space="preserve">Company representing more than fifty percent (50%) of the total fair market value or total combined voting power of </w:t>
      </w:r>
      <w:r>
        <w:rPr>
          <w:rFonts w:ascii="Arial;Helvetica;sans-serif" w:hAnsi="Arial;Helvetica;sans-serif"/>
          <w:sz w:val="22"/>
        </w:rPr>
        <w:t>the Company's</w:t>
      </w:r>
      <w:r>
        <w:rPr>
          <w:rFonts w:ascii="Arial;Helvetica;sans-serif" w:hAnsi="Arial;Helvetica;sans-serif"/>
          <w:color w:val="1F1F1F"/>
          <w:sz w:val="22"/>
        </w:rPr>
        <w:t xml:space="preserve">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w:t>
      </w:r>
      <w:r>
        <w:rPr>
          <w:rFonts w:ascii="Arial;Helvetica;sans-serif" w:hAnsi="Arial;Helvetica;sans-serif"/>
          <w:sz w:val="22"/>
        </w:rPr>
        <w:t xml:space="preserve">the </w:t>
      </w:r>
      <w:r>
        <w:rPr>
          <w:rFonts w:ascii="Arial;Helvetica;sans-serif" w:hAnsi="Arial;Helvetica;sans-serif"/>
          <w:color w:val="1F1F1F"/>
          <w:sz w:val="22"/>
        </w:rPr>
        <w:t xml:space="preserve">Company, including, without limitation, pursuant to or in connection with a public offering of securities, (C) any acquisition of securities by </w:t>
      </w:r>
      <w:r>
        <w:rPr>
          <w:rFonts w:ascii="Arial;Helvetica;sans-serif" w:hAnsi="Arial;Helvetica;sans-serif"/>
          <w:sz w:val="22"/>
        </w:rPr>
        <w:t xml:space="preserve">the </w:t>
      </w:r>
      <w:r>
        <w:rPr>
          <w:rFonts w:ascii="Arial;Helvetica;sans-serif" w:hAnsi="Arial;Helvetica;sans-serif"/>
          <w:color w:val="1F1F1F"/>
          <w:sz w:val="22"/>
        </w:rPr>
        <w:t xml:space="preserve">Company, (D) any acquisition of securities by a trustee or other fiduciary under an employee benefit plan of </w:t>
      </w:r>
      <w:r>
        <w:rPr>
          <w:rFonts w:ascii="Arial;Helvetica;sans-serif" w:hAnsi="Arial;Helvetica;sans-serif"/>
          <w:sz w:val="22"/>
        </w:rPr>
        <w:t xml:space="preserve">the </w:t>
      </w:r>
      <w:r>
        <w:rPr>
          <w:rFonts w:ascii="Arial;Helvetica;sans-serif" w:hAnsi="Arial;Helvetica;sans-serif"/>
          <w:color w:val="1F1F1F"/>
          <w:sz w:val="22"/>
        </w:rPr>
        <w:t xml:space="preserve">Company, or (E) any acquisition of securities by an entity owned directly or indirectly by the stockholders of </w:t>
      </w:r>
      <w:r>
        <w:rPr>
          <w:rFonts w:ascii="Arial;Helvetica;sans-serif" w:hAnsi="Arial;Helvetica;sans-serif"/>
          <w:sz w:val="22"/>
        </w:rPr>
        <w:t xml:space="preserve">the </w:t>
      </w:r>
      <w:r>
        <w:rPr>
          <w:rFonts w:ascii="Arial;Helvetica;sans-serif" w:hAnsi="Arial;Helvetica;sans-serif"/>
          <w:color w:val="1F1F1F"/>
          <w:sz w:val="22"/>
        </w:rPr>
        <w:t>Company in substantially the same proportions as their ownership of the voting securities of</w:t>
      </w:r>
      <w:r>
        <w:rPr>
          <w:rFonts w:ascii="Arial;Helvetica;sans-serif" w:hAnsi="Arial;Helvetica;sans-serif"/>
          <w:sz w:val="22"/>
        </w:rPr>
        <w:t xml:space="preserve"> the</w:t>
      </w:r>
      <w:r>
        <w:rPr>
          <w:rFonts w:ascii="Arial;Helvetica;sans-serif" w:hAnsi="Arial;Helvetica;sans-serif"/>
          <w:color w:val="1F1F1F"/>
          <w:sz w:val="22"/>
        </w:rPr>
        <w:t xml:space="preserve"> Company; or</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(ii)</w:t>
      </w:r>
      <w:r>
        <w:rPr>
          <w:rFonts w:ascii="Arial;Helvetica;sans-serif" w:hAnsi="Arial;Helvetica;sans-serif"/>
          <w:color w:val="1F1F1F"/>
          <w:sz w:val="22"/>
        </w:rPr>
        <w:t xml:space="preserve">the sale or disposition of all or substantially all of </w:t>
      </w:r>
      <w:r>
        <w:rPr>
          <w:rFonts w:ascii="Arial;Helvetica;sans-serif" w:hAnsi="Arial;Helvetica;sans-serif"/>
          <w:sz w:val="22"/>
        </w:rPr>
        <w:t>the Company’s</w:t>
      </w:r>
      <w:r>
        <w:rPr>
          <w:rFonts w:ascii="Arial;Helvetica;sans-serif" w:hAnsi="Arial;Helvetica;sans-serif"/>
          <w:color w:val="1F1F1F"/>
          <w:sz w:val="22"/>
        </w:rPr>
        <w:t xml:space="preserve"> assets (other than a sale or disposition to one or more subsidiaries of </w:t>
      </w:r>
      <w:r>
        <w:rPr>
          <w:rFonts w:ascii="Arial;Helvetica;sans-serif" w:hAnsi="Arial;Helvetica;sans-serif"/>
          <w:sz w:val="22"/>
        </w:rPr>
        <w:t xml:space="preserve">the </w:t>
      </w:r>
      <w:r>
        <w:rPr>
          <w:rFonts w:ascii="Arial;Helvetica;sans-serif" w:hAnsi="Arial;Helvetica;sans-serif"/>
          <w:color w:val="1F1F1F"/>
          <w:sz w:val="22"/>
        </w:rPr>
        <w:t>Company), or any transaction having similar effect is consummated; or</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(iii)</w:t>
      </w:r>
      <w:r>
        <w:rPr>
          <w:rFonts w:ascii="Arial;Helvetica;sans-serif" w:hAnsi="Arial;Helvetica;sans-serif"/>
          <w:sz w:val="22"/>
        </w:rPr>
        <w:t xml:space="preserve">the </w:t>
      </w:r>
      <w:r>
        <w:rPr>
          <w:rFonts w:ascii="Arial;Helvetica;sans-serif" w:hAnsi="Arial;Helvetica;sans-serif"/>
          <w:color w:val="1F1F1F"/>
          <w:sz w:val="22"/>
        </w:rPr>
        <w:t>Company is party to a merger or consolidation that results in the holders of voting securities of</w:t>
      </w:r>
      <w:r>
        <w:rPr>
          <w:rFonts w:ascii="Arial;Helvetica;sans-serif" w:hAnsi="Arial;Helvetica;sans-serif"/>
          <w:sz w:val="22"/>
        </w:rPr>
        <w:t xml:space="preserve"> the</w:t>
      </w:r>
      <w:r>
        <w:rPr>
          <w:rFonts w:ascii="Arial;Helvetica;sans-serif" w:hAnsi="Arial;Helvetica;sans-serif"/>
          <w:color w:val="1F1F1F"/>
          <w:sz w:val="22"/>
        </w:rPr>
        <w:t xml:space="preserve"> Company outstanding immediately prior thereto failing to continue to represent (either by remaining outstanding or by being converted into voting securities of the surviving entity) more than 50% of the combined voting power of the voting securities of </w:t>
      </w:r>
      <w:r>
        <w:rPr>
          <w:rFonts w:ascii="Arial;Helvetica;sans-serif" w:hAnsi="Arial;Helvetica;sans-serif"/>
          <w:sz w:val="22"/>
        </w:rPr>
        <w:t xml:space="preserve">the </w:t>
      </w:r>
      <w:r>
        <w:rPr>
          <w:rFonts w:ascii="Arial;Helvetica;sans-serif" w:hAnsi="Arial;Helvetica;sans-serif"/>
          <w:color w:val="1F1F1F"/>
          <w:sz w:val="22"/>
        </w:rPr>
        <w:t>Company or such surviving entity outstanding immediately after such merger or consolidation; or</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3"/>
        </w:rPr>
        <w:t>(iv)</w:t>
      </w:r>
      <w:r>
        <w:rPr>
          <w:rFonts w:ascii="Arial;Helvetica;sans-serif" w:hAnsi="Arial;Helvetica;sans-serif"/>
          <w:color w:val="1F1F1F"/>
          <w:sz w:val="22"/>
        </w:rPr>
        <w:t xml:space="preserve">the dissolution or liquidation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7.6</w:t>
      </w:r>
      <w:r>
        <w:rPr>
          <w:rFonts w:ascii="Arial;Helvetica;sans-serif" w:hAnsi="Arial;Helvetica;sans-serif"/>
          <w:color w:val="1F1F1F"/>
          <w:sz w:val="22"/>
          <w:u w:val="single"/>
        </w:rPr>
        <w:t>Termination of Employment Upon Nonrenewal.</w:t>
      </w:r>
      <w:r>
        <w:rPr>
          <w:rFonts w:ascii="Arial;Helvetica;sans-serif" w:hAnsi="Arial;Helvetica;sans-serif"/>
          <w:color w:val="1F1F1F"/>
          <w:sz w:val="22"/>
        </w:rPr>
        <w:t xml:space="preserve"> In the event either party decides not to renew this Agreement for a subsequent term in accordance with Section 3.2, this Agreement will expire automatically upon completion of the then effective Term, and Executive’s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6</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 xml:space="preserve">employment with </w:t>
      </w:r>
      <w:r>
        <w:rPr>
          <w:rFonts w:ascii="Arial;Helvetica;sans-serif" w:hAnsi="Arial;Helvetica;sans-serif"/>
          <w:sz w:val="22"/>
        </w:rPr>
        <w:t xml:space="preserve">the </w:t>
      </w:r>
      <w:r>
        <w:rPr>
          <w:rFonts w:ascii="Arial;Helvetica;sans-serif" w:hAnsi="Arial;Helvetica;sans-serif"/>
          <w:color w:val="1F1F1F"/>
          <w:sz w:val="22"/>
        </w:rPr>
        <w:t>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14.8.</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xml:space="preserve">. Executive will only be entitled to receive the Severance Package if, on or before the 60th day following the Termination Date, Executive executes a full general release, releasing all claims, known or unknown, that Executive may have against </w:t>
      </w:r>
      <w:r>
        <w:rPr>
          <w:rFonts w:ascii="Arial;Helvetica;sans-serif" w:hAnsi="Arial;Helvetica;sans-serif"/>
          <w:sz w:val="22"/>
        </w:rPr>
        <w:t xml:space="preserve">the </w:t>
      </w:r>
      <w:r>
        <w:rPr>
          <w:rFonts w:ascii="Arial;Helvetica;sans-serif" w:hAnsi="Arial;Helvetica;sans-serif"/>
          <w:color w:val="1F1F1F"/>
          <w:sz w:val="22"/>
        </w:rPr>
        <w:t xml:space="preserve">Company and its officers, directors, employees and affiliated companies arising out of or any way related to Executive's employment or termination of employment with </w:t>
      </w:r>
      <w:r>
        <w:rPr>
          <w:rFonts w:ascii="Arial;Helvetica;sans-serif" w:hAnsi="Arial;Helvetica;sans-serif"/>
          <w:sz w:val="22"/>
        </w:rPr>
        <w:t xml:space="preserve">the </w:t>
      </w:r>
      <w:r>
        <w:rPr>
          <w:rFonts w:ascii="Arial;Helvetica;sans-serif" w:hAnsi="Arial;Helvetica;sans-serif"/>
          <w:color w:val="1F1F1F"/>
          <w:sz w:val="22"/>
        </w:rPr>
        <w:t xml:space="preserve">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w:t>
      </w:r>
      <w:r>
        <w:rPr>
          <w:rFonts w:ascii="Arial;Helvetica;sans-serif" w:hAnsi="Arial;Helvetica;sans-serif"/>
          <w:sz w:val="22"/>
        </w:rPr>
        <w:t xml:space="preserve">the </w:t>
      </w:r>
      <w:r>
        <w:rPr>
          <w:rFonts w:ascii="Arial;Helvetica;sans-serif" w:hAnsi="Arial;Helvetica;sans-serif"/>
          <w:color w:val="1F1F1F"/>
          <w:sz w:val="22"/>
        </w:rPr>
        <w:t>Company shall have the right to (a) terminate further provision of any portion of the Severance Package not yet paid or provided, and (b) seek reimbursement from Executive for any and all portions of the Severance Package previously paid or provided to Executive.</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xml:space="preserve">. Executive agrees that should Executive's employment terminate for any reason, Executive will immediately resign all other positions (including board membership) Executive may hold on behalf of </w:t>
      </w:r>
      <w:r>
        <w:rPr>
          <w:rFonts w:ascii="Arial;Helvetica;sans-serif" w:hAnsi="Arial;Helvetica;sans-serif"/>
          <w:sz w:val="22"/>
        </w:rPr>
        <w:t>the</w:t>
      </w:r>
      <w:r>
        <w:rPr>
          <w:rFonts w:ascii="Arial;Helvetica;sans-serif" w:hAnsi="Arial;Helvetica;sans-serif"/>
          <w:color w:val="1F1F1F"/>
          <w:sz w:val="22"/>
        </w:rPr>
        <w:t xml:space="preserve"> Company.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w:t>
      </w:r>
      <w:r>
        <w:rPr>
          <w:rFonts w:ascii="Arial;Helvetica;sans-serif" w:hAnsi="Arial;Helvetica;sans-serif"/>
          <w:sz w:val="22"/>
        </w:rPr>
        <w:t xml:space="preserve"> the</w:t>
      </w:r>
      <w:r>
        <w:rPr>
          <w:rFonts w:ascii="Arial;Helvetica;sans-serif" w:hAnsi="Arial;Helvetica;sans-serif"/>
          <w:color w:val="1F1F1F"/>
          <w:sz w:val="22"/>
        </w:rPr>
        <w:t xml:space="preserve"> 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bidi w:val="0"/>
        <w:spacing w:before="0" w:after="0"/>
        <w:ind w:left="216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(b)</w:t>
      </w:r>
      <w:r>
        <w:rPr>
          <w:rFonts w:ascii="Arial;Helvetica;sans-serif" w:hAnsi="Arial;Helvetica;sans-serif"/>
          <w:sz w:val="22"/>
        </w:rPr>
        <w:t>It is the intent of the Company and Executive that any right of Executive to receive installment payments hereunder shall, for all purposes of Section 409A of the Code, be treated as a right to a series of separate payments.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(c)</w:t>
      </w:r>
      <w:r>
        <w:rPr>
          <w:rFonts w:ascii="Arial;Helvetica;sans-serif" w:hAnsi="Arial;Helvetica;sans-serif"/>
          <w:sz w:val="22"/>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the Company does not guarantee any particular tax effect for income provided to Executive pursuant to this Agreement.</w:t>
      </w:r>
      <w:r>
        <w:rPr>
          <w:rFonts w:ascii="Arial;Helvetica;sans-serif" w:hAnsi="Arial;Helvetica;sans-serif"/>
          <w:sz w:val="22"/>
        </w:rPr>
        <w:t xml:space="preserve"> In any event, except for the Company’s responsibility to withhold applicable income and employment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7</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sz w:val="22"/>
        </w:rPr>
        <w:t>taxes from compensation paid or provided to Executive, the Company shall not be responsible for the payment of any applicable taxes incurred by Executive on compensation paid or provided to Executive pursuant to this Agreement.</w:t>
      </w:r>
    </w:p>
    <w:p>
      <w:pPr>
        <w:pStyle w:val="TextBody"/>
        <w:bidi w:val="0"/>
        <w:spacing w:before="0" w:after="0"/>
        <w:ind w:left="0" w:right="0" w:firstLine="8"/>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8.</w:t>
      </w:r>
      <w:r>
        <w:rPr>
          <w:rFonts w:ascii="Arial;Helvetica;sans-serif" w:hAnsi="Arial;Helvetica;sans-serif"/>
          <w:sz w:val="22"/>
          <w:u w:val="single"/>
        </w:rPr>
        <w:t>No Violation of Rights of Third Parties.</w:t>
      </w:r>
      <w:r>
        <w:rPr>
          <w:rFonts w:ascii="Arial;Helvetica;sans-serif" w:hAnsi="Arial;Helvetica;sans-serif"/>
          <w:sz w:val="22"/>
        </w:rPr>
        <w:t xml:space="preserve">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w:t>
      </w:r>
      <w:r>
        <w:rPr>
          <w:rFonts w:ascii="Arial;Helvetica;sans-serif" w:hAnsi="Arial;Helvetica;sans-serif"/>
          <w:sz w:val="22"/>
          <w:u w:val="single"/>
        </w:rPr>
        <w:t>Other Covenants.</w:t>
      </w:r>
      <w:r>
        <w:rPr>
          <w:rFonts w:ascii="Arial;Helvetica;sans-serif" w:hAnsi="Arial;Helvetica;sans-serif"/>
          <w:sz w:val="22"/>
        </w:rPr>
        <w:t xml:space="preserve"> Executive hereby makes the following covenants, each of which Executive acknowledges and agrees are a material part of this Agreement:</w:t>
      </w:r>
    </w:p>
    <w:p>
      <w:pPr>
        <w:pStyle w:val="TextBody"/>
        <w:bidi w:val="0"/>
        <w:spacing w:before="0" w:after="0"/>
        <w:ind w:left="0" w:right="0" w:firstLine="8"/>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9.2</w:t>
      </w:r>
      <w:r>
        <w:rPr>
          <w:rFonts w:ascii="Arial;Helvetica;sans-serif" w:hAnsi="Arial;Helvetica;sans-serif"/>
          <w:sz w:val="22"/>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9.3</w:t>
      </w:r>
      <w:r>
        <w:rPr>
          <w:rFonts w:ascii="Arial;Helvetica;sans-serif" w:hAnsi="Arial;Helvetica;sans-serif"/>
          <w:sz w:val="22"/>
        </w:rPr>
        <w:t>During the Term and after the termination thereof, neither Executive nor the Company will disparage each other, or the Company’s products, services, agents or employees.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9.4</w:t>
      </w:r>
      <w:r>
        <w:rPr>
          <w:rFonts w:ascii="Arial;Helvetica;sans-serif" w:hAnsi="Arial;Helvetica;sans-serif"/>
          <w:sz w:val="22"/>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11.</w:t>
      </w:r>
      <w:r>
        <w:rPr>
          <w:rFonts w:ascii="Arial;Helvetica;sans-serif" w:hAnsi="Arial;Helvetica;sans-serif"/>
          <w:sz w:val="22"/>
          <w:u w:val="single"/>
        </w:rPr>
        <w:t>Non-Competition; Nonsolicitation of Company's Employees.</w:t>
      </w:r>
      <w:r>
        <w:rPr>
          <w:rFonts w:ascii="Arial;Helvetica;sans-serif" w:hAnsi="Arial;Helvetica;sans-serif"/>
          <w:sz w:val="22"/>
        </w:rPr>
        <w:t xml:space="preserve"> Executive acknowledges that in the course of her employment with the Company she will serve as a member </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8</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sz w:val="22"/>
        </w:rPr>
        <w:t>of the Company’s senior management and will become familiar with the Company's trade secrets and with other confidential and proprietary information and that her services will be of special, unique and extraordinary value to the Company. Executive further acknowledges that the Company's business of  is national in scope and that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any business that develops or administers educational services to degree-granting institutions of higher education, or (ii) any other business of the Company in which Executive had significant involvement prior to Executive's separation; (b) induce or attempt to induce any employee of the Company to leave the employ of the Company, or in any way interfere with the relationship between the Company and any employee thereof, or (c) induce or attempt to induce any customer, supplier, licensee or other business relation of the Company to cease doing business with, or modify its business relationship with, the Company, or in any way interfere with or hinder the relationship between any such customer, supplier, licensee or business relation and the Company, as applicable.</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13.</w:t>
      </w:r>
      <w:r>
        <w:rPr>
          <w:rFonts w:ascii="Arial;Helvetica;sans-serif" w:hAnsi="Arial;Helvetica;sans-serif"/>
          <w:sz w:val="22"/>
          <w:u w:val="single"/>
        </w:rPr>
        <w:t>Insurance: Indemnification</w:t>
      </w:r>
      <w:r>
        <w:rPr>
          <w:rFonts w:ascii="Arial;Helvetica;sans-serif" w:hAnsi="Arial;Helvetica;sans-serif"/>
          <w:sz w:val="22"/>
        </w:rPr>
        <w:t>.</w:t>
      </w:r>
    </w:p>
    <w:p>
      <w:pPr>
        <w:pStyle w:val="TextBody"/>
        <w:bidi w:val="0"/>
        <w:spacing w:before="0" w:after="0"/>
        <w:ind w:left="136" w:right="0" w:firstLine="1441"/>
        <w:jc w:val="left"/>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Arial;Helvetica;sans-serif" w:hAnsi="Arial;Helvetica;sans-serif"/>
                <w:color w:val="1F1F1F"/>
                <w:sz w:val="22"/>
              </w:rPr>
            </w:pPr>
            <w:r>
              <w:rPr>
                <w:rFonts w:ascii="Arial;Helvetica;sans-serif" w:hAnsi="Arial;Helvetica;sans-serif"/>
                <w:color w:val="1F1F1F"/>
                <w:sz w:val="22"/>
              </w:rPr>
              <w:t>13.1</w:t>
            </w:r>
          </w:p>
        </w:tc>
        <w:tc>
          <w:tcPr>
            <w:tcW w:w="97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During the Term, Executive will be covered by the Company’s director and officer insurance policy to the same extent as all other senior executive officers of the Company.</w:t>
            </w:r>
          </w:p>
        </w:tc>
      </w:tr>
    </w:tbl>
    <w:p>
      <w:pPr>
        <w:pStyle w:val="TextBody"/>
        <w:bidi w:val="0"/>
        <w:spacing w:before="0" w:after="0"/>
        <w:ind w:left="21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440"/>
        <w:gridCol w:w="9742"/>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Arial;Helvetica;sans-serif" w:hAnsi="Arial;Helvetica;sans-serif"/>
                <w:color w:val="1F1F1F"/>
                <w:sz w:val="22"/>
              </w:rPr>
            </w:pPr>
            <w:r>
              <w:rPr>
                <w:rFonts w:ascii="Arial;Helvetica;sans-serif" w:hAnsi="Arial;Helvetica;sans-serif"/>
                <w:color w:val="1F1F1F"/>
                <w:sz w:val="22"/>
              </w:rPr>
              <w:t>13.2</w:t>
            </w:r>
          </w:p>
        </w:tc>
        <w:tc>
          <w:tcPr>
            <w:tcW w:w="97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Following the execution of this Agreement, the director and officer indemnification agreement executed by the Company and Executive will continue in effect in accordance with its terms.</w:t>
            </w:r>
          </w:p>
        </w:tc>
      </w:tr>
    </w:tbl>
    <w:p>
      <w:pPr>
        <w:pStyle w:val="TextBody"/>
        <w:bidi w:val="0"/>
        <w:spacing w:before="0" w:after="0"/>
        <w:ind w:left="0" w:right="0" w:hanging="0"/>
        <w:jc w:val="left"/>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w:t>
      </w:r>
      <w:r>
        <w:rPr>
          <w:rFonts w:ascii="Arial;Helvetica;sans-serif" w:hAnsi="Arial;Helvetica;sans-serif"/>
          <w:sz w:val="22"/>
          <w:u w:val="single"/>
        </w:rPr>
        <w:t>General Provisions.</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14.1</w:t>
      </w:r>
      <w:r>
        <w:rPr>
          <w:rFonts w:ascii="Arial;Helvetica;sans-serif" w:hAnsi="Arial;Helvetica;sans-serif"/>
          <w:sz w:val="22"/>
          <w:u w:val="single"/>
        </w:rPr>
        <w:t>Successors and Assigns</w:t>
      </w:r>
      <w:r>
        <w:rPr>
          <w:rFonts w:ascii="Arial;Helvetica;sans-serif" w:hAnsi="Arial;Helvetica;sans-serif"/>
          <w:sz w:val="22"/>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before="0" w:after="0"/>
        <w:ind w:left="0" w:right="0" w:hanging="0"/>
        <w:jc w:val="both"/>
        <w:rPr/>
      </w:pPr>
      <w:r>
        <w:rP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9</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14.5</w:t>
      </w:r>
      <w:r>
        <w:rPr>
          <w:rFonts w:ascii="Arial;Helvetica;sans-serif" w:hAnsi="Arial;Helvetica;sans-serif"/>
          <w:sz w:val="22"/>
          <w:u w:val="single"/>
        </w:rPr>
        <w:t>Interpretation; Construction.</w:t>
      </w:r>
      <w:r>
        <w:rPr>
          <w:rFonts w:ascii="Arial;Helvetica;sans-serif" w:hAnsi="Arial;Helvetica;sans-serif"/>
          <w:sz w:val="22"/>
        </w:rPr>
        <w:t xml:space="preserve">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14.8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pStyle w:val="TextBody"/>
        <w:bidi w:val="0"/>
        <w:spacing w:before="0" w:after="0"/>
        <w:ind w:left="0" w:right="0" w:hanging="0"/>
        <w:jc w:val="both"/>
        <w:rPr/>
      </w:pPr>
      <w:r>
        <w:rPr/>
        <w:t>​</w:t>
      </w:r>
    </w:p>
    <w:p>
      <w:pPr>
        <w:pStyle w:val="TextBody"/>
        <w:bidi w:val="0"/>
        <w:ind w:left="0" w:right="0" w:hanging="0"/>
        <w:jc w:val="both"/>
        <w:rPr>
          <w:rFonts w:ascii="Arial;Helvetica;sans-serif" w:hAnsi="Arial;Helvetica;sans-serif"/>
          <w:sz w:val="22"/>
        </w:rPr>
      </w:pPr>
      <w:r>
        <w:rPr>
          <w:rFonts w:ascii="Arial;Helvetica;sans-serif" w:hAnsi="Arial;Helvetica;sans-serif"/>
          <w:color w:val="1F1F1F"/>
          <w:sz w:val="22"/>
        </w:rPr>
        <w:t>15.</w:t>
      </w:r>
      <w:r>
        <w:rPr>
          <w:rFonts w:ascii="Arial;Helvetica;sans-serif" w:hAnsi="Arial;Helvetica;sans-serif"/>
          <w:sz w:val="22"/>
          <w:u w:val="single"/>
        </w:rPr>
        <w:t>Entire Agreement.</w:t>
      </w:r>
      <w:r>
        <w:rPr>
          <w:rFonts w:ascii="Arial;Helvetica;sans-serif" w:hAnsi="Arial;Helvetica;sans-serif"/>
          <w:sz w:val="22"/>
        </w:rPr>
        <w:t xml:space="preserve"> 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pStyle w:val="TextBody"/>
        <w:bidi w:val="0"/>
        <w:spacing w:before="0" w:after="0"/>
        <w:ind w:left="0" w:right="0" w:hanging="0"/>
        <w:jc w:val="both"/>
        <w:rPr/>
      </w:pPr>
      <w:r>
        <w:rPr/>
        <w:t>​</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EXECUTIVE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Dated: 4/30/2025By: /s/ Kathy J. Claypatch</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Name:Kathy J. Claypatch</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bookmarkStart w:id="765" w:name="_Hlk103086410"/>
      <w:bookmarkEnd w:id="765"/>
      <w:r>
        <w:rPr>
          <w:rFonts w:ascii="Arial;Helvetica;sans-serif" w:hAnsi="Arial;Helvetica;sans-serif"/>
          <w:sz w:val="22"/>
        </w:rPr>
        <w:t>Address:2600 West Camelback Road</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Phoenix, Arizona 85017</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GRAND CANYON EDUCATION,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Dated: 4/30/2025By: /s/ Daniel E. Bachus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Name:Daniel E. Bachus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Title:Chief Financial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Address:2600 West Camelback Road</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Phoenix, Arizona 85017</w:t>
      </w:r>
    </w:p>
    <w:p>
      <w:pPr>
        <w:pStyle w:val="TextBody"/>
        <w:bidi w:val="0"/>
        <w:spacing w:before="14" w:after="0"/>
        <w:ind w:left="20" w:right="0" w:hanging="0"/>
        <w:jc w:val="left"/>
        <w:rPr>
          <w:rFonts w:ascii="Arial;Helvetica;sans-serif" w:hAnsi="Arial;Helvetica;sans-serif"/>
          <w:color w:val="1F1F1F"/>
          <w:sz w:val="22"/>
        </w:rPr>
      </w:pPr>
      <w:r>
        <w:rPr>
          <w:rFonts w:ascii="Arial;Helvetica;sans-serif" w:hAnsi="Arial;Helvetica;sans-serif"/>
          <w:color w:val="1F1F1F"/>
          <w:sz w:val="22"/>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66" w:name="lope-20250331xex31d1.htm"/>
      <w:bookmarkStart w:id="767" w:name="kslope20250331xex31d1"/>
      <w:bookmarkEnd w:id="766"/>
      <w:bookmarkEnd w:id="767"/>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2025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438" w:type="dxa"/>
        <w:jc w:val="center"/>
        <w:tblInd w:w="0" w:type="dxa"/>
        <w:tblLayout w:type="fixed"/>
        <w:tblCellMar>
          <w:top w:w="0" w:type="dxa"/>
          <w:left w:w="0" w:type="dxa"/>
          <w:bottom w:w="0" w:type="dxa"/>
          <w:right w:w="0" w:type="dxa"/>
        </w:tblCellMar>
      </w:tblPr>
      <w:tblGrid>
        <w:gridCol w:w="1636"/>
        <w:gridCol w:w="326"/>
        <w:gridCol w:w="2476"/>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68" w:name="lope-20250331xex31d2.htm"/>
      <w:bookmarkStart w:id="769" w:name="kslope20250331xex31d2"/>
      <w:bookmarkEnd w:id="768"/>
      <w:bookmarkEnd w:id="769"/>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2025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378" w:type="dxa"/>
        <w:jc w:val="center"/>
        <w:tblInd w:w="0" w:type="dxa"/>
        <w:tblLayout w:type="fixed"/>
        <w:tblCellMar>
          <w:top w:w="0" w:type="dxa"/>
          <w:left w:w="0" w:type="dxa"/>
          <w:bottom w:w="0" w:type="dxa"/>
          <w:right w:w="0" w:type="dxa"/>
        </w:tblCellMar>
      </w:tblPr>
      <w:tblGrid>
        <w:gridCol w:w="1636"/>
        <w:gridCol w:w="326"/>
        <w:gridCol w:w="2416"/>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70" w:name="lope-20250331xex32d1.htm"/>
      <w:bookmarkStart w:id="771" w:name="kslope20250331xex32d1"/>
      <w:bookmarkEnd w:id="770"/>
      <w:bookmarkEnd w:id="771"/>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2025 as filed with the Securities and Exchange Commission on the date hereof (the “Report”), I, Brian E. Mueller,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772" w:name="lope-20250331xex32d2.htm"/>
      <w:bookmarkStart w:id="773" w:name="kslope20250331xex32d2"/>
      <w:bookmarkEnd w:id="772"/>
      <w:bookmarkEnd w:id="773"/>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2025 as filed with the Securities and Exchange Commission on the date hereof (the “Report”), I, Daniel E. Bachus,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2025</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style:italic"/>
    <w:charset w:val="01"/>
    <w:family w:val="auto"/>
    <w:pitch w:val="default"/>
  </w:font>
  <w:font w:name="Times New Roman">
    <w:charset w:val="01"/>
    <w:family w:val="auto"/>
    <w:pitch w:val="default"/>
  </w:font>
  <w:font w:name="Times New Roman">
    <w:altName w:val="white-space:pre-wrap"/>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21377</Words>
  <Characters>119081</Characters>
  <CharactersWithSpaces>140921</CharactersWithSpaces>
  <Paragraphs>3026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