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200660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16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8-A</w:t>
      </w:r>
    </w:p>
    <w:p>
      <w:pPr>
        <w:spacing w:after="0" w:line="226" w:lineRule="exact"/>
        <w:rPr>
          <w:sz w:val="24"/>
          <w:szCs w:val="24"/>
          <w:color w:val="auto"/>
        </w:rPr>
      </w:pPr>
    </w:p>
    <w:p>
      <w:pPr>
        <w:jc w:val="center"/>
        <w:spacing w:after="0" w:line="243" w:lineRule="auto"/>
        <w:rPr>
          <w:sz w:val="20"/>
          <w:szCs w:val="20"/>
          <w:color w:val="auto"/>
        </w:rPr>
      </w:pPr>
      <w:r>
        <w:rPr>
          <w:rFonts w:ascii="Arial" w:cs="Arial" w:eastAsia="Arial" w:hAnsi="Arial"/>
          <w:sz w:val="22"/>
          <w:szCs w:val="22"/>
          <w:b w:val="1"/>
          <w:bCs w:val="1"/>
          <w:color w:val="auto"/>
        </w:rPr>
        <w:t>FOR REGISTRATION OF CERTAIN CLASSES OF SECURITIES PURSUANT TO SECTION 12(b) OR (g) OF THE SECURITIES EXCHANGE ACT OF 1934</w:t>
      </w:r>
    </w:p>
    <w:p>
      <w:pPr>
        <w:spacing w:after="0" w:line="161"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Grand Canyon Education,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20"/>
        </w:trPr>
        <w:tc>
          <w:tcPr>
            <w:tcW w:w="5420" w:type="dxa"/>
            <w:vAlign w:val="bottom"/>
          </w:tcPr>
          <w:p>
            <w:pPr>
              <w:jc w:val="center"/>
              <w:spacing w:after="0"/>
              <w:rPr>
                <w:sz w:val="20"/>
                <w:szCs w:val="20"/>
                <w:color w:val="auto"/>
              </w:rPr>
            </w:pPr>
            <w:r>
              <w:rPr>
                <w:rFonts w:ascii="Arial" w:cs="Arial" w:eastAsia="Arial" w:hAnsi="Arial"/>
                <w:sz w:val="18"/>
                <w:szCs w:val="18"/>
                <w:b w:val="1"/>
                <w:bCs w:val="1"/>
                <w:color w:val="auto"/>
                <w:w w:val="91"/>
              </w:rPr>
              <w:t>Delaware</w:t>
            </w:r>
          </w:p>
        </w:tc>
        <w:tc>
          <w:tcPr>
            <w:tcW w:w="6000" w:type="dxa"/>
            <w:vAlign w:val="bottom"/>
            <w:gridSpan w:val="2"/>
          </w:tcPr>
          <w:p>
            <w:pPr>
              <w:jc w:val="right"/>
              <w:ind w:right="2190"/>
              <w:spacing w:after="0"/>
              <w:rPr>
                <w:sz w:val="20"/>
                <w:szCs w:val="20"/>
                <w:color w:val="auto"/>
              </w:rPr>
            </w:pPr>
            <w:r>
              <w:rPr>
                <w:rFonts w:ascii="Arial" w:cs="Arial" w:eastAsia="Arial" w:hAnsi="Arial"/>
                <w:sz w:val="18"/>
                <w:szCs w:val="18"/>
                <w:b w:val="1"/>
                <w:bCs w:val="1"/>
                <w:color w:val="auto"/>
              </w:rPr>
              <w:t>20-3356009</w:t>
            </w:r>
          </w:p>
        </w:tc>
      </w:tr>
      <w:tr>
        <w:trPr>
          <w:trHeight w:val="230"/>
        </w:trPr>
        <w:tc>
          <w:tcPr>
            <w:tcW w:w="5420" w:type="dxa"/>
            <w:vAlign w:val="bottom"/>
          </w:tcPr>
          <w:p>
            <w:pPr>
              <w:jc w:val="center"/>
              <w:spacing w:after="0"/>
              <w:rPr>
                <w:sz w:val="20"/>
                <w:szCs w:val="20"/>
                <w:color w:val="auto"/>
              </w:rPr>
            </w:pPr>
            <w:r>
              <w:rPr>
                <w:rFonts w:ascii="Arial" w:cs="Arial" w:eastAsia="Arial" w:hAnsi="Arial"/>
                <w:sz w:val="18"/>
                <w:szCs w:val="18"/>
                <w:color w:val="auto"/>
                <w:w w:val="91"/>
              </w:rPr>
              <w:t>(State of incorporation or organization)</w:t>
            </w:r>
          </w:p>
        </w:tc>
        <w:tc>
          <w:tcPr>
            <w:tcW w:w="580" w:type="dxa"/>
            <w:vAlign w:val="bottom"/>
          </w:tcPr>
          <w:p>
            <w:pPr>
              <w:spacing w:after="0"/>
              <w:rPr>
                <w:sz w:val="20"/>
                <w:szCs w:val="20"/>
                <w:color w:val="auto"/>
              </w:rPr>
            </w:pPr>
          </w:p>
        </w:tc>
        <w:tc>
          <w:tcPr>
            <w:tcW w:w="5420" w:type="dxa"/>
            <w:vAlign w:val="bottom"/>
          </w:tcPr>
          <w:p>
            <w:pPr>
              <w:jc w:val="center"/>
              <w:spacing w:after="0"/>
              <w:rPr>
                <w:sz w:val="20"/>
                <w:szCs w:val="20"/>
                <w:color w:val="auto"/>
              </w:rPr>
            </w:pPr>
            <w:r>
              <w:rPr>
                <w:rFonts w:ascii="Arial" w:cs="Arial" w:eastAsia="Arial" w:hAnsi="Arial"/>
                <w:sz w:val="18"/>
                <w:szCs w:val="18"/>
                <w:color w:val="auto"/>
                <w:w w:val="94"/>
              </w:rPr>
              <w:t>(I.R.S. Employer Identification No.)</w:t>
            </w:r>
          </w:p>
        </w:tc>
      </w:tr>
      <w:tr>
        <w:trPr>
          <w:trHeight w:val="414"/>
        </w:trPr>
        <w:tc>
          <w:tcPr>
            <w:tcW w:w="5420" w:type="dxa"/>
            <w:vAlign w:val="bottom"/>
          </w:tcPr>
          <w:p>
            <w:pPr>
              <w:jc w:val="center"/>
              <w:spacing w:after="0"/>
              <w:rPr>
                <w:sz w:val="20"/>
                <w:szCs w:val="20"/>
                <w:color w:val="auto"/>
              </w:rPr>
            </w:pPr>
            <w:r>
              <w:rPr>
                <w:rFonts w:ascii="Arial" w:cs="Arial" w:eastAsia="Arial" w:hAnsi="Arial"/>
                <w:sz w:val="18"/>
                <w:szCs w:val="18"/>
                <w:b w:val="1"/>
                <w:bCs w:val="1"/>
                <w:color w:val="auto"/>
                <w:w w:val="90"/>
              </w:rPr>
              <w:t>3300 West Camelback Road</w:t>
            </w:r>
          </w:p>
        </w:tc>
        <w:tc>
          <w:tcPr>
            <w:tcW w:w="580" w:type="dxa"/>
            <w:vAlign w:val="bottom"/>
          </w:tcPr>
          <w:p>
            <w:pPr>
              <w:spacing w:after="0"/>
              <w:rPr>
                <w:sz w:val="24"/>
                <w:szCs w:val="24"/>
                <w:color w:val="auto"/>
              </w:rPr>
            </w:pPr>
          </w:p>
        </w:tc>
        <w:tc>
          <w:tcPr>
            <w:tcW w:w="5420" w:type="dxa"/>
            <w:vAlign w:val="bottom"/>
          </w:tcPr>
          <w:p>
            <w:pPr>
              <w:spacing w:after="0"/>
              <w:rPr>
                <w:sz w:val="24"/>
                <w:szCs w:val="24"/>
                <w:color w:val="auto"/>
              </w:rPr>
            </w:pPr>
          </w:p>
        </w:tc>
      </w:tr>
      <w:tr>
        <w:trPr>
          <w:trHeight w:val="220"/>
        </w:trPr>
        <w:tc>
          <w:tcPr>
            <w:tcW w:w="5420" w:type="dxa"/>
            <w:vAlign w:val="bottom"/>
          </w:tcPr>
          <w:p>
            <w:pPr>
              <w:jc w:val="center"/>
              <w:spacing w:after="0"/>
              <w:rPr>
                <w:sz w:val="20"/>
                <w:szCs w:val="20"/>
                <w:color w:val="auto"/>
              </w:rPr>
            </w:pPr>
            <w:r>
              <w:rPr>
                <w:rFonts w:ascii="Arial" w:cs="Arial" w:eastAsia="Arial" w:hAnsi="Arial"/>
                <w:sz w:val="18"/>
                <w:szCs w:val="18"/>
                <w:b w:val="1"/>
                <w:bCs w:val="1"/>
                <w:color w:val="auto"/>
                <w:w w:val="90"/>
              </w:rPr>
              <w:t>Phoenix, Arizona</w:t>
            </w:r>
          </w:p>
        </w:tc>
        <w:tc>
          <w:tcPr>
            <w:tcW w:w="6000" w:type="dxa"/>
            <w:vAlign w:val="bottom"/>
            <w:gridSpan w:val="2"/>
          </w:tcPr>
          <w:p>
            <w:pPr>
              <w:jc w:val="right"/>
              <w:ind w:right="2390"/>
              <w:spacing w:after="0"/>
              <w:rPr>
                <w:sz w:val="20"/>
                <w:szCs w:val="20"/>
                <w:color w:val="auto"/>
              </w:rPr>
            </w:pPr>
            <w:r>
              <w:rPr>
                <w:rFonts w:ascii="Arial" w:cs="Arial" w:eastAsia="Arial" w:hAnsi="Arial"/>
                <w:sz w:val="18"/>
                <w:szCs w:val="18"/>
                <w:b w:val="1"/>
                <w:bCs w:val="1"/>
                <w:color w:val="auto"/>
              </w:rPr>
              <w:t>85017</w:t>
            </w:r>
          </w:p>
        </w:tc>
      </w:tr>
      <w:tr>
        <w:trPr>
          <w:trHeight w:val="230"/>
        </w:trPr>
        <w:tc>
          <w:tcPr>
            <w:tcW w:w="5420" w:type="dxa"/>
            <w:vAlign w:val="bottom"/>
          </w:tcPr>
          <w:p>
            <w:pPr>
              <w:jc w:val="center"/>
              <w:spacing w:after="0"/>
              <w:rPr>
                <w:sz w:val="20"/>
                <w:szCs w:val="20"/>
                <w:color w:val="auto"/>
              </w:rPr>
            </w:pPr>
            <w:r>
              <w:rPr>
                <w:rFonts w:ascii="Arial" w:cs="Arial" w:eastAsia="Arial" w:hAnsi="Arial"/>
                <w:sz w:val="18"/>
                <w:szCs w:val="18"/>
                <w:color w:val="auto"/>
                <w:w w:val="92"/>
              </w:rPr>
              <w:t>(Address of principal executive offices)</w:t>
            </w:r>
          </w:p>
        </w:tc>
        <w:tc>
          <w:tcPr>
            <w:tcW w:w="580" w:type="dxa"/>
            <w:vAlign w:val="bottom"/>
          </w:tcPr>
          <w:p>
            <w:pPr>
              <w:spacing w:after="0"/>
              <w:rPr>
                <w:sz w:val="20"/>
                <w:szCs w:val="20"/>
                <w:color w:val="auto"/>
              </w:rPr>
            </w:pPr>
          </w:p>
        </w:tc>
        <w:tc>
          <w:tcPr>
            <w:tcW w:w="5420" w:type="dxa"/>
            <w:vAlign w:val="bottom"/>
          </w:tcPr>
          <w:p>
            <w:pPr>
              <w:jc w:val="center"/>
              <w:spacing w:after="0"/>
              <w:rPr>
                <w:sz w:val="20"/>
                <w:szCs w:val="20"/>
                <w:color w:val="auto"/>
              </w:rPr>
            </w:pPr>
            <w:r>
              <w:rPr>
                <w:rFonts w:ascii="Arial" w:cs="Arial" w:eastAsia="Arial" w:hAnsi="Arial"/>
                <w:sz w:val="18"/>
                <w:szCs w:val="18"/>
                <w:color w:val="auto"/>
                <w:w w:val="94"/>
              </w:rPr>
              <w:t>(Zip Code)</w:t>
            </w:r>
          </w:p>
        </w:tc>
      </w:tr>
      <w:tr>
        <w:trPr>
          <w:trHeight w:val="324"/>
        </w:trPr>
        <w:tc>
          <w:tcPr>
            <w:tcW w:w="5420" w:type="dxa"/>
            <w:vAlign w:val="bottom"/>
          </w:tcPr>
          <w:p>
            <w:pPr>
              <w:spacing w:after="0"/>
              <w:rPr>
                <w:sz w:val="20"/>
                <w:szCs w:val="20"/>
                <w:color w:val="auto"/>
              </w:rPr>
            </w:pPr>
            <w:r>
              <w:rPr>
                <w:rFonts w:ascii="Arial" w:cs="Arial" w:eastAsia="Arial" w:hAnsi="Arial"/>
                <w:sz w:val="18"/>
                <w:szCs w:val="18"/>
                <w:color w:val="auto"/>
              </w:rPr>
              <w:t>Securities to be registered pursuant to Section 12(b) of the Act:</w:t>
            </w:r>
          </w:p>
        </w:tc>
        <w:tc>
          <w:tcPr>
            <w:tcW w:w="580" w:type="dxa"/>
            <w:vAlign w:val="bottom"/>
          </w:tcPr>
          <w:p>
            <w:pPr>
              <w:spacing w:after="0"/>
              <w:rPr>
                <w:sz w:val="24"/>
                <w:szCs w:val="24"/>
                <w:color w:val="auto"/>
              </w:rPr>
            </w:pPr>
          </w:p>
        </w:tc>
        <w:tc>
          <w:tcPr>
            <w:tcW w:w="5420" w:type="dxa"/>
            <w:vAlign w:val="bottom"/>
          </w:tcPr>
          <w:p>
            <w:pPr>
              <w:spacing w:after="0"/>
              <w:rPr>
                <w:sz w:val="24"/>
                <w:szCs w:val="24"/>
                <w:color w:val="auto"/>
              </w:rPr>
            </w:pPr>
          </w:p>
        </w:tc>
      </w:tr>
      <w:tr>
        <w:trPr>
          <w:trHeight w:val="414"/>
        </w:trPr>
        <w:tc>
          <w:tcPr>
            <w:tcW w:w="5420" w:type="dxa"/>
            <w:vAlign w:val="bottom"/>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580" w:type="dxa"/>
            <w:vAlign w:val="bottom"/>
          </w:tcPr>
          <w:p>
            <w:pPr>
              <w:spacing w:after="0"/>
              <w:rPr>
                <w:sz w:val="24"/>
                <w:szCs w:val="24"/>
                <w:color w:val="auto"/>
              </w:rPr>
            </w:pPr>
          </w:p>
        </w:tc>
        <w:tc>
          <w:tcPr>
            <w:tcW w:w="5420" w:type="dxa"/>
            <w:vAlign w:val="bottom"/>
          </w:tcPr>
          <w:p>
            <w:pPr>
              <w:jc w:val="center"/>
              <w:spacing w:after="0"/>
              <w:rPr>
                <w:sz w:val="20"/>
                <w:szCs w:val="20"/>
                <w:color w:val="auto"/>
              </w:rPr>
            </w:pPr>
            <w:r>
              <w:rPr>
                <w:rFonts w:ascii="Arial" w:cs="Arial" w:eastAsia="Arial" w:hAnsi="Arial"/>
                <w:sz w:val="18"/>
                <w:szCs w:val="18"/>
                <w:b w:val="1"/>
                <w:bCs w:val="1"/>
                <w:color w:val="auto"/>
                <w:w w:val="88"/>
              </w:rPr>
              <w:t>Name of each exchange on which</w:t>
            </w:r>
          </w:p>
        </w:tc>
      </w:tr>
      <w:tr>
        <w:trPr>
          <w:trHeight w:val="234"/>
        </w:trPr>
        <w:tc>
          <w:tcPr>
            <w:tcW w:w="54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5"/>
              </w:rPr>
              <w:t>to be so registered</w:t>
            </w:r>
          </w:p>
        </w:tc>
        <w:tc>
          <w:tcPr>
            <w:tcW w:w="580" w:type="dxa"/>
            <w:vAlign w:val="bottom"/>
          </w:tcPr>
          <w:p>
            <w:pPr>
              <w:spacing w:after="0"/>
              <w:rPr>
                <w:sz w:val="20"/>
                <w:szCs w:val="20"/>
                <w:color w:val="auto"/>
              </w:rPr>
            </w:pPr>
          </w:p>
        </w:tc>
        <w:tc>
          <w:tcPr>
            <w:tcW w:w="54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5"/>
              </w:rPr>
              <w:t>each class is to be registered</w:t>
            </w:r>
          </w:p>
        </w:tc>
      </w:tr>
      <w:tr>
        <w:trPr>
          <w:trHeight w:val="224"/>
        </w:trPr>
        <w:tc>
          <w:tcPr>
            <w:tcW w:w="5420" w:type="dxa"/>
            <w:vAlign w:val="bottom"/>
          </w:tcPr>
          <w:p>
            <w:pPr>
              <w:jc w:val="center"/>
              <w:spacing w:after="0"/>
              <w:rPr>
                <w:sz w:val="20"/>
                <w:szCs w:val="20"/>
                <w:color w:val="auto"/>
              </w:rPr>
            </w:pPr>
            <w:r>
              <w:rPr>
                <w:rFonts w:ascii="Arial" w:cs="Arial" w:eastAsia="Arial" w:hAnsi="Arial"/>
                <w:sz w:val="18"/>
                <w:szCs w:val="18"/>
                <w:color w:val="auto"/>
                <w:w w:val="89"/>
              </w:rPr>
              <w:t>Common stock, par value $0.01 per share</w:t>
            </w:r>
          </w:p>
        </w:tc>
        <w:tc>
          <w:tcPr>
            <w:tcW w:w="580" w:type="dxa"/>
            <w:vAlign w:val="bottom"/>
          </w:tcPr>
          <w:p>
            <w:pPr>
              <w:spacing w:after="0"/>
              <w:rPr>
                <w:sz w:val="19"/>
                <w:szCs w:val="19"/>
                <w:color w:val="auto"/>
              </w:rPr>
            </w:pPr>
          </w:p>
        </w:tc>
        <w:tc>
          <w:tcPr>
            <w:tcW w:w="5420" w:type="dxa"/>
            <w:vAlign w:val="bottom"/>
          </w:tcPr>
          <w:p>
            <w:pPr>
              <w:jc w:val="center"/>
              <w:spacing w:after="0"/>
              <w:rPr>
                <w:sz w:val="20"/>
                <w:szCs w:val="20"/>
                <w:color w:val="auto"/>
              </w:rPr>
            </w:pPr>
            <w:r>
              <w:rPr>
                <w:rFonts w:ascii="Arial" w:cs="Arial" w:eastAsia="Arial" w:hAnsi="Arial"/>
                <w:sz w:val="18"/>
                <w:szCs w:val="18"/>
                <w:color w:val="auto"/>
                <w:w w:val="95"/>
              </w:rPr>
              <w:t>The NASDAQ Stock Market LLC</w:t>
            </w:r>
          </w:p>
        </w:tc>
      </w:tr>
    </w:tbl>
    <w:p>
      <w:pPr>
        <w:spacing w:after="0" w:line="79" w:lineRule="exact"/>
        <w:rPr>
          <w:sz w:val="24"/>
          <w:szCs w:val="24"/>
          <w:color w:val="auto"/>
        </w:rPr>
      </w:pPr>
    </w:p>
    <w:p>
      <w:pPr>
        <w:ind w:right="80"/>
        <w:spacing w:after="0" w:line="233" w:lineRule="exact"/>
        <w:rPr>
          <w:sz w:val="20"/>
          <w:szCs w:val="20"/>
          <w:color w:val="auto"/>
        </w:rPr>
      </w:pPr>
      <w:r>
        <w:rPr>
          <w:rFonts w:ascii="Arial" w:cs="Arial" w:eastAsia="Arial" w:hAnsi="Arial"/>
          <w:sz w:val="18"/>
          <w:szCs w:val="18"/>
          <w:color w:val="auto"/>
        </w:rPr>
        <w:t xml:space="preserve">If this form relates to the registration of a class of securities pursuant to Section 12(b) of the Exchange Act and is effective pursuant to General Instruction A. (c), check the following box. </w:t>
      </w:r>
      <w:r>
        <w:rPr>
          <w:rFonts w:ascii="MS PGothic" w:cs="MS PGothic" w:eastAsia="MS PGothic" w:hAnsi="MS PGothic"/>
          <w:sz w:val="18"/>
          <w:szCs w:val="18"/>
          <w:color w:val="auto"/>
        </w:rPr>
        <w:t>☑</w:t>
      </w:r>
    </w:p>
    <w:p>
      <w:pPr>
        <w:spacing w:after="0" w:line="74" w:lineRule="exact"/>
        <w:rPr>
          <w:sz w:val="24"/>
          <w:szCs w:val="24"/>
          <w:color w:val="auto"/>
        </w:rPr>
      </w:pPr>
    </w:p>
    <w:p>
      <w:pPr>
        <w:ind w:right="80"/>
        <w:spacing w:after="0" w:line="277" w:lineRule="auto"/>
        <w:rPr>
          <w:sz w:val="20"/>
          <w:szCs w:val="20"/>
          <w:color w:val="auto"/>
        </w:rPr>
      </w:pPr>
      <w:r>
        <w:rPr>
          <w:rFonts w:ascii="Arial" w:cs="Arial" w:eastAsia="Arial" w:hAnsi="Arial"/>
          <w:sz w:val="18"/>
          <w:szCs w:val="18"/>
          <w:color w:val="auto"/>
        </w:rPr>
        <w:t>If this form relates to the registration of a class of securities pursuant to Section 12(g) of the Exchange Act and is effective pursuant to General Instruction A. (d), check the following box. o</w:t>
      </w:r>
    </w:p>
    <w:p>
      <w:pPr>
        <w:spacing w:after="0" w:line="62" w:lineRule="exact"/>
        <w:rPr>
          <w:sz w:val="24"/>
          <w:szCs w:val="24"/>
          <w:color w:val="auto"/>
        </w:rPr>
      </w:pPr>
    </w:p>
    <w:p>
      <w:pPr>
        <w:spacing w:after="0"/>
        <w:rPr>
          <w:sz w:val="20"/>
          <w:szCs w:val="20"/>
          <w:color w:val="auto"/>
        </w:rPr>
      </w:pPr>
      <w:r>
        <w:rPr>
          <w:rFonts w:ascii="Arial" w:cs="Arial" w:eastAsia="Arial" w:hAnsi="Arial"/>
          <w:sz w:val="18"/>
          <w:szCs w:val="18"/>
          <w:color w:val="auto"/>
        </w:rPr>
        <w:t>Securities Act registration statement file number to which this form relates: 333-150876.</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Securities to be registered pursuant to Section 12(g) of the Act: 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143510</wp:posOffset>
            </wp:positionV>
            <wp:extent cx="7246620" cy="34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570230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2" w:right="2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1. Description of Registrant’s Securities to be Registered</w:t>
      </w:r>
    </w:p>
    <w:p>
      <w:pPr>
        <w:spacing w:after="0" w:line="121" w:lineRule="exact"/>
        <w:rPr>
          <w:sz w:val="20"/>
          <w:szCs w:val="20"/>
          <w:color w:val="auto"/>
        </w:rPr>
      </w:pPr>
    </w:p>
    <w:p>
      <w:pPr>
        <w:ind w:firstLine="225"/>
        <w:spacing w:after="0" w:line="293" w:lineRule="auto"/>
        <w:rPr>
          <w:sz w:val="20"/>
          <w:szCs w:val="20"/>
          <w:color w:val="auto"/>
        </w:rPr>
      </w:pPr>
      <w:r>
        <w:rPr>
          <w:rFonts w:ascii="Arial" w:cs="Arial" w:eastAsia="Arial" w:hAnsi="Arial"/>
          <w:sz w:val="16"/>
          <w:szCs w:val="16"/>
          <w:color w:val="auto"/>
        </w:rPr>
        <w:t>Grand Canyon Education, Inc. (the “</w:t>
      </w:r>
      <w:r>
        <w:rPr>
          <w:rFonts w:ascii="Arial" w:cs="Arial" w:eastAsia="Arial" w:hAnsi="Arial"/>
          <w:sz w:val="16"/>
          <w:szCs w:val="16"/>
          <w:u w:val="single" w:color="auto"/>
          <w:color w:val="auto"/>
        </w:rPr>
        <w:t>Registrant</w:t>
      </w:r>
      <w:r>
        <w:rPr>
          <w:rFonts w:ascii="Arial" w:cs="Arial" w:eastAsia="Arial" w:hAnsi="Arial"/>
          <w:sz w:val="16"/>
          <w:szCs w:val="16"/>
          <w:color w:val="auto"/>
        </w:rPr>
        <w:t>”) registers hereunder its common stock, $0.01 par value per share (the “</w:t>
      </w:r>
      <w:r>
        <w:rPr>
          <w:rFonts w:ascii="Arial" w:cs="Arial" w:eastAsia="Arial" w:hAnsi="Arial"/>
          <w:sz w:val="16"/>
          <w:szCs w:val="16"/>
          <w:u w:val="single" w:color="auto"/>
          <w:color w:val="auto"/>
        </w:rPr>
        <w:t>Common Stock</w:t>
      </w:r>
      <w:r>
        <w:rPr>
          <w:rFonts w:ascii="Arial" w:cs="Arial" w:eastAsia="Arial" w:hAnsi="Arial"/>
          <w:sz w:val="16"/>
          <w:szCs w:val="16"/>
          <w:color w:val="auto"/>
        </w:rPr>
        <w:t>”). A description of the Registrant’s Common Stock and a description of the anti-takeover effects of the Registrant’s Amended and Restated Certificate of Incorporation and Amended and Restated Bylaws are incorporated herein by reference to the section captioned “Description of Capital Stock” in the Registrant’s Registration Statement on Form S-1 (File No. 333-150876 as originally filed with the Securities and Exchange Commission (the “</w:t>
      </w:r>
      <w:r>
        <w:rPr>
          <w:rFonts w:ascii="Arial" w:cs="Arial" w:eastAsia="Arial" w:hAnsi="Arial"/>
          <w:sz w:val="16"/>
          <w:szCs w:val="16"/>
          <w:u w:val="single" w:color="auto"/>
          <w:color w:val="auto"/>
        </w:rPr>
        <w:t>Commission</w:t>
      </w:r>
      <w:r>
        <w:rPr>
          <w:rFonts w:ascii="Arial" w:cs="Arial" w:eastAsia="Arial" w:hAnsi="Arial"/>
          <w:sz w:val="16"/>
          <w:szCs w:val="16"/>
          <w:color w:val="auto"/>
        </w:rPr>
        <w:t>”) on May 13, 2008, as amended (the “</w:t>
      </w:r>
      <w:r>
        <w:rPr>
          <w:rFonts w:ascii="Arial" w:cs="Arial" w:eastAsia="Arial" w:hAnsi="Arial"/>
          <w:sz w:val="16"/>
          <w:szCs w:val="16"/>
          <w:u w:val="single" w:color="auto"/>
          <w:color w:val="auto"/>
        </w:rPr>
        <w:t>Registration Statement</w:t>
      </w:r>
      <w:r>
        <w:rPr>
          <w:rFonts w:ascii="Arial" w:cs="Arial" w:eastAsia="Arial" w:hAnsi="Arial"/>
          <w:sz w:val="16"/>
          <w:szCs w:val="16"/>
          <w:color w:val="auto"/>
        </w:rPr>
        <w:t>”), and in the prospectus included in the Registration Statement to be filed separately by the Registrant with the Commission pursuant to Rule 424(b) under the Securities Act of 1933, as amended, which prospectus shall be deemed to be incorporated by reference herein.</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Exhibits</w:t>
      </w:r>
    </w:p>
    <w:p>
      <w:pPr>
        <w:spacing w:after="0" w:line="121" w:lineRule="exact"/>
        <w:rPr>
          <w:sz w:val="20"/>
          <w:szCs w:val="20"/>
          <w:color w:val="auto"/>
        </w:rPr>
      </w:pPr>
    </w:p>
    <w:p>
      <w:pPr>
        <w:ind w:right="220" w:firstLine="225"/>
        <w:spacing w:after="0" w:line="264" w:lineRule="auto"/>
        <w:rPr>
          <w:sz w:val="20"/>
          <w:szCs w:val="20"/>
          <w:color w:val="auto"/>
        </w:rPr>
      </w:pPr>
      <w:r>
        <w:rPr>
          <w:rFonts w:ascii="Arial" w:cs="Arial" w:eastAsia="Arial" w:hAnsi="Arial"/>
          <w:sz w:val="18"/>
          <w:szCs w:val="18"/>
          <w:color w:val="auto"/>
        </w:rPr>
        <w:t>Pursuant to the Instructions as to Exhibits with respect to Form 8-A, no exhibits are required to be filed because no other securities of the Registrant are registered on The NASDAQ Stock Market LLC, and the securities registered hereby are not being registered pursuant to Section 12(g) of the Securities Exchange Act of 1934, as amended.</w:t>
      </w:r>
    </w:p>
    <w:p>
      <w:pPr>
        <w:spacing w:after="0" w:line="15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931" w:right="279" w:bottom="1440" w:gutter="0" w:footer="0" w:header="0"/>
        </w:sectPr>
      </w:pPr>
    </w:p>
    <w:bookmarkStart w:id="2" w:name="page3"/>
    <w:bookmarkEnd w:id="2"/>
    <w:p>
      <w:pPr>
        <w:jc w:val="center"/>
        <w:ind w:right="-159"/>
        <w:spacing w:after="0"/>
        <w:rPr>
          <w:sz w:val="20"/>
          <w:szCs w:val="20"/>
          <w:color w:val="auto"/>
        </w:rPr>
      </w:pPr>
      <w:r>
        <w:rPr>
          <w:rFonts w:ascii="Arial" w:cs="Arial" w:eastAsia="Arial" w:hAnsi="Arial"/>
          <w:sz w:val="18"/>
          <w:szCs w:val="18"/>
          <w:b w:val="1"/>
          <w:bCs w:val="1"/>
          <w:color w:val="auto"/>
        </w:rPr>
        <w:t>SIGNATURE</w:t>
      </w:r>
    </w:p>
    <w:p>
      <w:pPr>
        <w:spacing w:after="0" w:line="121" w:lineRule="exact"/>
        <w:rPr>
          <w:sz w:val="20"/>
          <w:szCs w:val="20"/>
          <w:color w:val="auto"/>
        </w:rPr>
      </w:pPr>
    </w:p>
    <w:p>
      <w:pPr>
        <w:ind w:firstLine="225"/>
        <w:spacing w:after="0" w:line="277" w:lineRule="auto"/>
        <w:rPr>
          <w:sz w:val="20"/>
          <w:szCs w:val="20"/>
          <w:color w:val="auto"/>
        </w:rPr>
      </w:pPr>
      <w:r>
        <w:rPr>
          <w:rFonts w:ascii="Arial" w:cs="Arial" w:eastAsia="Arial" w:hAnsi="Arial"/>
          <w:sz w:val="18"/>
          <w:szCs w:val="18"/>
          <w:color w:val="auto"/>
        </w:rPr>
        <w:t>Pursuant to the requirements of Section 12 of the Securities Exchange Act of 1934, the Registrant has duly caused this registration statement to be signed on its behalf by the undersigned, thereto duly authorized.</w:t>
      </w:r>
    </w:p>
    <w:p>
      <w:pPr>
        <w:spacing w:after="0" w:line="170" w:lineRule="exact"/>
        <w:rPr>
          <w:sz w:val="20"/>
          <w:szCs w:val="20"/>
          <w:color w:val="auto"/>
        </w:rPr>
      </w:pPr>
    </w:p>
    <w:p>
      <w:pPr>
        <w:spacing w:after="0"/>
        <w:tabs>
          <w:tab w:leader="none" w:pos="5160" w:val="left"/>
        </w:tabs>
        <w:rPr>
          <w:sz w:val="20"/>
          <w:szCs w:val="20"/>
          <w:color w:val="auto"/>
        </w:rPr>
      </w:pPr>
      <w:r>
        <w:rPr>
          <w:rFonts w:ascii="Arial" w:cs="Arial" w:eastAsia="Arial" w:hAnsi="Arial"/>
          <w:sz w:val="18"/>
          <w:szCs w:val="18"/>
          <w:color w:val="auto"/>
        </w:rPr>
        <w:t>Date: November 14, 2008</w:t>
      </w:r>
      <w:r>
        <w:rPr>
          <w:sz w:val="20"/>
          <w:szCs w:val="20"/>
          <w:color w:val="auto"/>
        </w:rPr>
        <w:tab/>
      </w:r>
      <w:r>
        <w:rPr>
          <w:rFonts w:ascii="Arial" w:cs="Arial" w:eastAsia="Arial" w:hAnsi="Arial"/>
          <w:sz w:val="16"/>
          <w:szCs w:val="16"/>
          <w:color w:val="auto"/>
        </w:rPr>
        <w:t>Grand Canyon Education, Inc.</w:t>
      </w:r>
    </w:p>
    <w:p>
      <w:pPr>
        <w:spacing w:after="0" w:line="225" w:lineRule="exact"/>
        <w:rPr>
          <w:sz w:val="20"/>
          <w:szCs w:val="20"/>
          <w:color w:val="auto"/>
        </w:rPr>
      </w:pPr>
    </w:p>
    <w:p>
      <w:pPr>
        <w:ind w:left="5180"/>
        <w:spacing w:after="0"/>
        <w:rPr>
          <w:sz w:val="20"/>
          <w:szCs w:val="20"/>
          <w:color w:val="auto"/>
        </w:rPr>
      </w:pPr>
      <w:r>
        <w:rPr>
          <w:rFonts w:ascii="Arial" w:cs="Arial" w:eastAsia="Arial" w:hAnsi="Arial"/>
          <w:sz w:val="18"/>
          <w:szCs w:val="18"/>
          <w:color w:val="auto"/>
        </w:rPr>
        <w:t>By:  /s/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3529965</wp:posOffset>
            </wp:positionH>
            <wp:positionV relativeFrom="paragraph">
              <wp:posOffset>14605</wp:posOffset>
            </wp:positionV>
            <wp:extent cx="287274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spacing w:after="0" w:line="16" w:lineRule="exact"/>
        <w:rPr>
          <w:sz w:val="20"/>
          <w:szCs w:val="20"/>
          <w:color w:val="auto"/>
        </w:rPr>
      </w:pPr>
    </w:p>
    <w:p>
      <w:pPr>
        <w:ind w:left="5560"/>
        <w:spacing w:after="0"/>
        <w:rPr>
          <w:sz w:val="20"/>
          <w:szCs w:val="20"/>
          <w:color w:val="auto"/>
        </w:rPr>
      </w:pPr>
      <w:r>
        <w:rPr>
          <w:rFonts w:ascii="Arial" w:cs="Arial" w:eastAsia="Arial" w:hAnsi="Arial"/>
          <w:sz w:val="18"/>
          <w:szCs w:val="18"/>
          <w:color w:val="auto"/>
        </w:rPr>
        <w:t>Daniel E. Bachus</w:t>
      </w:r>
    </w:p>
    <w:p>
      <w:pPr>
        <w:spacing w:after="0" w:line="23" w:lineRule="exact"/>
        <w:rPr>
          <w:sz w:val="20"/>
          <w:szCs w:val="20"/>
          <w:color w:val="auto"/>
        </w:rPr>
      </w:pPr>
    </w:p>
    <w:p>
      <w:pPr>
        <w:ind w:left="5560"/>
        <w:spacing w:after="0"/>
        <w:rPr>
          <w:sz w:val="20"/>
          <w:szCs w:val="20"/>
          <w:color w:val="auto"/>
        </w:rPr>
      </w:pPr>
      <w:r>
        <w:rPr>
          <w:rFonts w:ascii="Arial" w:cs="Arial" w:eastAsia="Arial" w:hAnsi="Arial"/>
          <w:sz w:val="18"/>
          <w:szCs w:val="18"/>
          <w:color w:val="auto"/>
        </w:rPr>
        <w:t>Chief Financial Officer</w:t>
      </w:r>
    </w:p>
    <w:p>
      <w:pPr>
        <w:spacing w:after="0" w:line="184"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3</w:t>
      </w:r>
    </w:p>
    <w:sectPr>
      <w:pgSz w:w="11900" w:h="16838" w:orient="portrait"/>
      <w:cols w:equalWidth="0" w:num="1">
        <w:col w:w="11280"/>
      </w:cols>
      <w:pgMar w:left="240" w:top="958"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2019-12-15T17:21:14Z</dcterms:created>
  <dcterms:modified xsi:type="dcterms:W3CDTF">2019-12-15T17:21:14Z</dcterms:modified>
</cp:coreProperties>
</file>