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February 18, 2010</w:t>
      </w:r>
    </w:p>
    <w:p>
      <w:pPr>
        <w:spacing w:after="0" w:line="200"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8"/>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 w:type="dxa"/>
        <w:tblCellMar>
          <w:top w:w="0" w:type="dxa"/>
          <w:left w:w="0" w:type="dxa"/>
          <w:bottom w:w="0" w:type="dxa"/>
          <w:right w:w="0" w:type="dxa"/>
        </w:tblCellMar>
      </w:tblPr>
      <w:tr>
        <w:trPr>
          <w:trHeight w:val="234"/>
        </w:trPr>
        <w:tc>
          <w:tcPr>
            <w:tcW w:w="34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3"/>
              </w:rPr>
              <w:t>Delaware</w:t>
            </w:r>
          </w:p>
        </w:tc>
        <w:tc>
          <w:tcPr>
            <w:tcW w:w="2680" w:type="dxa"/>
            <w:vAlign w:val="bottom"/>
            <w:gridSpan w:val="3"/>
          </w:tcPr>
          <w:p>
            <w:pPr>
              <w:jc w:val="right"/>
              <w:ind w:right="1100"/>
              <w:spacing w:after="0"/>
              <w:rPr>
                <w:sz w:val="20"/>
                <w:szCs w:val="20"/>
                <w:color w:val="auto"/>
              </w:rPr>
            </w:pPr>
            <w:r>
              <w:rPr>
                <w:rFonts w:ascii="Arial" w:cs="Arial" w:eastAsia="Arial" w:hAnsi="Arial"/>
                <w:sz w:val="18"/>
                <w:szCs w:val="18"/>
                <w:b w:val="1"/>
                <w:bCs w:val="1"/>
                <w:color w:val="auto"/>
              </w:rPr>
              <w:t>001-34211</w:t>
            </w:r>
          </w:p>
        </w:tc>
        <w:tc>
          <w:tcPr>
            <w:tcW w:w="31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20-3356009</w:t>
            </w:r>
          </w:p>
        </w:tc>
      </w:tr>
      <w:tr>
        <w:trPr>
          <w:trHeight w:val="209"/>
        </w:trPr>
        <w:tc>
          <w:tcPr>
            <w:tcW w:w="3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8"/>
                <w:szCs w:val="18"/>
                <w:color w:val="auto"/>
                <w:w w:val="92"/>
              </w:rPr>
              <w:t>(Commission File Number)</w:t>
            </w:r>
          </w:p>
        </w:tc>
        <w:tc>
          <w:tcPr>
            <w:tcW w:w="180" w:type="dxa"/>
            <w:vAlign w:val="bottom"/>
          </w:tcPr>
          <w:p>
            <w:pPr>
              <w:spacing w:after="0"/>
              <w:rPr>
                <w:sz w:val="18"/>
                <w:szCs w:val="18"/>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500"/>
              <w:spacing w:after="0"/>
              <w:rPr>
                <w:sz w:val="20"/>
                <w:szCs w:val="20"/>
                <w:color w:val="auto"/>
              </w:rPr>
            </w:pPr>
            <w:r>
              <w:rPr>
                <w:rFonts w:ascii="Arial" w:cs="Arial" w:eastAsia="Arial" w:hAnsi="Arial"/>
                <w:sz w:val="18"/>
                <w:szCs w:val="18"/>
                <w:color w:val="auto"/>
                <w:w w:val="93"/>
              </w:rPr>
              <w:t>of incorporation)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414"/>
        </w:trPr>
        <w:tc>
          <w:tcPr>
            <w:tcW w:w="348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91"/>
              </w:rPr>
              <w:t>3300 W. Camelback Road</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b w:val="1"/>
                <w:bCs w:val="1"/>
                <w:color w:val="auto"/>
                <w:w w:val="90"/>
              </w:rPr>
              <w:t>Phoenix, Arizona</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2"/>
          </w:tcPr>
          <w:p>
            <w:pPr>
              <w:jc w:val="right"/>
              <w:ind w:right="1970"/>
              <w:spacing w:after="0"/>
              <w:rPr>
                <w:sz w:val="20"/>
                <w:szCs w:val="20"/>
                <w:color w:val="auto"/>
              </w:rPr>
            </w:pPr>
            <w:r>
              <w:rPr>
                <w:rFonts w:ascii="Arial" w:cs="Arial" w:eastAsia="Arial" w:hAnsi="Arial"/>
                <w:sz w:val="18"/>
                <w:szCs w:val="18"/>
                <w:b w:val="1"/>
                <w:bCs w:val="1"/>
                <w:color w:val="auto"/>
              </w:rPr>
              <w:t>85017</w:t>
            </w:r>
          </w:p>
        </w:tc>
      </w:tr>
      <w:tr>
        <w:trPr>
          <w:trHeight w:val="224"/>
        </w:trPr>
        <w:tc>
          <w:tcPr>
            <w:tcW w:w="456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w w:val="91"/>
              </w:rPr>
              <w:t>(Zip Code)</w:t>
            </w:r>
          </w:p>
        </w:tc>
      </w:tr>
    </w:tbl>
    <w:p>
      <w:pPr>
        <w:spacing w:after="0" w:line="19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2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-130175</wp:posOffset>
            </wp:positionV>
            <wp:extent cx="2838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97" w:lineRule="exact"/>
        <w:rPr>
          <w:sz w:val="24"/>
          <w:szCs w:val="24"/>
          <w:color w:val="auto"/>
        </w:rPr>
      </w:pPr>
    </w:p>
    <w:p>
      <w:pPr>
        <w:jc w:val="both"/>
        <w:ind w:left="8"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258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313055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2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2.02. </w:t>
      </w:r>
      <w:r>
        <w:rPr>
          <w:rFonts w:ascii="Arial" w:cs="Arial" w:eastAsia="Arial" w:hAnsi="Arial"/>
          <w:sz w:val="18"/>
          <w:szCs w:val="18"/>
          <w:b w:val="1"/>
          <w:bCs w:val="1"/>
          <w:u w:val="single" w:color="auto"/>
          <w:color w:val="auto"/>
        </w:rPr>
        <w:t>Results of Operations and Financial Condition</w:t>
      </w:r>
      <w:r>
        <w:rPr>
          <w:rFonts w:ascii="Arial" w:cs="Arial" w:eastAsia="Arial" w:hAnsi="Arial"/>
          <w:sz w:val="18"/>
          <w:szCs w:val="18"/>
          <w:b w:val="1"/>
          <w:bCs w:val="1"/>
          <w:color w:val="auto"/>
        </w:rPr>
        <w:t>.</w:t>
      </w:r>
    </w:p>
    <w:p>
      <w:pPr>
        <w:spacing w:after="0" w:line="202"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On February 18, 2010, Grand Canyon Education, Inc. (the “Company”) reported its fourth quarter and annual 2009 financial results. The press release dated February 18, 2010 is furnished as Exhibit 99.1 to this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u w:val="single" w:color="auto"/>
          <w:color w:val="auto"/>
        </w:rPr>
        <w:t>Financial Statements and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480"/>
        <w:spacing w:after="0"/>
        <w:tabs>
          <w:tab w:leader="none" w:pos="1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18, 2010</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142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360" w:type="dxa"/>
            <w:vAlign w:val="bottom"/>
            <w:gridSpan w:val="2"/>
          </w:tcPr>
          <w:p>
            <w:pPr>
              <w:ind w:left="1040"/>
              <w:spacing w:after="0"/>
              <w:rPr>
                <w:sz w:val="20"/>
                <w:szCs w:val="20"/>
                <w:color w:val="auto"/>
              </w:rPr>
            </w:pPr>
            <w:r>
              <w:rPr>
                <w:rFonts w:ascii="Arial" w:cs="Arial" w:eastAsia="Arial" w:hAnsi="Arial"/>
                <w:sz w:val="18"/>
                <w:szCs w:val="18"/>
                <w:color w:val="auto"/>
              </w:rPr>
              <w:t>GRAND CANYON EDUCATION, INC.</w:t>
            </w:r>
          </w:p>
        </w:tc>
        <w:tc>
          <w:tcPr>
            <w:tcW w:w="2940" w:type="dxa"/>
            <w:vAlign w:val="bottom"/>
          </w:tcPr>
          <w:p>
            <w:pPr>
              <w:spacing w:after="0"/>
              <w:rPr>
                <w:sz w:val="20"/>
                <w:szCs w:val="20"/>
                <w:color w:val="auto"/>
              </w:rPr>
            </w:pPr>
          </w:p>
        </w:tc>
      </w:tr>
      <w:tr>
        <w:trPr>
          <w:trHeight w:val="432"/>
        </w:trPr>
        <w:tc>
          <w:tcPr>
            <w:tcW w:w="3120" w:type="dxa"/>
            <w:vAlign w:val="bottom"/>
          </w:tcPr>
          <w:p>
            <w:pPr>
              <w:ind w:left="340"/>
              <w:spacing w:after="0"/>
              <w:rPr>
                <w:sz w:val="20"/>
                <w:szCs w:val="20"/>
                <w:color w:val="auto"/>
              </w:rPr>
            </w:pPr>
            <w:r>
              <w:rPr>
                <w:rFonts w:ascii="Arial" w:cs="Arial" w:eastAsia="Arial" w:hAnsi="Arial"/>
                <w:sz w:val="18"/>
                <w:szCs w:val="18"/>
                <w:color w:val="auto"/>
              </w:rPr>
              <w:t>Date: February 18, 2010</w:t>
            </w:r>
          </w:p>
        </w:tc>
        <w:tc>
          <w:tcPr>
            <w:tcW w:w="5360" w:type="dxa"/>
            <w:vAlign w:val="bottom"/>
            <w:gridSpan w:val="2"/>
          </w:tcPr>
          <w:p>
            <w:pPr>
              <w:ind w:left="1040"/>
              <w:spacing w:after="0"/>
              <w:rPr>
                <w:sz w:val="20"/>
                <w:szCs w:val="20"/>
                <w:color w:val="auto"/>
              </w:rPr>
            </w:pPr>
            <w:r>
              <w:rPr>
                <w:rFonts w:ascii="Arial" w:cs="Arial" w:eastAsia="Arial" w:hAnsi="Arial"/>
                <w:sz w:val="18"/>
                <w:szCs w:val="18"/>
                <w:color w:val="auto"/>
              </w:rPr>
              <w:t>By: /s/ Daniel E. Bachus</w:t>
            </w:r>
          </w:p>
        </w:tc>
        <w:tc>
          <w:tcPr>
            <w:tcW w:w="2940" w:type="dxa"/>
            <w:vAlign w:val="bottom"/>
          </w:tcPr>
          <w:p>
            <w:pPr>
              <w:spacing w:after="0"/>
              <w:rPr>
                <w:sz w:val="24"/>
                <w:szCs w:val="24"/>
                <w:color w:val="auto"/>
              </w:rPr>
            </w:pPr>
          </w:p>
        </w:tc>
      </w:tr>
      <w:tr>
        <w:trPr>
          <w:trHeight w:val="195"/>
        </w:trPr>
        <w:tc>
          <w:tcPr>
            <w:tcW w:w="3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940" w:type="dxa"/>
            <w:vAlign w:val="bottom"/>
          </w:tcPr>
          <w:p>
            <w:pPr>
              <w:spacing w:after="0"/>
              <w:rPr>
                <w:sz w:val="16"/>
                <w:szCs w:val="16"/>
                <w:color w:val="auto"/>
              </w:rPr>
            </w:pPr>
          </w:p>
        </w:tc>
      </w:tr>
      <w:tr>
        <w:trPr>
          <w:trHeight w:val="216"/>
        </w:trPr>
        <w:tc>
          <w:tcPr>
            <w:tcW w:w="3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94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w w:val="93"/>
              </w:rPr>
              <w:t>(Principal Financial and Principal Accounting Officer)</w:t>
            </w:r>
          </w:p>
        </w:tc>
        <w:tc>
          <w:tcPr>
            <w:tcW w:w="2940" w:type="dxa"/>
            <w:vAlign w:val="bottom"/>
          </w:tcPr>
          <w:p>
            <w:pPr>
              <w:spacing w:after="0"/>
              <w:rPr>
                <w:sz w:val="20"/>
                <w:szCs w:val="20"/>
                <w:color w:val="auto"/>
              </w:rPr>
            </w:pPr>
          </w:p>
        </w:tc>
      </w:tr>
      <w:tr>
        <w:trPr>
          <w:trHeight w:val="783"/>
        </w:trPr>
        <w:tc>
          <w:tcPr>
            <w:tcW w:w="3120" w:type="dxa"/>
            <w:vAlign w:val="bottom"/>
          </w:tcPr>
          <w:p>
            <w:pPr>
              <w:spacing w:after="0"/>
              <w:rPr>
                <w:sz w:val="24"/>
                <w:szCs w:val="24"/>
                <w:color w:val="auto"/>
              </w:rPr>
            </w:pPr>
          </w:p>
        </w:tc>
        <w:tc>
          <w:tcPr>
            <w:tcW w:w="5360" w:type="dxa"/>
            <w:vAlign w:val="bottom"/>
            <w:gridSpan w:val="2"/>
          </w:tcPr>
          <w:p>
            <w:pPr>
              <w:jc w:val="right"/>
              <w:ind w:right="3350"/>
              <w:spacing w:after="0"/>
              <w:rPr>
                <w:sz w:val="20"/>
                <w:szCs w:val="20"/>
                <w:color w:val="auto"/>
              </w:rPr>
            </w:pPr>
            <w:r>
              <w:rPr>
                <w:rFonts w:ascii="Arial" w:cs="Arial" w:eastAsia="Arial" w:hAnsi="Arial"/>
                <w:sz w:val="18"/>
                <w:szCs w:val="18"/>
                <w:color w:val="auto"/>
              </w:rPr>
              <w:t>3</w:t>
            </w:r>
          </w:p>
        </w:tc>
        <w:tc>
          <w:tcPr>
            <w:tcW w:w="2940" w:type="dxa"/>
            <w:vAlign w:val="bottom"/>
          </w:tcPr>
          <w:p>
            <w:pPr>
              <w:spacing w:after="0"/>
              <w:rPr>
                <w:sz w:val="24"/>
                <w:szCs w:val="24"/>
                <w:color w:val="auto"/>
              </w:rPr>
            </w:pPr>
          </w:p>
        </w:tc>
      </w:tr>
      <w:tr>
        <w:trPr>
          <w:trHeight w:val="226"/>
        </w:trPr>
        <w:tc>
          <w:tcPr>
            <w:tcW w:w="31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right"/>
        <w:ind w:right="455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2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5715</wp:posOffset>
            </wp:positionV>
            <wp:extent cx="5925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18, 2010</w:t>
      </w:r>
    </w:p>
    <w:p>
      <w:pPr>
        <w:spacing w:after="0" w:line="200" w:lineRule="exact"/>
        <w:rPr>
          <w:sz w:val="20"/>
          <w:szCs w:val="20"/>
          <w:color w:val="auto"/>
        </w:rPr>
      </w:pPr>
    </w:p>
    <w:p>
      <w:pPr>
        <w:spacing w:after="0" w:line="39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519"/>
          </w:cols>
          <w:pgMar w:left="940" w:top="935"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NEWS RELEASE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 Bachus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dbachus@gcu.edu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 Jenkins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602-639-6678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bjenkins@gcu.edu</w:t>
      </w:r>
    </w:p>
    <w:p>
      <w:pPr>
        <w:spacing w:after="0" w:line="18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 REPORTS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FOURTH QUARTER AND FULL YEAR 2009 RESULTS</w:t>
      </w:r>
    </w:p>
    <w:p>
      <w:pPr>
        <w:spacing w:after="0" w:line="16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Education’s Annual Net Revenue up 62.4 Percent; Enrollment up 53.1 Percent;</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Operating Income up 264 Percent</w:t>
      </w:r>
    </w:p>
    <w:p>
      <w:pPr>
        <w:spacing w:after="0" w:line="166" w:lineRule="exact"/>
        <w:rPr>
          <w:sz w:val="20"/>
          <w:szCs w:val="20"/>
          <w:color w:val="auto"/>
        </w:rPr>
      </w:pPr>
    </w:p>
    <w:p>
      <w:pPr>
        <w:jc w:val="both"/>
        <w:ind w:right="559"/>
        <w:spacing w:after="0" w:line="266" w:lineRule="auto"/>
        <w:rPr>
          <w:sz w:val="20"/>
          <w:szCs w:val="20"/>
          <w:color w:val="auto"/>
        </w:rPr>
      </w:pPr>
      <w:r>
        <w:rPr>
          <w:rFonts w:ascii="Arial" w:cs="Arial" w:eastAsia="Arial" w:hAnsi="Arial"/>
          <w:sz w:val="18"/>
          <w:szCs w:val="18"/>
          <w:b w:val="1"/>
          <w:bCs w:val="1"/>
          <w:color w:val="auto"/>
        </w:rPr>
        <w:t>ARIZONA, February 18, 2010</w:t>
      </w:r>
      <w:r>
        <w:rPr>
          <w:rFonts w:ascii="Arial" w:cs="Arial" w:eastAsia="Arial" w:hAnsi="Arial"/>
          <w:sz w:val="18"/>
          <w:szCs w:val="18"/>
          <w:color w:val="auto"/>
        </w:rPr>
        <w:t>—</w:t>
      </w:r>
      <w:r>
        <w:rPr>
          <w:rFonts w:ascii="Arial" w:cs="Arial" w:eastAsia="Arial" w:hAnsi="Arial"/>
          <w:sz w:val="18"/>
          <w:szCs w:val="18"/>
          <w:b w:val="1"/>
          <w:bCs w:val="1"/>
          <w:u w:val="single" w:color="auto"/>
          <w:color w:val="auto"/>
        </w:rPr>
        <w:t>Grand Canyon Education,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LOPE), a regionally accredited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online and campus-based post-secondary education services, today announced financial results for the three months and year ended December 31, 2009.</w:t>
      </w:r>
    </w:p>
    <w:p>
      <w:pPr>
        <w:spacing w:after="0" w:line="153"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“We are very pleased with our financial performance for the fourth quarter and full year of 2009,” said Brian Mueller, Chief Executive Officer of Grand Canyon Education, Inc. “Our strategy continues to be a disciplined approach that reinforces our reputation for providing academically rigorous, career-oriented educational programs that advance the careers of our students. We continue to expand our degree offerings at our Phoenix campus, as well as online, in order to address the changing needs of our students. Over the past year, we have made strong investments in technology and infrastructure. These enhancements coupled with our disciplined approach to marketing, recruiting and retaining high quality students, helped drive our strong momentum and enabled us to finish the year with enrollment increasing 53.1% over 2008.”</w:t>
      </w:r>
    </w:p>
    <w:p>
      <w:pPr>
        <w:spacing w:after="0" w:line="137"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Mr. Mueller continued, “We are excited about 2010, as we believe that Grand Canyon is well positioned in the education marketplace. Our online capabilities, combined with our more than 60-year heritage as a traditional campus-based university, differentiate us in the for-profit postsecondary market. Together, these attributes enhance the reputation of our degree programs among students and employers. We expect the strong growth in enrollment, net income and operating income to continue in 2010.”</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2009 Results</w:t>
      </w:r>
    </w:p>
    <w:p>
      <w:pPr>
        <w:spacing w:after="0" w:line="202" w:lineRule="exact"/>
        <w:rPr>
          <w:sz w:val="20"/>
          <w:szCs w:val="20"/>
          <w:color w:val="auto"/>
        </w:rPr>
      </w:pPr>
    </w:p>
    <w:p>
      <w:pPr>
        <w:jc w:val="both"/>
        <w:ind w:left="8" w:right="559" w:firstLine="373"/>
        <w:spacing w:after="0" w:line="285" w:lineRule="auto"/>
        <w:rPr>
          <w:sz w:val="20"/>
          <w:szCs w:val="20"/>
          <w:color w:val="auto"/>
        </w:rPr>
      </w:pPr>
      <w:r>
        <w:rPr>
          <w:rFonts w:ascii="Arial" w:cs="Arial" w:eastAsia="Arial" w:hAnsi="Arial"/>
          <w:sz w:val="16"/>
          <w:szCs w:val="16"/>
          <w:color w:val="auto"/>
        </w:rPr>
        <w:t>As a result of an increase in the number of start dates for courses offered to our students for the 2009-2010 academic year and in preparation for our conversion from a term-based to a non-term, borrower-based financial aid system, on July 1, 2009 we refined our revenue recognition methodology to recognize tuition revenue and most fees on a daily basis over the applicable period of instruction (the “days approach”). Previously, we recognized tuition revenue and most fees monthly over the applicable period of instruction (the “monthly approach”), which we believed resulted in revenue being recognized on a basis materially consistent with the days approach. However, upon adoption of the days approach, we noticed that while the monthly approach recognized revenue on a basis that materially approximated the annual revenue recognized under the days approach, it created materially different results in certain interim periods. Those differences were primarily the result of the timing of the start of the terms and scheduled breaks. As a result, we have restated our quarterly financial information for all periods prior to July 1, 2009 as a correction of an error to reflect revenue as if it had been recorded under the days approach for all prior interim periods. The restatement also reflects adjustments to the timing of recording of certain expenses, including salaries and benefits for faculty, revenue share and royalty arrangements and prior to its termination, the royalty payment to the former owner, to recognize those expenses as incurred on a basis commensurate with the term of the related course. A table summarizing the unaudited quarterly results of operations as originally reported and as restated for each of the four quarters of 2008 and the first two quarters of 2009 with the restated amounts reflecting amounts that would have been recorded had the days approach been used to recognize revenue and related expenses for all periods is presented following our student enrollment information in this press release.</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three months ended December 31, 2009:</w:t>
      </w:r>
    </w:p>
    <w:p>
      <w:pPr>
        <w:spacing w:after="0" w:line="185" w:lineRule="exact"/>
        <w:rPr>
          <w:sz w:val="20"/>
          <w:szCs w:val="20"/>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revenues increased 53.2% to $77.5 million for the fourth quarter of 2009, compared to $50.6 million for the fourth quarter of 2008.</w:t>
      </w:r>
    </w:p>
    <w:p>
      <w:pPr>
        <w:spacing w:after="0" w:line="143"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At December 31, 2009 our enrollment was 37,709, an increase of 53.1% from our enrollment of 24,636 at December 31, 2008.</w:t>
      </w:r>
    </w:p>
    <w:p>
      <w:pPr>
        <w:spacing w:after="0" w:line="129" w:lineRule="exact"/>
        <w:rPr>
          <w:rFonts w:ascii="Arial" w:cs="Arial" w:eastAsia="Arial" w:hAnsi="Arial"/>
          <w:sz w:val="18"/>
          <w:szCs w:val="18"/>
          <w:b w:val="1"/>
          <w:bCs w:val="1"/>
          <w:color w:val="auto"/>
        </w:rPr>
      </w:pPr>
    </w:p>
    <w:p>
      <w:pPr>
        <w:jc w:val="both"/>
        <w:ind w:left="348" w:right="559" w:hanging="348"/>
        <w:spacing w:after="0" w:line="25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for the fourth quarter of 2009 was $17.9 million, compared to $2.9 million for the same period in 2008. The operating margin for the fourth quarter of 2009 was 23.1%, compared to 5.7% for the same period in 2008. Excluding the estimated exit costs associated with our previously announced closing of the Utah call center and the charitable contributions we made in lieu of state income taxes, operating income for the fourth quarter was $19.8 million and operating margin was 25.6% for the three months ended December 31, 2009.</w:t>
      </w:r>
    </w:p>
    <w:p>
      <w:pPr>
        <w:spacing w:after="0" w:line="147"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increased 126% to $23.0 million for the fourth quarter of 2009, compared to $10.2 million for the same period in 2008.</w:t>
      </w:r>
    </w:p>
    <w:p>
      <w:pPr>
        <w:spacing w:after="0" w:line="143"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tax rate in the fourth quarter of 2009 was 37.2% compared to 27.6% in the fourth quarter of 2008. Excluding the $0.8 million of contributions made in lieu of state income taxes in both the fourth quarter of 2009 and 2008, our effective tax rate would have been 39.8% and 45.6% in the fourth quarter of 2009 and 2008, respectively.</w:t>
      </w:r>
    </w:p>
    <w:p>
      <w:pPr>
        <w:spacing w:after="0" w:line="140" w:lineRule="exact"/>
        <w:rPr>
          <w:rFonts w:ascii="Arial" w:cs="Arial" w:eastAsia="Arial" w:hAnsi="Arial"/>
          <w:sz w:val="18"/>
          <w:szCs w:val="18"/>
          <w:b w:val="1"/>
          <w:bCs w:val="1"/>
          <w:color w:val="auto"/>
        </w:rPr>
      </w:pPr>
    </w:p>
    <w:p>
      <w:pPr>
        <w:ind w:left="348" w:right="559" w:hanging="348"/>
        <w:spacing w:after="0" w:line="277"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increased 574% to $11.2 million for the fourth quarter of 2009, compared to $1.7 million for the same period in 2008.</w:t>
      </w:r>
    </w:p>
    <w:p>
      <w:pPr>
        <w:spacing w:after="0" w:line="129"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$0.24 for the fourth quarter of 2009, compared to $0.04 for the same period in 2008. Excluding the estimated exit costs of $1.2 million, net of taxes of $0.5 million, diluted net income per share was $0.26 for the fourth quarter of 2009.</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For the fiscal year ended December 31, 2009:</w:t>
      </w:r>
    </w:p>
    <w:p>
      <w:pPr>
        <w:spacing w:after="0" w:line="185" w:lineRule="exact"/>
        <w:rPr>
          <w:sz w:val="20"/>
          <w:szCs w:val="20"/>
          <w:color w:val="auto"/>
        </w:rPr>
      </w:pPr>
    </w:p>
    <w:p>
      <w:pPr>
        <w:ind w:left="348" w:hanging="348"/>
        <w:spacing w:after="0"/>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revenues increased 62.4% to $261.9 million for fiscal 2009, compared to $161.3 million for fiscal 2008.</w:t>
      </w:r>
    </w:p>
    <w:p>
      <w:pPr>
        <w:spacing w:after="0" w:line="184" w:lineRule="exact"/>
        <w:rPr>
          <w:rFonts w:ascii="Arial" w:cs="Arial" w:eastAsia="Arial" w:hAnsi="Arial"/>
          <w:sz w:val="18"/>
          <w:szCs w:val="18"/>
          <w:b w:val="1"/>
          <w:bCs w:val="1"/>
          <w:color w:val="auto"/>
        </w:rPr>
      </w:pPr>
    </w:p>
    <w:p>
      <w:pPr>
        <w:jc w:val="both"/>
        <w:ind w:left="348" w:right="559" w:hanging="348"/>
        <w:spacing w:after="0" w:line="259" w:lineRule="auto"/>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Operating income for fiscal 2009 was $46.6 million, compared to $12.8 million for fiscal 2008. The operating margin for fiscal 2009 was 17.8%, compared to 7.9% for fiscal 2008. Excluding the estimated litigation loss, estimated exit costs and contributions made in lieu of state taxes, operating income was $53.7 million and operating margin was 20.5% for the year ended December 31, 2009.</w:t>
      </w:r>
    </w:p>
    <w:p>
      <w:pPr>
        <w:spacing w:after="0" w:line="159" w:lineRule="exact"/>
        <w:rPr>
          <w:rFonts w:ascii="Arial" w:cs="Arial" w:eastAsia="Arial" w:hAnsi="Arial"/>
          <w:sz w:val="18"/>
          <w:szCs w:val="18"/>
          <w:b w:val="1"/>
          <w:bCs w:val="1"/>
          <w:color w:val="auto"/>
        </w:rPr>
      </w:pPr>
    </w:p>
    <w:p>
      <w:pPr>
        <w:ind w:left="348" w:hanging="348"/>
        <w:spacing w:after="0"/>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Adjusted EBITDA increased 154% to $65.1 million for fiscal 2009, compared to $25.7 million for fiscal 2008.</w:t>
      </w:r>
    </w:p>
    <w:p>
      <w:pPr>
        <w:spacing w:after="0" w:line="184" w:lineRule="exact"/>
        <w:rPr>
          <w:rFonts w:ascii="Arial" w:cs="Arial" w:eastAsia="Arial" w:hAnsi="Arial"/>
          <w:sz w:val="18"/>
          <w:szCs w:val="18"/>
          <w:b w:val="1"/>
          <w:bCs w:val="1"/>
          <w:color w:val="auto"/>
        </w:rPr>
      </w:pPr>
    </w:p>
    <w:p>
      <w:pPr>
        <w:ind w:left="348" w:hanging="348"/>
        <w:spacing w:after="0"/>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tax rate for fiscal 2009 was 39.7% compared to 36.6% for fiscal 2008.</w:t>
      </w:r>
    </w:p>
    <w:p>
      <w:pPr>
        <w:spacing w:after="0" w:line="184" w:lineRule="exact"/>
        <w:rPr>
          <w:rFonts w:ascii="Arial" w:cs="Arial" w:eastAsia="Arial" w:hAnsi="Arial"/>
          <w:sz w:val="18"/>
          <w:szCs w:val="18"/>
          <w:b w:val="1"/>
          <w:bCs w:val="1"/>
          <w:color w:val="auto"/>
        </w:rPr>
      </w:pPr>
    </w:p>
    <w:p>
      <w:pPr>
        <w:ind w:left="348" w:hanging="348"/>
        <w:spacing w:after="0"/>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increased 308% to $27.3 million for fiscal 2009, compared to $6.7 million for fiscal 2008.</w:t>
      </w:r>
    </w:p>
    <w:p>
      <w:pPr>
        <w:spacing w:after="0" w:line="198" w:lineRule="exact"/>
        <w:rPr>
          <w:rFonts w:ascii="Arial" w:cs="Arial" w:eastAsia="Arial" w:hAnsi="Arial"/>
          <w:sz w:val="18"/>
          <w:szCs w:val="18"/>
          <w:b w:val="1"/>
          <w:bCs w:val="1"/>
          <w:color w:val="auto"/>
        </w:rPr>
      </w:pPr>
    </w:p>
    <w:p>
      <w:pPr>
        <w:jc w:val="both"/>
        <w:ind w:left="348" w:right="559" w:hanging="348"/>
        <w:spacing w:after="0" w:line="264" w:lineRule="auto"/>
        <w:tabs>
          <w:tab w:leader="none" w:pos="34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$0.60 for fiscal 2009, compared to $0.17 for fiscal 2008. Excluding the estimated litigation loss and estimated exit costs, net of taxes, diluted net income per share was $0.69 for the year ended December 31, 2009.</w:t>
      </w:r>
    </w:p>
    <w:p>
      <w:pPr>
        <w:spacing w:after="0" w:line="200" w:lineRule="exact"/>
        <w:rPr>
          <w:sz w:val="20"/>
          <w:szCs w:val="20"/>
          <w:color w:val="auto"/>
        </w:rPr>
      </w:pPr>
    </w:p>
    <w:p>
      <w:pPr>
        <w:spacing w:after="0" w:line="33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086"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w:t>
      </w:r>
    </w:p>
    <w:p>
      <w:pPr>
        <w:spacing w:after="0" w:line="189"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As of December 31, 2009, the Company had unrestricted cash, cash equivalents and marketable securities of $63.1 million compared to $35.6 million in cash and cash equivalents at the end of 2008 and restricted cash, cash equivalents and investments at December 31, 2009 and 2008 of $3.2 million and $5.1 million, respectively. The Company generated $61.2 million in cash from operating activities in fiscal year 2009 compared to $10.2 million in 2008. Excluding the payment of $19.5 million that was made to the Company’s former owner in April 2008 to satisfy in full all past royalties due under the royalty agreement and the elimination of the existing obligation to pay royalties for online student revenues in perpetuity, net cash provided by operating activities for the year ended December 31, 2008 would have been $22.5 million. During 2009, cash used in investing activities was primarily related to the acquisition of our campus land and buildings in the amount of $35.5 million. Other capital expenditures were $24.8 million in 2009 compared to $8.4 million in 2008. Cash provided by financing activities for the year ended December 31, 2009 was $24.7 million which was primarily driven from proceeds from our secondary offering of $14.9 million net of issuance costs and proceeds from debt financing associated with the acquisition of our campus land and buildings of $25.5 million, partially offset by the repurchase of shares of our common stock of $14.5 million. Cash provided by financing activities in 2008 totaled $12.3 million which was primarily driven from proceeds from our initial public offering of $128.8 million net of underwriting discounts and offering expenses, partially offset by the special distribution to shareholders of record as of November 18, 2008 of $108.7 million as well as the repayment of a line of credit of $6.0 million.</w:t>
      </w:r>
    </w:p>
    <w:p>
      <w:pPr>
        <w:spacing w:after="0" w:line="12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1"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Grand Canyon Education, Inc. Reports Fourth Quarter and Full-Year 2009 Results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2010 Outlook</w:t>
      </w:r>
    </w:p>
    <w:p>
      <w:pPr>
        <w:spacing w:after="0" w:line="189" w:lineRule="exact"/>
        <w:rPr>
          <w:sz w:val="20"/>
          <w:szCs w:val="20"/>
          <w:color w:val="auto"/>
        </w:rPr>
      </w:pPr>
    </w:p>
    <w:p>
      <w:pPr>
        <w:jc w:val="both"/>
        <w:ind w:right="559"/>
        <w:spacing w:after="0" w:line="312" w:lineRule="auto"/>
        <w:rPr>
          <w:sz w:val="20"/>
          <w:szCs w:val="20"/>
          <w:color w:val="auto"/>
        </w:rPr>
      </w:pPr>
      <w:r>
        <w:rPr>
          <w:rFonts w:ascii="Arial" w:cs="Arial" w:eastAsia="Arial" w:hAnsi="Arial"/>
          <w:sz w:val="16"/>
          <w:szCs w:val="16"/>
          <w:color w:val="auto"/>
        </w:rPr>
        <w:t>For the first quarter ending March 31, 2010, enrollment is expected to grow between 34% and 37% to between 38,000 and 39,000 from 28,393 at March 31, 2009, and net revenues between 51% and 53% to between $83.5 million and $85.0 million from $55.5 million in the first quarter of 2009. Diluted earnings per share is expected to be between $0.19 and $0.20 per share.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Annual Outlook</w:t>
      </w:r>
    </w:p>
    <w:p>
      <w:pPr>
        <w:spacing w:after="0" w:line="20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For fiscal year 2010 we expect net revenues to be between $390 million and $400 million for the year ended December 31, 2010, and enrollment to be between 47,000 and 49,000 at December 31, 2010. The annual tax rate is anticipated to be approximately 40%. Diluted earnings per share is expected to be between $1.15 and $1.23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right="559"/>
        <w:spacing w:after="0" w:line="270" w:lineRule="auto"/>
        <w:rPr>
          <w:sz w:val="20"/>
          <w:szCs w:val="20"/>
          <w:color w:val="auto"/>
        </w:rPr>
      </w:pPr>
      <w:r>
        <w:rPr>
          <w:rFonts w:ascii="Arial" w:cs="Arial" w:eastAsia="Arial" w:hAnsi="Arial"/>
          <w:sz w:val="17"/>
          <w:szCs w:val="17"/>
          <w:color w:val="auto"/>
        </w:rPr>
        <w:t>This news release contains “forward-looking statements” which include information relating to future events, future 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5" w:lineRule="exact"/>
        <w:rPr>
          <w:sz w:val="20"/>
          <w:szCs w:val="20"/>
          <w:color w:val="auto"/>
        </w:rPr>
      </w:pPr>
    </w:p>
    <w:p>
      <w:pPr>
        <w:jc w:val="both"/>
        <w:ind w:right="559"/>
        <w:spacing w:after="0" w:line="285" w:lineRule="auto"/>
        <w:rPr>
          <w:sz w:val="20"/>
          <w:szCs w:val="20"/>
          <w:color w:val="auto"/>
        </w:rPr>
      </w:pPr>
      <w:r>
        <w:rPr>
          <w:rFonts w:ascii="Arial" w:cs="Arial" w:eastAsia="Arial" w:hAnsi="Arial"/>
          <w:sz w:val="16"/>
          <w:szCs w:val="16"/>
          <w:color w:val="auto"/>
        </w:rPr>
        <w:t xml:space="preserve">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our failure to comply with the extensive regulatory framework applicable to our industry, including Title IV of the Higher Education Act and the regulations thereunder, state laws and regulatory requirements, and accrediting commission requirements; the results of the ongoing investigation by the Department of Educations’s Office of Inspector General and the pending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regarding the manner in which we have compensated our enrollment personnel, and possible remedial actions or other liabilities resulting therefrom; the ability of our students to obtain federal Title IV funds, state financial aid, and private financing; risks associated with changes in applicable federal and state laws and regulations and accrediting commission standards; our ability to hire and train new, and develop and train existing, enrollment counselors; the pace of growth of our enrollment; our ability to convert prospective students to enrolled students and to retain active students; our success in updating and expanding the content of existing programs and developing new programs in a cost-effective manner or on a timely basis; industry competition, including competition for qualified executives and other personnel; risks associated with the competitive environment for marketing our programs; failure on our part to keep up with advances in technology that could enhance the online experience for our students; our ability to manage future growth effectively; general adverse economic conditions or other developments that affect job prospects in our core disciplines; and other factors discussed in reports on file with the Securities and Exchange Commission.</w:t>
      </w:r>
    </w:p>
    <w:p>
      <w:pPr>
        <w:spacing w:after="0" w:line="130"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4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w:t>
      </w:r>
    </w:p>
    <w:p>
      <w:pPr>
        <w:spacing w:after="0" w:line="200" w:lineRule="exact"/>
        <w:rPr>
          <w:sz w:val="20"/>
          <w:szCs w:val="20"/>
          <w:color w:val="auto"/>
        </w:rPr>
      </w:pPr>
    </w:p>
    <w:p>
      <w:pPr>
        <w:spacing w:after="0" w:line="39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8" w:name="page9"/>
    <w:bookmarkEnd w:id="8"/>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2009 Results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Conference Call</w:t>
      </w:r>
    </w:p>
    <w:p>
      <w:pPr>
        <w:spacing w:after="0" w:line="189" w:lineRule="exact"/>
        <w:rPr>
          <w:sz w:val="20"/>
          <w:szCs w:val="20"/>
          <w:color w:val="auto"/>
        </w:rPr>
      </w:pPr>
    </w:p>
    <w:p>
      <w:pPr>
        <w:jc w:val="both"/>
        <w:ind w:left="8" w:right="559"/>
        <w:spacing w:after="0" w:line="279" w:lineRule="auto"/>
        <w:rPr>
          <w:sz w:val="20"/>
          <w:szCs w:val="20"/>
          <w:color w:val="auto"/>
        </w:rPr>
      </w:pPr>
      <w:r>
        <w:rPr>
          <w:rFonts w:ascii="Arial" w:cs="Arial" w:eastAsia="Arial" w:hAnsi="Arial"/>
          <w:sz w:val="17"/>
          <w:szCs w:val="17"/>
          <w:color w:val="auto"/>
        </w:rPr>
        <w:t xml:space="preserve">Grand Canyon Education, Inc. will discuss its fourth quarter and full year 2009 results and 2010 outlook during a conference call scheduled for tomorrow, February 19, 2009 at 9:00 a.m. Eastern time (ET). To participate in the live call, investors should dial 877-815-5362 (domestic and Canada) or 706-679-7806 (international), passcode 54465902 at 8:50 a.m. (ET). The Webcast will be available on the Grand Canyon Education, Inc. Web site at </w:t>
      </w:r>
      <w:r>
        <w:rPr>
          <w:rFonts w:ascii="Arial" w:cs="Arial" w:eastAsia="Arial" w:hAnsi="Arial"/>
          <w:sz w:val="17"/>
          <w:szCs w:val="17"/>
          <w:u w:val="single" w:color="auto"/>
          <w:color w:val="auto"/>
        </w:rPr>
        <w:t>www.gcu.edu</w:t>
      </w:r>
      <w:r>
        <w:rPr>
          <w:rFonts w:ascii="Arial" w:cs="Arial" w:eastAsia="Arial" w:hAnsi="Arial"/>
          <w:sz w:val="17"/>
          <w:szCs w:val="17"/>
          <w:color w:val="auto"/>
        </w:rPr>
        <w:t>.</w:t>
      </w:r>
    </w:p>
    <w:p>
      <w:pPr>
        <w:spacing w:after="0" w:line="131"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 xml:space="preserve">A replay of the call will be available approximately two hours following the conclusion of the call through February 19, 2011, at 800-642-1687 (domestic) or 706-645-9291 (international), passcode 54465902. It will also be archived at </w:t>
      </w:r>
      <w:r>
        <w:rPr>
          <w:rFonts w:ascii="Arial" w:cs="Arial" w:eastAsia="Arial" w:hAnsi="Arial"/>
          <w:sz w:val="18"/>
          <w:szCs w:val="18"/>
          <w:u w:val="single" w:color="auto"/>
          <w:color w:val="auto"/>
        </w:rPr>
        <w:t>www.gcu.edu</w:t>
      </w:r>
      <w:r>
        <w:rPr>
          <w:rFonts w:ascii="Arial" w:cs="Arial" w:eastAsia="Arial" w:hAnsi="Arial"/>
          <w:sz w:val="18"/>
          <w:szCs w:val="18"/>
          <w:color w:val="auto"/>
        </w:rPr>
        <w:t xml:space="preserve"> in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xml:space="preserve"> section for 60 days.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About Grand Canyon Education, Inc.</w:t>
      </w:r>
    </w:p>
    <w:p>
      <w:pPr>
        <w:spacing w:after="0" w:line="189"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ground programs at its traditional campus in Phoenix, Arizona and onsite at the facilities of employers. Approximately 37,700 students were enrolled as of December 31, 2009.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10636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48" w:right="559" w:hanging="348"/>
        <w:spacing w:after="0" w:line="264" w:lineRule="auto"/>
        <w:tabs>
          <w:tab w:leader="none" w:pos="34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Grand Canyon Education, Inc. is regionally accredited by The Higher Learning Commission of the North Central Association of Colleges and Schools (NCA), http://www.ncahlc.org. Grand Canyon University, 3300 W. Camelback Road, Phoenix, AZ 85017, </w:t>
      </w:r>
      <w:r>
        <w:rPr>
          <w:rFonts w:ascii="Arial" w:cs="Arial" w:eastAsia="Arial" w:hAnsi="Arial"/>
          <w:sz w:val="18"/>
          <w:szCs w:val="18"/>
          <w:b w:val="1"/>
          <w:bCs w:val="1"/>
          <w:u w:val="single" w:color="auto"/>
          <w:color w:val="auto"/>
        </w:rPr>
        <w:t>www.gcu.edu</w:t>
      </w:r>
      <w:r>
        <w:rPr>
          <w:rFonts w:ascii="Arial" w:cs="Arial" w:eastAsia="Arial" w:hAnsi="Arial"/>
          <w:sz w:val="18"/>
          <w:szCs w:val="18"/>
          <w:color w:val="auto"/>
        </w:rPr>
        <w:t>.</w:t>
      </w:r>
    </w:p>
    <w:p>
      <w:pPr>
        <w:spacing w:after="0" w:line="200" w:lineRule="exact"/>
        <w:rPr>
          <w:sz w:val="20"/>
          <w:szCs w:val="20"/>
          <w:color w:val="auto"/>
        </w:rPr>
      </w:pPr>
    </w:p>
    <w:p>
      <w:pPr>
        <w:spacing w:after="0" w:line="346"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020" w:type="dxa"/>
            <w:vAlign w:val="bottom"/>
            <w:gridSpan w:val="8"/>
          </w:tcPr>
          <w:p>
            <w:pPr>
              <w:spacing w:after="0"/>
              <w:rPr>
                <w:sz w:val="20"/>
                <w:szCs w:val="20"/>
                <w:color w:val="auto"/>
              </w:rPr>
            </w:pPr>
            <w:r>
              <w:rPr>
                <w:rFonts w:ascii="Arial" w:cs="Arial" w:eastAsia="Arial" w:hAnsi="Arial"/>
                <w:sz w:val="18"/>
                <w:szCs w:val="18"/>
                <w:b w:val="1"/>
                <w:bCs w:val="1"/>
                <w:color w:val="auto"/>
              </w:rPr>
              <w:t>Grand Canyon Education, Inc. Reports Fourth Quarter and Full-Year 2009 Results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7020" w:type="dxa"/>
            <w:vAlign w:val="bottom"/>
            <w:gridSpan w:val="8"/>
          </w:tcPr>
          <w:p>
            <w:pPr>
              <w:jc w:val="center"/>
              <w:ind w:left="221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Statements of Operations</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9"/>
          </w:tcPr>
          <w:p>
            <w:pPr>
              <w:jc w:val="right"/>
              <w:ind w:right="125"/>
              <w:spacing w:after="0"/>
              <w:rPr>
                <w:sz w:val="20"/>
                <w:szCs w:val="20"/>
                <w:color w:val="auto"/>
              </w:rPr>
            </w:pPr>
            <w:r>
              <w:rPr>
                <w:rFonts w:ascii="Arial" w:cs="Arial" w:eastAsia="Arial" w:hAnsi="Arial"/>
                <w:sz w:val="18"/>
                <w:szCs w:val="18"/>
                <w:b w:val="1"/>
                <w:bCs w:val="1"/>
                <w:color w:val="auto"/>
              </w:rPr>
              <w:t>(In thousands, except per share amounts)</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5"/>
          </w:tcPr>
          <w:p>
            <w:pPr>
              <w:jc w:val="center"/>
              <w:ind w:right="500"/>
              <w:spacing w:after="0" w:line="191" w:lineRule="exact"/>
              <w:rPr>
                <w:sz w:val="20"/>
                <w:szCs w:val="20"/>
                <w:color w:val="auto"/>
              </w:rPr>
            </w:pPr>
            <w:r>
              <w:rPr>
                <w:rFonts w:ascii="Arial" w:cs="Arial" w:eastAsia="Arial" w:hAnsi="Arial"/>
                <w:sz w:val="18"/>
                <w:szCs w:val="18"/>
                <w:b w:val="1"/>
                <w:bCs w:val="1"/>
                <w:color w:val="auto"/>
                <w:w w:val="90"/>
              </w:rPr>
              <w:t>Unaudited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9"/>
              </w:rPr>
              <w:t>Restated</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261,902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161,309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25,747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17,289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87,592</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54,450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w w:val="91"/>
              </w:rPr>
              <w:t>Selling and promotional, including $6,736 in 2009;</w:t>
            </w: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90"/>
              </w:rPr>
              <w:t>$5,895 in 2008; $1,417 and $1,535 for the three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w w:val="95"/>
              </w:rPr>
              <w:t>months ended December 31, 2009 and 2008,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respectively, to related parties</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23,009</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19,480</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85,405</w:t>
            </w:r>
          </w:p>
        </w:tc>
        <w:tc>
          <w:tcPr>
            <w:tcW w:w="2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65,551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9,542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35,619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Estimated litigation loss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5,200</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Exit costs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Royalty to former owner</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1,686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215,330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148,512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17,864</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46,572</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12,797</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45,283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17,979</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3,855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27,304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Preferred dividends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income available to common stockholders</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27,304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36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40" w:type="dxa"/>
            <w:vAlign w:val="bottom"/>
          </w:tcPr>
          <w:p>
            <w:pPr>
              <w:spacing w:after="0"/>
              <w:rPr>
                <w:sz w:val="16"/>
                <w:szCs w:val="16"/>
                <w:color w:val="auto"/>
              </w:rPr>
            </w:pPr>
          </w:p>
        </w:tc>
        <w:tc>
          <w:tcPr>
            <w:tcW w:w="36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3"/>
              </w:rPr>
              <w:t>Weighted average number of common shares</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b w:val="1"/>
                <w:bCs w:val="1"/>
                <w:color w:val="auto"/>
              </w:rPr>
              <w:t>Basic</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45,636</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31,240</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45,184</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22,185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46,041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37,488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45,503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33,430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510"/>
              <w:spacing w:after="0"/>
              <w:rPr>
                <w:sz w:val="20"/>
                <w:szCs w:val="20"/>
                <w:color w:val="auto"/>
              </w:rPr>
            </w:pPr>
            <w:r>
              <w:rPr>
                <w:rFonts w:ascii="Arial" w:cs="Arial" w:eastAsia="Arial" w:hAnsi="Arial"/>
                <w:sz w:val="18"/>
                <w:szCs w:val="18"/>
                <w:color w:val="auto"/>
                <w:w w:val="79"/>
              </w:rPr>
              <w:t>6</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b w:val="1"/>
          <w:bCs w:val="1"/>
          <w:color w:val="auto"/>
        </w:rPr>
        <w:t>Grand Canyon Education, Inc. Reports Fourth Quarter and Full-Year 2009 Results</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GRAND CANYON EDUCATION, INC.</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89" w:lineRule="exact"/>
        <w:rPr>
          <w:sz w:val="20"/>
          <w:szCs w:val="20"/>
          <w:color w:val="auto"/>
        </w:rPr>
      </w:pPr>
    </w:p>
    <w:p>
      <w:pPr>
        <w:jc w:val="both"/>
        <w:ind w:left="340" w:right="1760"/>
        <w:spacing w:after="0" w:line="271" w:lineRule="auto"/>
        <w:rPr>
          <w:sz w:val="20"/>
          <w:szCs w:val="20"/>
          <w:color w:val="auto"/>
        </w:rPr>
      </w:pPr>
      <w:r>
        <w:rPr>
          <w:rFonts w:ascii="Arial" w:cs="Arial" w:eastAsia="Arial" w:hAnsi="Arial"/>
          <w:sz w:val="17"/>
          <w:szCs w:val="17"/>
          <w:color w:val="auto"/>
        </w:rPr>
        <w:t>Adjusted EBITDA is defined as net income plus interest expense net of interest income, plus income tax expense, and plus depreciation and amortization (EBITDA), as adjusted for (i) royalty payments incurred pursuant to an agreement with our former owner that has been terminated as of April 15, 2008; (ii) management fees and expenses that are no longer paid;</w:t>
      </w:r>
    </w:p>
    <w:p>
      <w:pPr>
        <w:jc w:val="both"/>
        <w:ind w:left="340" w:right="1760" w:hanging="8"/>
        <w:spacing w:after="0" w:line="268"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contributions to Arizona school tuition organizations in lieu of state income taxes; (iv) estimated litigation loss; (v) exit costs; and (vi) share-based compensation.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Although we believe that equity-plan related compensation will be a key element of our employee relations and long-term incentives, we intend to exclude it as an expense when evaluating our core operating performance in any particular period. Accordingly, we have included share-based compensation expenses, along with management fees and expenses, royalty expenses to our former owner, and any other expenses and income that we do not consider reflective of our core operating performance, as an adjustment when calculating Adjusted EBITDA.</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management uses Adjusted EBITDA:</w:t>
      </w:r>
    </w:p>
    <w:p>
      <w:pPr>
        <w:spacing w:after="0" w:line="185" w:lineRule="exact"/>
        <w:rPr>
          <w:sz w:val="20"/>
          <w:szCs w:val="20"/>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developing our internal budgets and strategic plan;</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as a measurement of operating performance;</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as a factor in evaluating the performance of our management for compensation purposes;</w:t>
      </w:r>
    </w:p>
    <w:p>
      <w:pPr>
        <w:spacing w:after="0" w:line="157" w:lineRule="exact"/>
        <w:rPr>
          <w:rFonts w:ascii="Arial" w:cs="Arial" w:eastAsia="Arial" w:hAnsi="Arial"/>
          <w:sz w:val="18"/>
          <w:szCs w:val="18"/>
          <w:b w:val="1"/>
          <w:bCs w:val="1"/>
          <w:color w:val="auto"/>
        </w:rPr>
      </w:pPr>
    </w:p>
    <w:p>
      <w:pPr>
        <w:ind w:left="1040" w:hanging="343"/>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to, in part, assess compliance with our loan agreement; and</w:t>
      </w:r>
    </w:p>
    <w:p>
      <w:pPr>
        <w:spacing w:after="0" w:line="157" w:lineRule="exact"/>
        <w:rPr>
          <w:rFonts w:ascii="Arial" w:cs="Arial" w:eastAsia="Arial" w:hAnsi="Arial"/>
          <w:sz w:val="18"/>
          <w:szCs w:val="18"/>
          <w:b w:val="1"/>
          <w:bCs w:val="1"/>
          <w:color w:val="auto"/>
        </w:rPr>
      </w:pPr>
    </w:p>
    <w:p>
      <w:pPr>
        <w:jc w:val="both"/>
        <w:ind w:left="1040" w:right="1760" w:hanging="343"/>
        <w:spacing w:after="0" w:line="264" w:lineRule="auto"/>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141" w:lineRule="exact"/>
        <w:rPr>
          <w:sz w:val="20"/>
          <w:szCs w:val="20"/>
          <w:color w:val="auto"/>
        </w:rPr>
      </w:pPr>
    </w:p>
    <w:p>
      <w:pPr>
        <w:jc w:val="both"/>
        <w:ind w:left="340" w:right="1760"/>
        <w:spacing w:after="0" w:line="259" w:lineRule="auto"/>
        <w:rPr>
          <w:sz w:val="20"/>
          <w:szCs w:val="20"/>
          <w:color w:val="auto"/>
        </w:rPr>
      </w:pPr>
      <w:r>
        <w:rPr>
          <w:rFonts w:ascii="Arial" w:cs="Arial" w:eastAsia="Arial" w:hAnsi="Arial"/>
          <w:sz w:val="18"/>
          <w:szCs w:val="18"/>
          <w:color w:val="auto"/>
        </w:rPr>
        <w:t>Adjusted EBITDA is not a recognized measurement under U.S. generally accepted accounting principles, or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w:t>
      </w:r>
    </w:p>
    <w:p>
      <w:pPr>
        <w:spacing w:after="0" w:line="160"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following table provides a reconciliation of net income to Adjusted EBITDA, which is a non-GAAP measure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5"/>
          </w:tcPr>
          <w:p>
            <w:pPr>
              <w:jc w:val="center"/>
              <w:ind w:right="41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5"/>
          </w:tcPr>
          <w:p>
            <w:pPr>
              <w:jc w:val="center"/>
              <w:ind w:right="41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4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w:t>
            </w: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2008</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4"/>
              </w:rPr>
              <w:t>(Unaudited,</w:t>
            </w:r>
          </w:p>
        </w:tc>
        <w:tc>
          <w:tcPr>
            <w:tcW w:w="340" w:type="dxa"/>
            <w:vAlign w:val="bottom"/>
            <w:vMerge w:val="continue"/>
          </w:tcPr>
          <w:p>
            <w:pPr>
              <w:spacing w:after="0"/>
              <w:rPr>
                <w:sz w:val="18"/>
                <w:szCs w:val="18"/>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4"/>
              </w:rPr>
              <w:t>thousands)</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1,645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27,304</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6,685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1,289</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6,571</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627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17,979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7,664</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5,095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54,236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royalty to former owner</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rPr>
              <w:t>Plus: contributions to Arizona school tuition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organizations in lieu of state income taxes</w:t>
            </w:r>
          </w:p>
        </w:tc>
        <w:tc>
          <w:tcPr>
            <w:tcW w:w="16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20"/>
                <w:szCs w:val="20"/>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750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estimated litigation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5,200</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Plus: exit costs</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1,218</w:t>
            </w:r>
          </w:p>
        </w:tc>
        <w:tc>
          <w:tcPr>
            <w:tcW w:w="2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Plus: share-based compensation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980</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4,991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3,419</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22,990</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10,181</w:t>
            </w: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w:t>
            </w: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25,675</w:t>
            </w: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57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w w:val="98"/>
              </w:rPr>
              <w:t>Grand Canyon Education, Inc. Reports Fourth Quarter and Full-Year 2009 Results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40" w:type="dxa"/>
            <w:vAlign w:val="bottom"/>
          </w:tcPr>
          <w:p>
            <w:pPr>
              <w:spacing w:after="0"/>
              <w:rPr>
                <w:sz w:val="24"/>
                <w:szCs w:val="24"/>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rPr>
              <w:t>GRAND CANYON EDUCATION, INC.</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7"/>
              </w:rPr>
              <w:t>Balance Sheets</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in thousands, except share data)</w:t>
            </w:r>
          </w:p>
        </w:tc>
        <w:tc>
          <w:tcPr>
            <w:tcW w:w="200" w:type="dxa"/>
            <w:vAlign w:val="bottom"/>
          </w:tcPr>
          <w:p>
            <w:pPr>
              <w:spacing w:after="0"/>
              <w:rPr>
                <w:sz w:val="24"/>
                <w:szCs w:val="24"/>
                <w:color w:val="auto"/>
              </w:rPr>
            </w:pPr>
          </w:p>
        </w:tc>
        <w:tc>
          <w:tcPr>
            <w:tcW w:w="22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As of December 31,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8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9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62,571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Restricted cash, cash equivalents and investments (of which $170 is unrestricted at</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400"/>
              <w:spacing w:after="0"/>
              <w:rPr>
                <w:sz w:val="20"/>
                <w:szCs w:val="20"/>
                <w:color w:val="auto"/>
              </w:rPr>
            </w:pPr>
            <w:r>
              <w:rPr>
                <w:rFonts w:ascii="Arial" w:cs="Arial" w:eastAsia="Arial" w:hAnsi="Arial"/>
                <w:sz w:val="18"/>
                <w:szCs w:val="18"/>
                <w:color w:val="auto"/>
              </w:rPr>
              <w:t>December 31, 2009)</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3,403</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Accounts receivable, net of allowance for doubtful accounts of $7,553 and $6,356 at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December 31, 2009 and 2008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13,802</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3,785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2,629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90,246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67,370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41,399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 (of which $2,928 is restricted at December 31, 2008)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7,311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8,043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5,956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7,404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130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18,103</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estimated litigation loss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Accrued exit costs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832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Deferred revenue and student deposits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23,204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14,262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Due to related parties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751</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62,392</w:t>
            </w: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Notes payable, less current portion and other</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25,450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1,459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88,710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63,400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$0.01 par value, 10,000,000 shares authorized; 0 shares issued and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tcPr>
          <w:p>
            <w:pPr>
              <w:ind w:left="200"/>
              <w:spacing w:after="0"/>
              <w:rPr>
                <w:sz w:val="20"/>
                <w:szCs w:val="20"/>
                <w:color w:val="auto"/>
              </w:rPr>
            </w:pPr>
            <w:r>
              <w:rPr>
                <w:rFonts w:ascii="Arial" w:cs="Arial" w:eastAsia="Arial" w:hAnsi="Arial"/>
                <w:sz w:val="18"/>
                <w:szCs w:val="18"/>
                <w:color w:val="auto"/>
              </w:rPr>
              <w:t>outstanding at December 31, 2009 and 2008</w:t>
            </w:r>
          </w:p>
        </w:tc>
        <w:tc>
          <w:tcPr>
            <w:tcW w:w="2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8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100,000,000 shares authorized; 45,657,946 and</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45,465,160 shares issued and outstanding at December 31, 2009 and 2008, respectively</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70,100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64,808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Accumulated earnings (deficit)</w:t>
            </w: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15,615</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(11,689)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86,028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174,738</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vMerge w:val="restart"/>
          </w:tcPr>
          <w:p>
            <w:pPr>
              <w:jc w:val="center"/>
              <w:ind w:left="2670"/>
              <w:spacing w:after="0"/>
              <w:rPr>
                <w:sz w:val="20"/>
                <w:szCs w:val="20"/>
                <w:color w:val="auto"/>
              </w:rPr>
            </w:pPr>
            <w:r>
              <w:rPr>
                <w:rFonts w:ascii="Arial" w:cs="Arial" w:eastAsia="Arial" w:hAnsi="Arial"/>
                <w:sz w:val="18"/>
                <w:szCs w:val="18"/>
                <w:color w:val="auto"/>
                <w:w w:val="79"/>
              </w:rPr>
              <w:t>8</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6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w w:val="98"/>
              </w:rPr>
              <w:t>Grand Canyon Education, Inc. Reports Fourth Quarter and Full-Year 2009 Results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rPr>
              <w:t>GRAND CANYON EDUCATION, INC.</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7"/>
              </w:rPr>
              <w:t>Statements of Cash Flows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Year Ended December 31,</w:t>
            </w:r>
          </w:p>
        </w:tc>
        <w:tc>
          <w:tcPr>
            <w:tcW w:w="0" w:type="dxa"/>
            <w:vAlign w:val="bottom"/>
          </w:tcPr>
          <w:p>
            <w:pPr>
              <w:spacing w:after="0"/>
              <w:rPr>
                <w:sz w:val="1"/>
                <w:szCs w:val="1"/>
                <w:color w:val="auto"/>
              </w:rPr>
            </w:pPr>
          </w:p>
        </w:tc>
      </w:tr>
      <w:tr>
        <w:trPr>
          <w:trHeight w:val="210"/>
        </w:trPr>
        <w:tc>
          <w:tcPr>
            <w:tcW w:w="656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27,304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3,419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bad debts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7,960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Estimated litigation loss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Exit costs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832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 and other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(18,376)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2,155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8,928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Income taxes receivable/payable</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3,929</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revenue and student deposits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Prepaid royalties to former owner</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Royalty payable to former owner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00"/>
              <w:spacing w:after="0"/>
              <w:rPr>
                <w:sz w:val="20"/>
                <w:szCs w:val="20"/>
                <w:color w:val="auto"/>
              </w:rPr>
            </w:pPr>
            <w:r>
              <w:rPr>
                <w:rFonts w:ascii="Arial" w:cs="Arial" w:eastAsia="Arial" w:hAnsi="Arial"/>
                <w:sz w:val="18"/>
                <w:szCs w:val="18"/>
                <w:color w:val="auto"/>
              </w:rPr>
              <w:t>Deposit with former owner</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61,167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(24,760)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(8,374)</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Purchase of campus land and buildings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(35,505)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1,844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Purchases of investments</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(58,421)</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(2,415)</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on line of credit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Proceeds from debt</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25,547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Repurchase of outstanding shares</w:t>
            </w: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(14,495)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Institute Warrant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Repayment of Institute Note Payable</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Net proceeds from issuance of common stock</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14,880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128,756</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special distribution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(108,675)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Proceeds from exercise of warrant</w:t>
            </w: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24,673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27,419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35,152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62,571</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Cash paid during the year for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during the year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5,274</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w w:val="97"/>
              </w:rPr>
              <w:t>Purchases of property and equipment included in accounts payable and deferred rent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Removal of Utah leasehold improvements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274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Value assigned to Blanchard shares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Assumption of future obligations under gift annuities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6860" w:type="dxa"/>
            <w:vAlign w:val="bottom"/>
            <w:gridSpan w:val="2"/>
          </w:tcPr>
          <w:p>
            <w:pPr>
              <w:ind w:left="200"/>
              <w:spacing w:after="0"/>
              <w:rPr>
                <w:sz w:val="20"/>
                <w:szCs w:val="20"/>
                <w:color w:val="auto"/>
              </w:rPr>
            </w:pPr>
            <w:r>
              <w:rPr>
                <w:rFonts w:ascii="Arial" w:cs="Arial" w:eastAsia="Arial" w:hAnsi="Arial"/>
                <w:sz w:val="18"/>
                <w:szCs w:val="18"/>
                <w:color w:val="auto"/>
              </w:rPr>
              <w:t>Deferred tax on repurchase of Institute Warrant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Conversion of Series A and Series C convertible preferred stock</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32,886</w:t>
            </w:r>
          </w:p>
        </w:tc>
        <w:tc>
          <w:tcPr>
            <w:tcW w:w="0" w:type="dxa"/>
            <w:vAlign w:val="bottom"/>
          </w:tcPr>
          <w:p>
            <w:pPr>
              <w:spacing w:after="0"/>
              <w:rPr>
                <w:sz w:val="1"/>
                <w:szCs w:val="1"/>
                <w:color w:val="auto"/>
              </w:rPr>
            </w:pPr>
          </w:p>
        </w:tc>
      </w:tr>
      <w:tr>
        <w:trPr>
          <w:trHeight w:val="783"/>
        </w:trPr>
        <w:tc>
          <w:tcPr>
            <w:tcW w:w="6560" w:type="dxa"/>
            <w:vAlign w:val="bottom"/>
          </w:tcPr>
          <w:p>
            <w:pPr>
              <w:jc w:val="center"/>
              <w:ind w:left="2670"/>
              <w:spacing w:after="0"/>
              <w:rPr>
                <w:sz w:val="20"/>
                <w:szCs w:val="20"/>
                <w:color w:val="auto"/>
              </w:rPr>
            </w:pPr>
            <w:r>
              <w:rPr>
                <w:rFonts w:ascii="Arial" w:cs="Arial" w:eastAsia="Arial" w:hAnsi="Arial"/>
                <w:sz w:val="18"/>
                <w:szCs w:val="18"/>
                <w:color w:val="auto"/>
                <w:w w:val="79"/>
              </w:rPr>
              <w:t>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97" w:orient="portrait"/>
          <w:cols w:equalWidth="0" w:num="1">
            <w:col w:w="9879"/>
          </w:cols>
          <w:pgMar w:left="580" w:top="931" w:right="1440" w:bottom="0"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ind w:left="8"/>
        <w:spacing w:after="0"/>
        <w:rPr>
          <w:sz w:val="20"/>
          <w:szCs w:val="20"/>
          <w:color w:val="auto"/>
        </w:rPr>
      </w:pPr>
      <w:r>
        <w:rPr>
          <w:rFonts w:ascii="Arial" w:cs="Arial" w:eastAsia="Arial" w:hAnsi="Arial"/>
          <w:sz w:val="18"/>
          <w:szCs w:val="18"/>
          <w:b w:val="1"/>
          <w:bCs w:val="1"/>
          <w:color w:val="auto"/>
        </w:rPr>
        <w:t>Grand Canyon Education, Inc. Reports Fourth Quarter and Full-Year 2009 Results</w:t>
      </w:r>
    </w:p>
    <w:p>
      <w:pPr>
        <w:spacing w:after="0" w:line="202" w:lineRule="exact"/>
        <w:rPr>
          <w:sz w:val="20"/>
          <w:szCs w:val="20"/>
          <w:color w:val="auto"/>
        </w:rPr>
      </w:pPr>
    </w:p>
    <w:p>
      <w:pPr>
        <w:ind w:left="8" w:right="559" w:firstLine="373"/>
        <w:spacing w:after="0" w:line="308" w:lineRule="auto"/>
        <w:rPr>
          <w:sz w:val="20"/>
          <w:szCs w:val="20"/>
          <w:color w:val="auto"/>
        </w:rPr>
      </w:pPr>
      <w:r>
        <w:rPr>
          <w:rFonts w:ascii="Arial" w:cs="Arial" w:eastAsia="Arial" w:hAnsi="Arial"/>
          <w:sz w:val="17"/>
          <w:szCs w:val="17"/>
          <w:color w:val="auto"/>
        </w:rPr>
        <w:t>The following is a summary of our student enrollment at December 31, 2009 and December 31, 2008 (which included less than 200 students pursuing non-degree certificates) by degree type and by instructional delivery method:</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2009</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2008</w:t>
            </w:r>
          </w:p>
        </w:tc>
      </w:tr>
      <w:tr>
        <w:trPr>
          <w:trHeight w:val="210"/>
        </w:trPr>
        <w:tc>
          <w:tcPr>
            <w:tcW w:w="4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Graduate degrees</w:t>
            </w:r>
            <w:r>
              <w:rPr>
                <w:rFonts w:ascii="Arial" w:cs="Arial" w:eastAsia="Arial" w:hAnsi="Arial"/>
                <w:sz w:val="15"/>
                <w:szCs w:val="15"/>
                <w:color w:val="auto"/>
              </w:rPr>
              <w:t>(1)</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16,097</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Undergraduate degree</w:t>
            </w:r>
          </w:p>
        </w:tc>
        <w:tc>
          <w:tcPr>
            <w:tcW w:w="1000" w:type="dxa"/>
            <w:vAlign w:val="bottom"/>
          </w:tcPr>
          <w:p>
            <w:pPr>
              <w:jc w:val="right"/>
              <w:spacing w:after="0"/>
              <w:rPr>
                <w:sz w:val="20"/>
                <w:szCs w:val="20"/>
                <w:color w:val="auto"/>
              </w:rPr>
            </w:pPr>
            <w:r>
              <w:rPr>
                <w:rFonts w:ascii="Arial" w:cs="Arial" w:eastAsia="Arial" w:hAnsi="Arial"/>
                <w:sz w:val="18"/>
                <w:szCs w:val="18"/>
                <w:color w:val="auto"/>
              </w:rPr>
              <w:t>21,612</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11,605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47.1%</w:t>
            </w:r>
          </w:p>
        </w:tc>
      </w:tr>
      <w:tr>
        <w:trPr>
          <w:trHeight w:val="27"/>
        </w:trPr>
        <w:tc>
          <w:tcPr>
            <w:tcW w:w="4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December 31, 2009</w:t>
            </w:r>
          </w:p>
        </w:tc>
        <w:tc>
          <w:tcPr>
            <w:tcW w:w="242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December 31, 2008</w:t>
            </w:r>
          </w:p>
        </w:tc>
      </w:tr>
      <w:tr>
        <w:trPr>
          <w:trHeight w:val="210"/>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4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 of Students</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 of Total</w:t>
            </w:r>
          </w:p>
        </w:tc>
        <w:tc>
          <w:tcPr>
            <w:tcW w:w="160" w:type="dxa"/>
            <w:vAlign w:val="bottom"/>
          </w:tcPr>
          <w:p>
            <w:pPr>
              <w:spacing w:after="0"/>
              <w:rPr>
                <w:sz w:val="18"/>
                <w:szCs w:val="18"/>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34,596</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91.7%</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(3)</w:t>
            </w:r>
          </w:p>
        </w:tc>
        <w:tc>
          <w:tcPr>
            <w:tcW w:w="1000" w:type="dxa"/>
            <w:vAlign w:val="bottom"/>
          </w:tcPr>
          <w:p>
            <w:pPr>
              <w:jc w:val="right"/>
              <w:spacing w:after="0"/>
              <w:rPr>
                <w:sz w:val="20"/>
                <w:szCs w:val="20"/>
                <w:color w:val="auto"/>
              </w:rPr>
            </w:pPr>
            <w:r>
              <w:rPr>
                <w:rFonts w:ascii="Arial" w:cs="Arial" w:eastAsia="Arial" w:hAnsi="Arial"/>
                <w:sz w:val="18"/>
                <w:szCs w:val="18"/>
                <w:color w:val="auto"/>
              </w:rPr>
              <w:t>3,113</w:t>
            </w:r>
          </w:p>
        </w:tc>
        <w:tc>
          <w:tcPr>
            <w:tcW w:w="3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2,681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1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24,636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1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8"/>
        </w:trPr>
        <w:tc>
          <w:tcPr>
            <w:tcW w:w="166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75" w:lineRule="exact"/>
        <w:rPr>
          <w:sz w:val="20"/>
          <w:szCs w:val="20"/>
          <w:color w:val="auto"/>
        </w:rPr>
      </w:pPr>
    </w:p>
    <w:p>
      <w:pPr>
        <w:ind w:left="348" w:hanging="348"/>
        <w:spacing w:after="0"/>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315 and 56 students pursuing doctoral degrees at December 31, 2009 and 2008, respectively.</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of December 31, 2009 44.5% of our Online students are pursuing graduate degrees.</w:t>
      </w:r>
    </w:p>
    <w:p>
      <w:pPr>
        <w:spacing w:after="0" w:line="76" w:lineRule="exact"/>
        <w:rPr>
          <w:rFonts w:ascii="Arial" w:cs="Arial" w:eastAsia="Arial" w:hAnsi="Arial"/>
          <w:sz w:val="18"/>
          <w:szCs w:val="18"/>
          <w:color w:val="auto"/>
        </w:rPr>
      </w:pPr>
    </w:p>
    <w:p>
      <w:pPr>
        <w:ind w:left="348" w:hanging="348"/>
        <w:spacing w:after="0"/>
        <w:tabs>
          <w:tab w:leader="none" w:pos="34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both our traditional on-campus students, as well as our professional studies students.</w:t>
      </w:r>
    </w:p>
    <w:p>
      <w:pPr>
        <w:spacing w:after="0" w:line="185" w:lineRule="exact"/>
        <w:rPr>
          <w:sz w:val="20"/>
          <w:szCs w:val="20"/>
          <w:color w:val="auto"/>
        </w:rPr>
      </w:pPr>
    </w:p>
    <w:p>
      <w:pPr>
        <w:jc w:val="both"/>
        <w:ind w:left="8" w:right="559" w:firstLine="373"/>
        <w:spacing w:after="0" w:line="312" w:lineRule="auto"/>
        <w:rPr>
          <w:sz w:val="20"/>
          <w:szCs w:val="20"/>
          <w:color w:val="auto"/>
        </w:rPr>
      </w:pPr>
      <w:r>
        <w:rPr>
          <w:rFonts w:ascii="Arial" w:cs="Arial" w:eastAsia="Arial" w:hAnsi="Arial"/>
          <w:sz w:val="16"/>
          <w:szCs w:val="16"/>
          <w:color w:val="auto"/>
        </w:rPr>
        <w:t>The following tables summarizes the unaudited quarterly results of operations as originally reported and as restated for each of the four quarters of 2008 and the first two quarters of 2009 with the restated amounts reflecting amounts that would have been recorded had the days approach been used to recognize revenue and related expenses for all periods presented.</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94"/>
              </w:rPr>
              <w:t>2009</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Second Quarter</w:t>
            </w: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Second Quarter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As Reported</w:t>
            </w:r>
          </w:p>
        </w:tc>
        <w:tc>
          <w:tcPr>
            <w:tcW w:w="3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As Reported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As 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58,964</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55,459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62,905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18,332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20,047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20,411</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19,670</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20,631</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8,833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8,688</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Estimated litigation loss</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exit costs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46,909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49,440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49,899</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12,055</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9,661</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4,593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5"/>
              </w:rPr>
              <w:t>Net income available to common stockholders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6,903</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5,815</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45,474</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45,821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45,051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45,051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568" w:right="659" w:hanging="4568"/>
        <w:spacing w:after="0" w:line="951" w:lineRule="auto"/>
        <w:tabs>
          <w:tab w:leader="none" w:pos="3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5" w:name="page16"/>
    <w:bookmarkEnd w:id="15"/>
    <w:tbl>
      <w:tblPr>
        <w:tblLayout w:type="fixed"/>
        <w:tblInd w:w="8"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w w:val="94"/>
              </w:rPr>
              <w:t>2008</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11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First Quarter</w:t>
            </w:r>
          </w:p>
        </w:tc>
        <w:tc>
          <w:tcPr>
            <w:tcW w:w="20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Second Quarter</w:t>
            </w: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88"/>
              </w:rPr>
              <w:t>Second Quarter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1"/>
              </w:rPr>
              <w:t>As Reported</w:t>
            </w:r>
          </w:p>
        </w:tc>
        <w:tc>
          <w:tcPr>
            <w:tcW w:w="320" w:type="dxa"/>
            <w:vAlign w:val="bottom"/>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As Restated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As Reported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As 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35,709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33,389</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34,566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36,945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11,620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12,408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12,586</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14,887</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14,984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6,419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6"/>
        </w:trPr>
        <w:tc>
          <w:tcPr>
            <w:tcW w:w="380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29,769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34,180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34,666</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5,380</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2,076</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3,304</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dividends</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(loss) available to common</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3,051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1,902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Basic income (loss) per share(1)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0.16</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share(1)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weighted average shares outstanding</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33,849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19,142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31,395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588" w:right="659" w:hanging="4588"/>
        <w:spacing w:after="0" w:line="951" w:lineRule="auto"/>
        <w:tabs>
          <w:tab w:leader="none" w:pos="3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48" w:right="1440" w:bottom="1440" w:gutter="0" w:footer="0" w:header="0"/>
        </w:sectPr>
      </w:pPr>
    </w:p>
    <w:bookmarkStart w:id="16" w:name="page17"/>
    <w:bookmarkEnd w:id="16"/>
    <w:tbl>
      <w:tblPr>
        <w:tblLayout w:type="fixed"/>
        <w:tblInd w:w="8"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2008</w:t>
            </w:r>
          </w:p>
        </w:tc>
        <w:tc>
          <w:tcPr>
            <w:tcW w:w="1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4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Third Quarter</w:t>
            </w:r>
          </w:p>
        </w:tc>
        <w:tc>
          <w:tcPr>
            <w:tcW w:w="11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Third Quarter</w:t>
            </w:r>
          </w:p>
        </w:tc>
        <w:tc>
          <w:tcPr>
            <w:tcW w:w="240" w:type="dxa"/>
            <w:vAlign w:val="bottom"/>
          </w:tcPr>
          <w:p>
            <w:pPr>
              <w:spacing w:after="0"/>
              <w:rPr>
                <w:sz w:val="16"/>
                <w:szCs w:val="16"/>
                <w:color w:val="auto"/>
              </w:rPr>
            </w:pPr>
          </w:p>
        </w:tc>
        <w:tc>
          <w:tcPr>
            <w:tcW w:w="15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Fourth Quarter</w:t>
            </w:r>
          </w:p>
        </w:tc>
        <w:tc>
          <w:tcPr>
            <w:tcW w:w="12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w w:val="94"/>
              </w:rPr>
              <w:t>Fourth Quarter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5"/>
              </w:rPr>
              <w:t>As Reported</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As Restated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As Reported</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As Restated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39,351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40,420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50,555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costs and services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12,967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17,455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w:t>
            </w:r>
          </w:p>
        </w:tc>
        <w:tc>
          <w:tcPr>
            <w:tcW w:w="0" w:type="dxa"/>
            <w:vAlign w:val="bottom"/>
          </w:tcPr>
          <w:p>
            <w:pPr>
              <w:spacing w:after="0"/>
              <w:rPr>
                <w:sz w:val="1"/>
                <w:szCs w:val="1"/>
                <w:color w:val="auto"/>
              </w:rPr>
            </w:pPr>
          </w:p>
        </w:tc>
      </w:tr>
      <w:tr>
        <w:trPr>
          <w:trHeight w:val="216"/>
        </w:trPr>
        <w:tc>
          <w:tcPr>
            <w:tcW w:w="364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18,562</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18,600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19,516</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19,480</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10,833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16"/>
        </w:trPr>
        <w:tc>
          <w:tcPr>
            <w:tcW w:w="364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3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36,685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47,878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47,675</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3,805</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2,209</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Preferred dividends</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5"/>
        </w:trPr>
        <w:tc>
          <w:tcPr>
            <w:tcW w:w="3640" w:type="dxa"/>
            <w:vAlign w:val="bottom"/>
          </w:tcPr>
          <w:p>
            <w:pPr>
              <w:spacing w:after="0" w:line="205" w:lineRule="exact"/>
              <w:rPr>
                <w:sz w:val="20"/>
                <w:szCs w:val="20"/>
                <w:color w:val="auto"/>
              </w:rPr>
            </w:pPr>
            <w:r>
              <w:rPr>
                <w:rFonts w:ascii="Arial" w:cs="Arial" w:eastAsia="Arial" w:hAnsi="Arial"/>
                <w:sz w:val="18"/>
                <w:szCs w:val="18"/>
                <w:b w:val="1"/>
                <w:bCs w:val="1"/>
                <w:color w:val="auto"/>
              </w:rPr>
              <w:t>Net income (loss) available to common</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tcPr>
          <w:p>
            <w:pPr>
              <w:ind w:left="200"/>
              <w:spacing w:after="0"/>
              <w:rPr>
                <w:sz w:val="20"/>
                <w:szCs w:val="20"/>
                <w:color w:val="auto"/>
              </w:rPr>
            </w:pPr>
            <w:r>
              <w:rPr>
                <w:rFonts w:ascii="Arial" w:cs="Arial" w:eastAsia="Arial" w:hAnsi="Arial"/>
                <w:sz w:val="18"/>
                <w:szCs w:val="18"/>
                <w:b w:val="1"/>
                <w:bCs w:val="1"/>
                <w:color w:val="auto"/>
              </w:rPr>
              <w:t>stockholders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1,531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color w:val="auto"/>
              </w:rPr>
              <w:t>Basic income (loss) per share(1)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(loss) per share(1)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w w:val="96"/>
              </w:rPr>
              <w:t>Basic weighted 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19,219</w:t>
            </w: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4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Diluted weighted average shares</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outstanding</w:t>
            </w:r>
          </w:p>
        </w:tc>
        <w:tc>
          <w:tcPr>
            <w:tcW w:w="3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30,970</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30,970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37,488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37,488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left="4568" w:right="659" w:hanging="4568"/>
        <w:spacing w:after="0" w:line="951" w:lineRule="auto"/>
        <w:tabs>
          <w:tab w:leader="none" w:pos="3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and second quarter net loss. 12</w:t>
      </w:r>
    </w:p>
    <w:sectPr>
      <w:pgSz w:w="11900" w:h="16838" w:orient="portrait"/>
      <w:cols w:equalWidth="0" w:num="1">
        <w:col w:w="9887"/>
      </w:cols>
      <w:pgMar w:left="572" w:top="114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Roman"/>
      <w:start w:val="3"/>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2019-12-11T06:10:46Z</dcterms:created>
  <dcterms:modified xsi:type="dcterms:W3CDTF">2019-12-11T06:10:46Z</dcterms:modified>
</cp:coreProperties>
</file>