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3, 2009</w:t>
      </w:r>
    </w:p>
    <w:p>
      <w:pPr>
        <w:spacing w:after="0" w:line="200" w:lineRule="exact"/>
        <w:rPr>
          <w:sz w:val="24"/>
          <w:szCs w:val="24"/>
          <w:color w:val="auto"/>
        </w:rPr>
      </w:pPr>
    </w:p>
    <w:p>
      <w:pPr>
        <w:spacing w:after="0" w:line="21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20-3356009</w:t>
            </w:r>
          </w:p>
        </w:tc>
      </w:tr>
      <w:tr>
        <w:trPr>
          <w:trHeight w:val="191"/>
        </w:trPr>
        <w:tc>
          <w:tcPr>
            <w:tcW w:w="3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0"/>
        </w:trPr>
        <w:tc>
          <w:tcPr>
            <w:tcW w:w="34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4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85017</w:t>
            </w:r>
          </w:p>
        </w:tc>
      </w:tr>
      <w:tr>
        <w:trPr>
          <w:trHeight w:val="228"/>
        </w:trPr>
        <w:tc>
          <w:tcPr>
            <w:tcW w:w="4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92"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-127635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572770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5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right="559"/>
        <w:spacing w:after="0" w:line="282" w:lineRule="auto"/>
        <w:rPr>
          <w:sz w:val="20"/>
          <w:szCs w:val="20"/>
          <w:color w:val="auto"/>
        </w:rPr>
      </w:pPr>
      <w:r>
        <w:rPr>
          <w:rFonts w:ascii="Times New Roman" w:cs="Times New Roman" w:eastAsia="Times New Roman" w:hAnsi="Times New Roman"/>
          <w:sz w:val="18"/>
          <w:szCs w:val="18"/>
          <w:color w:val="auto"/>
        </w:rPr>
        <w:t>On August 3, 2009, Grand Canyon Education, Inc. (the “Company”) reported its results for the second quarter of 2009. The press release dated August 3, 2009 is furnished as Exhibit 99.1 to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Financial Statements and Exhibits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August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409575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559" w:firstLine="9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397"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8"/>
          <w:szCs w:val="18"/>
          <w:color w:val="auto"/>
        </w:rPr>
        <w:t>Date: August 3, 2009</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19685</wp:posOffset>
            </wp:positionV>
            <wp:extent cx="2838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40"/>
        <w:spacing w:after="0"/>
        <w:tabs>
          <w:tab w:leader="none" w:pos="48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925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August 3, 2009</w:t>
      </w:r>
    </w:p>
    <w:p>
      <w:pPr>
        <w:sectPr>
          <w:pgSz w:w="11900" w:h="16838" w:orient="portrait"/>
          <w:cols w:equalWidth="0" w:num="1">
            <w:col w:w="9879"/>
          </w:cols>
          <w:pgMar w:left="580" w:top="931" w:right="1440" w:bottom="1440" w:gutter="0" w:footer="0" w:header="0"/>
        </w:sectPr>
      </w:pPr>
    </w:p>
    <w:bookmarkStart w:id="4" w:name="page5"/>
    <w:bookmarkEnd w:id="4"/>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dbachus@gcu.edu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Jenkins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bjenkins@gcu.edu</w:t>
      </w:r>
    </w:p>
    <w:p>
      <w:pPr>
        <w:spacing w:after="0" w:line="17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SECOND QUARTER 2009 RESULTS</w:t>
      </w:r>
    </w:p>
    <w:p>
      <w:pPr>
        <w:spacing w:after="0" w:line="162" w:lineRule="exact"/>
        <w:rPr>
          <w:sz w:val="20"/>
          <w:szCs w:val="20"/>
          <w:color w:val="auto"/>
        </w:rPr>
      </w:pPr>
    </w:p>
    <w:p>
      <w:pPr>
        <w:jc w:val="center"/>
        <w:ind w:right="559"/>
        <w:spacing w:after="0" w:line="286" w:lineRule="auto"/>
        <w:rPr>
          <w:sz w:val="20"/>
          <w:szCs w:val="20"/>
          <w:color w:val="auto"/>
        </w:rPr>
      </w:pPr>
      <w:r>
        <w:rPr>
          <w:rFonts w:ascii="Times New Roman" w:cs="Times New Roman" w:eastAsia="Times New Roman" w:hAnsi="Times New Roman"/>
          <w:sz w:val="18"/>
          <w:szCs w:val="18"/>
          <w:b w:val="1"/>
          <w:bCs w:val="1"/>
          <w:color w:val="auto"/>
        </w:rPr>
        <w:t>Grand Canyon Education’s Second Quarter Net Revenue up 71.8 Percent; Enrollment up 67.3 Percent; Operating Margin up 15.7 Percent; Net Income up $5.9 Million</w:t>
      </w:r>
    </w:p>
    <w:p>
      <w:pPr>
        <w:spacing w:after="0" w:line="114" w:lineRule="exact"/>
        <w:rPr>
          <w:sz w:val="20"/>
          <w:szCs w:val="20"/>
          <w:color w:val="auto"/>
        </w:rPr>
      </w:pPr>
    </w:p>
    <w:p>
      <w:pPr>
        <w:jc w:val="both"/>
        <w:ind w:right="559"/>
        <w:spacing w:after="0" w:line="268" w:lineRule="auto"/>
        <w:rPr>
          <w:sz w:val="20"/>
          <w:szCs w:val="20"/>
          <w:color w:val="auto"/>
        </w:rPr>
      </w:pPr>
      <w:r>
        <w:rPr>
          <w:rFonts w:ascii="Times New Roman" w:cs="Times New Roman" w:eastAsia="Times New Roman" w:hAnsi="Times New Roman"/>
          <w:sz w:val="18"/>
          <w:szCs w:val="18"/>
          <w:b w:val="1"/>
          <w:bCs w:val="1"/>
          <w:color w:val="auto"/>
        </w:rPr>
        <w:t>ARIZONA, August 3, 2009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a regionally accredited provider of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campus-based post-secondary education services, today announced financial results for the three and six months ended June 30, 2009.</w:t>
      </w:r>
    </w:p>
    <w:p>
      <w:pPr>
        <w:spacing w:after="0" w:line="148" w:lineRule="exact"/>
        <w:rPr>
          <w:sz w:val="20"/>
          <w:szCs w:val="20"/>
          <w:color w:val="auto"/>
        </w:rPr>
      </w:pP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“It was the third consecutive quarter of outstanding performance for Grand Canyon University,” said Brian Mueller, Chief Executive Officer of Grand Canyon Education, Inc. “We are pleased with our results and feel very positive about executing on our long term strategy. As the global economy continues to change and evolve, students, both on campus and online, are finding Grand Canyon to be a reliable solution to their challenges,” he said.</w:t>
      </w:r>
    </w:p>
    <w:p>
      <w:pPr>
        <w:spacing w:after="0" w:line="14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7" w:right="1440"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the three months ended June 30, 2009:</w:t>
      </w:r>
    </w:p>
    <w:p>
      <w:pPr>
        <w:spacing w:after="0" w:line="185" w:lineRule="exact"/>
        <w:rPr>
          <w:sz w:val="20"/>
          <w:szCs w:val="20"/>
          <w:color w:val="auto"/>
        </w:rPr>
      </w:pPr>
    </w:p>
    <w:p>
      <w:pPr>
        <w:ind w:left="348" w:right="559" w:hanging="348"/>
        <w:spacing w:after="0" w:line="282" w:lineRule="auto"/>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revenues increased 71.8% to $59.4 million for the second quarter of 2009, compared to $34.6 million for the second quarter of 2008.</w:t>
      </w:r>
    </w:p>
    <w:p>
      <w:pPr>
        <w:spacing w:after="0" w:line="121"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June 30, 2009 our enrollment was approximately 27,600, an increase of 67.3% from our enrollment of approximately 16,500 at June 30, 2008.</w:t>
      </w:r>
    </w:p>
    <w:p>
      <w:pPr>
        <w:spacing w:after="0" w:line="134"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income for the second quarter of 2009 was $9.9 million, as compared to $0.4 million for the same period in 2008. The operating margin for the second quarter 2009 was 16.8%, compared to 1.1% for the same period in 2008.</w:t>
      </w:r>
    </w:p>
    <w:p>
      <w:pPr>
        <w:spacing w:after="0" w:line="121"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increased 489% to $12.5 million for the second quarter of 2009, compared to $2.1 million for the same period in 2008.</w:t>
      </w:r>
    </w:p>
    <w:p>
      <w:pPr>
        <w:spacing w:after="0" w:line="121" w:lineRule="exact"/>
        <w:rPr>
          <w:rFonts w:ascii="Times New Roman" w:cs="Times New Roman" w:eastAsia="Times New Roman" w:hAnsi="Times New Roman"/>
          <w:sz w:val="18"/>
          <w:szCs w:val="18"/>
          <w:b w:val="1"/>
          <w:bCs w:val="1"/>
          <w:color w:val="auto"/>
        </w:rPr>
      </w:pPr>
    </w:p>
    <w:p>
      <w:pPr>
        <w:ind w:left="348" w:hanging="348"/>
        <w:spacing w:after="0"/>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rate in the second quarter of 2009 was 39.8% compared to 38.0% in the second quarter of 2008.</w:t>
      </w:r>
    </w:p>
    <w:p>
      <w:pPr>
        <w:spacing w:after="0" w:line="198"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was $5.8 million for the second quarter of 2009, compared to a net loss of $0.1 million for the same period in 2008.</w:t>
      </w:r>
    </w:p>
    <w:p>
      <w:pPr>
        <w:spacing w:after="0" w:line="121"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net income per share was $0.13 for the second quarter of 2009, compared to diluted net loss per share of $0.02 for the same period in 2008.</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the six months ended June 30, 2009:</w:t>
      </w:r>
    </w:p>
    <w:p>
      <w:pPr>
        <w:spacing w:after="0" w:line="198" w:lineRule="exact"/>
        <w:rPr>
          <w:sz w:val="20"/>
          <w:szCs w:val="20"/>
          <w:color w:val="auto"/>
        </w:rPr>
      </w:pPr>
    </w:p>
    <w:p>
      <w:pPr>
        <w:ind w:left="348" w:hanging="348"/>
        <w:spacing w:after="0"/>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revenues increased 68.4% to $118.4 million, compared to $70.3 million for the same period in 2008.</w:t>
      </w:r>
    </w:p>
    <w:p>
      <w:pPr>
        <w:spacing w:after="0" w:line="184" w:lineRule="exact"/>
        <w:rPr>
          <w:rFonts w:ascii="Times New Roman" w:cs="Times New Roman" w:eastAsia="Times New Roman" w:hAnsi="Times New Roman"/>
          <w:sz w:val="18"/>
          <w:szCs w:val="18"/>
          <w:b w:val="1"/>
          <w:bCs w:val="1"/>
          <w:color w:val="auto"/>
        </w:rPr>
      </w:pPr>
    </w:p>
    <w:p>
      <w:pPr>
        <w:jc w:val="both"/>
        <w:ind w:left="348" w:right="559" w:hanging="348"/>
        <w:spacing w:after="0" w:line="266" w:lineRule="auto"/>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income for the six months ended June 30, 2009 was $22.0 million, an increase of 248% as compared to $6.3 million for the same period in 2008. The operating margin for the six months ended June 30, 2009 was 18.6%, compared to 9.0% for the same period in 2008.</w:t>
      </w:r>
    </w:p>
    <w:p>
      <w:pPr>
        <w:spacing w:after="0" w:line="135"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increased 162% to $27.0 million for the six months ended June 30, 2009, compared to $10.3 million for the same period in 2008.</w:t>
      </w:r>
    </w:p>
    <w:p>
      <w:pPr>
        <w:spacing w:after="0" w:line="94" w:lineRule="exact"/>
        <w:rPr>
          <w:rFonts w:ascii="Times New Roman" w:cs="Times New Roman" w:eastAsia="Times New Roman" w:hAnsi="Times New Roman"/>
          <w:sz w:val="18"/>
          <w:szCs w:val="18"/>
          <w:b w:val="1"/>
          <w:bCs w:val="1"/>
          <w:color w:val="auto"/>
        </w:rPr>
      </w:pPr>
    </w:p>
    <w:p>
      <w:pPr>
        <w:ind w:left="348" w:hanging="348"/>
        <w:spacing w:after="0"/>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rate in 2009 was 39.9% compared to 38.6% for the same period in 2008.</w:t>
      </w:r>
    </w:p>
    <w:p>
      <w:pPr>
        <w:spacing w:after="0" w:line="198"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increased 295% to $12.7 million for the six months ended June 30, 2009, compared to $3.2 million for the same period in 2008.</w:t>
      </w:r>
    </w:p>
    <w:p>
      <w:pPr>
        <w:spacing w:after="0" w:line="121" w:lineRule="exact"/>
        <w:rPr>
          <w:rFonts w:ascii="Times New Roman" w:cs="Times New Roman" w:eastAsia="Times New Roman" w:hAnsi="Times New Roman"/>
          <w:sz w:val="18"/>
          <w:szCs w:val="18"/>
          <w:b w:val="1"/>
          <w:bCs w:val="1"/>
          <w:color w:val="auto"/>
        </w:rPr>
      </w:pPr>
    </w:p>
    <w:p>
      <w:pPr>
        <w:ind w:left="348" w:right="559" w:hanging="348"/>
        <w:spacing w:after="0" w:line="282" w:lineRule="auto"/>
        <w:tabs>
          <w:tab w:leader="none" w:pos="34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net income per share was $0.28 for the six months ended June 30, 2009, compared to $0.08 for the same period in 2008.</w:t>
      </w:r>
    </w:p>
    <w:p>
      <w:pPr>
        <w:spacing w:after="0" w:line="121" w:lineRule="exact"/>
        <w:rPr>
          <w:sz w:val="20"/>
          <w:szCs w:val="20"/>
          <w:color w:val="auto"/>
        </w:rPr>
      </w:pPr>
    </w:p>
    <w:p>
      <w:pPr>
        <w:jc w:val="both"/>
        <w:ind w:left="8" w:right="559"/>
        <w:spacing w:after="0" w:line="258" w:lineRule="auto"/>
        <w:rPr>
          <w:sz w:val="20"/>
          <w:szCs w:val="20"/>
          <w:color w:val="auto"/>
        </w:rPr>
      </w:pPr>
      <w:r>
        <w:rPr>
          <w:rFonts w:ascii="Times New Roman" w:cs="Times New Roman" w:eastAsia="Times New Roman" w:hAnsi="Times New Roman"/>
          <w:sz w:val="18"/>
          <w:szCs w:val="18"/>
          <w:color w:val="auto"/>
        </w:rPr>
        <w:t>“Our strong earnings were the result of solid revenues, operating leverage and disciplined cost management,” said Daniel Bachus, the Company’s Chief Financial Officer. “The Company’s strong cash position and solid balance sheet provides Grand Canyon Education with considerable financial and strategic flexibility. We will continue to make investments in our technology infrastructure, marketing, recruiting, and student services in the second half of 2009. Based on these initiatives, we remain confident in our ability to achieve our goals and objectives for the year,” he said.</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Balance Sheet and Cash Flow</w:t>
      </w:r>
    </w:p>
    <w:p>
      <w:pPr>
        <w:spacing w:after="0" w:line="189" w:lineRule="exact"/>
        <w:rPr>
          <w:sz w:val="20"/>
          <w:szCs w:val="20"/>
          <w:color w:val="auto"/>
        </w:rPr>
      </w:pPr>
    </w:p>
    <w:p>
      <w:pPr>
        <w:jc w:val="both"/>
        <w:ind w:left="8" w:right="559"/>
        <w:spacing w:after="0" w:line="266" w:lineRule="auto"/>
        <w:rPr>
          <w:sz w:val="20"/>
          <w:szCs w:val="20"/>
          <w:color w:val="auto"/>
        </w:rPr>
      </w:pPr>
      <w:r>
        <w:rPr>
          <w:rFonts w:ascii="Times New Roman" w:cs="Times New Roman" w:eastAsia="Times New Roman" w:hAnsi="Times New Roman"/>
          <w:sz w:val="18"/>
          <w:szCs w:val="18"/>
          <w:color w:val="auto"/>
        </w:rPr>
        <w:t>As of June 30, 2009, the Company had cash and cash equivalents of $24.7 million compared to $35.2 million as of December 31, 2008 and restricted cash, cash equivalents and investments at June 30, 2009 and December 31, 2008 of $6.7 million and $5.6 million, respectively.</w:t>
      </w:r>
    </w:p>
    <w:p>
      <w:pPr>
        <w:spacing w:after="0" w:line="136" w:lineRule="exact"/>
        <w:rPr>
          <w:sz w:val="20"/>
          <w:szCs w:val="20"/>
          <w:color w:val="auto"/>
        </w:rPr>
      </w:pPr>
    </w:p>
    <w:p>
      <w:pPr>
        <w:jc w:val="both"/>
        <w:ind w:left="8" w:right="559"/>
        <w:spacing w:after="0" w:line="254" w:lineRule="auto"/>
        <w:rPr>
          <w:sz w:val="20"/>
          <w:szCs w:val="20"/>
          <w:color w:val="auto"/>
        </w:rPr>
      </w:pPr>
      <w:r>
        <w:rPr>
          <w:rFonts w:ascii="Times New Roman" w:cs="Times New Roman" w:eastAsia="Times New Roman" w:hAnsi="Times New Roman"/>
          <w:sz w:val="18"/>
          <w:szCs w:val="18"/>
          <w:color w:val="auto"/>
        </w:rPr>
        <w:t>The Company generated $27.0 million in cash from operating activities in the first six months of 2009 compared to using $1.7 million in the same period of 2008. Cash used in investing activities and cash provided by financing activities during the first six months of 2009 are primarily the result of the acquisition by the Company on April 28, 2009 of the land and buildings that comprise its ground campus and 909,348 shares of its common stock from Spirit Master Funding, LLC and Spirit Management Company, respectively (collectively, “Spirit”) for an aggregate purchase price of $50 million. Prior to the acquisition, the Company had leased the land and buildings from Spirit, accounting for the land as an operating lease and the buildings and improvements as capital lease obligations. To finance a portion of the purchase, the Company entered into a loan agreement with a financial institution pursuant to which it received net proceeds of $25.5 million, all of which was used as part of the purchase price. Under the terms of the loan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635635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2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p>
      <w:pPr>
        <w:spacing w:after="0" w:line="202"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Company will make principal payments in equal monthly installments of $143,000 plus accrued interest at 30 day LIBOR plus 3.5% (approximately 3.82% at June 30, 2009). All remaining unpaid principal is due on April 30, 2014. The loan agreement contains standard covenants, including covenants that, among other things, restrict the Company’s ability to incur additional debt or make certain investments, require the Company to maintain compliance with certain applicable regulatory standards, and require the Company to maintain a certain financial condition. Indebtedness under the loan agreement is secured by the land and buildings that comprise the Company’s ground campus. As of June 30, 2009, the Company is in compliance with its debt covenants. Included in cash used in investing activities is the allocated purchase amount for the campus land and buildings of $35.5 million. Included in cash provided by financing activities for the six months ended June 30, 2009 is the net proceeds of $25.5 million partially offset by the repurchase of the 909,348 shares of our common stock for an allocated purchase price of $14.5 million.</w:t>
      </w:r>
    </w:p>
    <w:p>
      <w:pPr>
        <w:spacing w:after="0" w:line="146"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In addition, the Company spent $11.1 million in other capital expenditures including leasehold improvements and furniture and equipment for increased number of employees and internal use software development. Cash used by financing activity for the six months ended June 30, 2008 was $10.7 million primarily due to the settlement reached in April 2008 with the former owners.</w:t>
      </w:r>
    </w:p>
    <w:p>
      <w:pPr>
        <w:spacing w:after="0" w:line="1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2009 Outlook</w:t>
      </w:r>
    </w:p>
    <w:p>
      <w:pPr>
        <w:spacing w:after="0" w:line="189"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For the third quarter ending September 30, 2009, enrollment is expected to grow by 48.9% to 32,700 from 21,957 at September 30, 2008, and net revenues by 61.4% to $63.5 million from $39.3 million as compared to the third quarter of 2008. Diluted net income per share is expected to be $0.13 per share.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Annual Outlook</w:t>
      </w:r>
    </w:p>
    <w:p>
      <w:pPr>
        <w:spacing w:after="0" w:line="20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For fiscal year 2009 we expect net revenues to be between $260.5 million and $262 million for the year ended December 31, 2009, and enrollment to be between 35,500 and 36,000 at December 31, 2009. The annual tax rate is anticipated to be approximately 40%. Diluted net income per share is expected to be between $0.66 and $0.67 per share.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2"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qui tam action regarding the manner in which we have compensated our enrollment personnel, and possible remedial actions or other liability resulting therefrom; the ability of our students to obtain federal Title IV funds, state financial aid, and private financing;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152"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89" w:lineRule="exact"/>
        <w:rPr>
          <w:sz w:val="20"/>
          <w:szCs w:val="20"/>
          <w:color w:val="auto"/>
        </w:rPr>
      </w:pPr>
    </w:p>
    <w:p>
      <w:pPr>
        <w:jc w:val="both"/>
        <w:ind w:left="8" w:right="559"/>
        <w:spacing w:after="0" w:line="261" w:lineRule="auto"/>
        <w:rPr>
          <w:sz w:val="20"/>
          <w:szCs w:val="20"/>
          <w:color w:val="auto"/>
        </w:rPr>
      </w:pPr>
      <w:r>
        <w:rPr>
          <w:rFonts w:ascii="Times New Roman" w:cs="Times New Roman" w:eastAsia="Times New Roman" w:hAnsi="Times New Roman"/>
          <w:sz w:val="18"/>
          <w:szCs w:val="18"/>
          <w:color w:val="auto"/>
        </w:rPr>
        <w:t xml:space="preserve">Grand Canyon Education, Inc. will discuss its second quarter 2009 results and 2009 outlook during a conference call scheduled for today, August 3, 2009 at 5:00 p.m. Eastern time (ET). To participate in the live call, investors should dial 877-815-5362 (domestic and Canada) or 706-679-7806 (international), passcode 19381793 at 4:50 p.m. (ET). The Webcast will be available on the Grand Canyon Education, Inc. Web site at </w:t>
      </w:r>
      <w:r>
        <w:rPr>
          <w:rFonts w:ascii="Times New Roman" w:cs="Times New Roman" w:eastAsia="Times New Roman" w:hAnsi="Times New Roman"/>
          <w:sz w:val="18"/>
          <w:szCs w:val="18"/>
          <w:u w:val="single" w:color="auto"/>
          <w:color w:val="auto"/>
        </w:rPr>
        <w:t>www.gcu.edu</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jc w:val="both"/>
        <w:ind w:left="8" w:right="559"/>
        <w:spacing w:after="0" w:line="266" w:lineRule="auto"/>
        <w:rPr>
          <w:sz w:val="20"/>
          <w:szCs w:val="20"/>
          <w:color w:val="auto"/>
        </w:rPr>
      </w:pPr>
      <w:r>
        <w:rPr>
          <w:rFonts w:ascii="Times New Roman" w:cs="Times New Roman" w:eastAsia="Times New Roman" w:hAnsi="Times New Roman"/>
          <w:sz w:val="18"/>
          <w:szCs w:val="18"/>
          <w:color w:val="auto"/>
        </w:rPr>
        <w:t xml:space="preserve">A replay of the call will be available approximately two hours following the conclusion of the call through August 4, 2010, at 800-642-1687 (domestic) or 706-645-9291 (international), passcode 19381793. It will also be archived at </w:t>
      </w:r>
      <w:r>
        <w:rPr>
          <w:rFonts w:ascii="Times New Roman" w:cs="Times New Roman" w:eastAsia="Times New Roman" w:hAnsi="Times New Roman"/>
          <w:sz w:val="18"/>
          <w:szCs w:val="18"/>
          <w:u w:val="single" w:color="auto"/>
          <w:color w:val="auto"/>
        </w:rPr>
        <w:t>www.gcu.edu</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u w:val="single" w:color="auto"/>
          <w:color w:val="auto"/>
        </w:rPr>
        <w:t>investor relations</w:t>
      </w:r>
      <w:r>
        <w:rPr>
          <w:rFonts w:ascii="Times New Roman" w:cs="Times New Roman" w:eastAsia="Times New Roman" w:hAnsi="Times New Roman"/>
          <w:sz w:val="18"/>
          <w:szCs w:val="18"/>
          <w:color w:val="auto"/>
        </w:rPr>
        <w:t xml:space="preserve"> section for 60 days.</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189" w:lineRule="exact"/>
        <w:rPr>
          <w:sz w:val="20"/>
          <w:szCs w:val="20"/>
          <w:color w:val="auto"/>
        </w:rPr>
      </w:pPr>
    </w:p>
    <w:p>
      <w:pPr>
        <w:jc w:val="both"/>
        <w:ind w:left="8" w:right="559"/>
        <w:spacing w:after="0" w:line="258" w:lineRule="auto"/>
        <w:rPr>
          <w:sz w:val="20"/>
          <w:szCs w:val="20"/>
          <w:color w:val="auto"/>
        </w:rPr>
      </w:pPr>
      <w:r>
        <w:rPr>
          <w:rFonts w:ascii="Times New Roman" w:cs="Times New Roman" w:eastAsia="Times New Roman" w:hAnsi="Times New Roman"/>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27,600 students were enrolled as of June 30, 2009. For more information about Grand Canyon Education, Inc., please visit </w:t>
      </w:r>
      <w:r>
        <w:rPr>
          <w:rFonts w:ascii="Times New Roman" w:cs="Times New Roman" w:eastAsia="Times New Roman" w:hAnsi="Times New Roman"/>
          <w:sz w:val="18"/>
          <w:szCs w:val="18"/>
          <w:u w:val="single" w:color="auto"/>
          <w:color w:val="auto"/>
        </w:rPr>
        <w:t>http://www.gcu.edu</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left="348" w:right="559" w:hanging="348"/>
        <w:spacing w:after="0" w:line="266" w:lineRule="auto"/>
        <w:tabs>
          <w:tab w:leader="none" w:pos="3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Times New Roman" w:cs="Times New Roman" w:eastAsia="Times New Roman" w:hAnsi="Times New Roman"/>
          <w:sz w:val="18"/>
          <w:szCs w:val="18"/>
          <w:b w:val="1"/>
          <w:bCs w:val="1"/>
          <w:u w:val="single" w:color="auto"/>
          <w:color w:val="auto"/>
        </w:rPr>
        <w:t>www.gcu.edu</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4528"/>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650240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2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7020" w:type="dxa"/>
            <w:vAlign w:val="bottom"/>
            <w:gridSpan w:val="8"/>
          </w:tcPr>
          <w:p>
            <w:pPr>
              <w:ind w:left="31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740" w:type="dxa"/>
            <w:vAlign w:val="bottom"/>
            <w:gridSpan w:val="5"/>
          </w:tcPr>
          <w:p>
            <w:pPr>
              <w:ind w:left="368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0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2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59,400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34,566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118,364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12,408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38,379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and promotional, including $1,779 and $1,413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 the three months ended June 30, 2009 and 2008,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respectively, and $3,391 and $2,925 for the six</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months ended June 30, 2009 and 2008, respectively,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related parties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20,631</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14,887</w:t>
            </w:r>
          </w:p>
        </w:tc>
        <w:tc>
          <w:tcPr>
            <w:tcW w:w="26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40,301</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27,473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8,688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6,419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17,521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to former owner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96,349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63,949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8,439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dividends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available to common stockholders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12,718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4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Shares used in computing net income (loss) per</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44,846</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19,142</w:t>
            </w:r>
          </w:p>
        </w:tc>
        <w:tc>
          <w:tcPr>
            <w:tcW w:w="2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45,159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45,051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19,142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45,437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32,623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89" w:lineRule="exact"/>
        <w:rPr>
          <w:sz w:val="20"/>
          <w:szCs w:val="20"/>
          <w:color w:val="auto"/>
        </w:rPr>
      </w:pPr>
    </w:p>
    <w:p>
      <w:pPr>
        <w:jc w:val="both"/>
        <w:ind w:left="340" w:right="1760"/>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management fees and expenses that are no longer paid; and (iii)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management fees and expenses, royalty expenses to our former owner, and any other expenses and income that we do not consider reflective of our core operating performance, as an adjustment when calculating Adjusted EBITDA.</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developing our internal budgets and strategic plan;</w:t>
      </w:r>
    </w:p>
    <w:p>
      <w:pPr>
        <w:spacing w:after="0" w:line="157"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measurement of operating performance;</w:t>
      </w:r>
    </w:p>
    <w:p>
      <w:pPr>
        <w:spacing w:after="0" w:line="157"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factor in evaluating the performance of our management for compensation purposes; and</w:t>
      </w:r>
    </w:p>
    <w:p>
      <w:pPr>
        <w:spacing w:after="0" w:line="157" w:lineRule="exact"/>
        <w:rPr>
          <w:rFonts w:ascii="Times New Roman" w:cs="Times New Roman" w:eastAsia="Times New Roman" w:hAnsi="Times New Roman"/>
          <w:sz w:val="18"/>
          <w:szCs w:val="18"/>
          <w:b w:val="1"/>
          <w:bCs w:val="1"/>
          <w:color w:val="auto"/>
        </w:rPr>
      </w:pPr>
    </w:p>
    <w:p>
      <w:pPr>
        <w:jc w:val="both"/>
        <w:ind w:left="1040" w:right="1760" w:hanging="343"/>
        <w:spacing w:after="0" w:line="266" w:lineRule="auto"/>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36" w:lineRule="exact"/>
        <w:rPr>
          <w:sz w:val="20"/>
          <w:szCs w:val="20"/>
          <w:color w:val="auto"/>
        </w:rPr>
      </w:pPr>
    </w:p>
    <w:p>
      <w:pPr>
        <w:jc w:val="both"/>
        <w:ind w:left="340" w:right="1760"/>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53" w:lineRule="exact"/>
        <w:rPr>
          <w:sz w:val="20"/>
          <w:szCs w:val="20"/>
          <w:color w:val="auto"/>
        </w:rPr>
      </w:pPr>
    </w:p>
    <w:p>
      <w:pPr>
        <w:jc w:val="both"/>
        <w:ind w:left="340" w:right="17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12,718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 net of interest income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income tax expense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3,846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3,238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25,253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royalty to former owner</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management fees and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26,978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78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678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24,742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7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$7,110 and $6,356 at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June 30, 2009 and December 31, 2008, respectively</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10,612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9,442</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48,399</w:t>
            </w:r>
          </w:p>
        </w:tc>
        <w:tc>
          <w:tcPr>
            <w:tcW w:w="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58,146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Restricted cash and investments (of which $0 and $2,928 is restricted at June 30, 2009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December 31, 2008,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royalties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revenue and student deposits</w:t>
            </w:r>
          </w:p>
        </w:tc>
        <w:tc>
          <w:tcPr>
            <w:tcW w:w="12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20,183</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less current portion and other</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3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72,541</w:t>
            </w:r>
          </w:p>
        </w:tc>
        <w:tc>
          <w:tcPr>
            <w:tcW w:w="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 shares authorized; 0 shares issued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 at June 30, 2009 and December 31, 2008</w:t>
            </w:r>
          </w:p>
        </w:tc>
        <w:tc>
          <w:tcPr>
            <w:tcW w:w="120" w:type="dxa"/>
            <w:vAlign w:val="bottom"/>
          </w:tcPr>
          <w:p>
            <w:pPr>
              <w:spacing w:after="0"/>
              <w:rPr>
                <w:sz w:val="20"/>
                <w:szCs w:val="20"/>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44,576,417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45,465,160 shares issued and outstanding at June 30, 2009 and December 31, 2008,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52,469</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340" w:type="dxa"/>
            <w:vAlign w:val="bottom"/>
          </w:tcPr>
          <w:p>
            <w:pPr>
              <w:spacing w:after="0"/>
              <w:rPr>
                <w:sz w:val="24"/>
                <w:szCs w:val="24"/>
                <w:color w:val="auto"/>
              </w:rPr>
            </w:pPr>
          </w:p>
        </w:tc>
        <w:tc>
          <w:tcPr>
            <w:tcW w:w="686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686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12,718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1,577</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6,587</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3,386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(1,296)</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(7,757)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Due to/from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2,942</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1,729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Deposit with former owner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Royalty payable to former owner</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royalties to former owner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Deferred revenue and student deposits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26,982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(11,111)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campus land and buildings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(35,505)</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restricted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payments on notes payable and capital lease obligations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(976)</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25,547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(14,495)</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on line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related party payable on preferred stock</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Institute Warrant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Repurchase of Institute Note Payable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 paid related to initial public offering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(10,410)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35,152</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24,742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equipment through notes payable and capital lease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Settlement of capital lease obligation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30,020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benefit of Spirit warrant intangible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 assigned to Blanchard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Assumption of future obligations under gift annuities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Accretion of dividends on Series C convertible preferred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1"/>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654"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8"/>
          <w:szCs w:val="18"/>
          <w:b w:val="1"/>
          <w:bCs w:val="1"/>
          <w:color w:val="auto"/>
        </w:rPr>
        <w:t>Grand Canyon Education, Inc. Reports Second Quarter 2009 Results</w:t>
      </w:r>
    </w:p>
    <w:p>
      <w:pPr>
        <w:spacing w:after="0" w:line="202" w:lineRule="exact"/>
        <w:rPr>
          <w:sz w:val="20"/>
          <w:szCs w:val="20"/>
          <w:color w:val="auto"/>
        </w:rPr>
      </w:pPr>
    </w:p>
    <w:p>
      <w:pPr>
        <w:ind w:left="8" w:right="559" w:firstLine="373"/>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student enrollment at June 30, 2009 and 2008 (which included less than 150 students pursuing non-degree certificates) by degree type and by instructional delivery method:</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70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June 30, 2009</w:t>
            </w:r>
          </w:p>
        </w:tc>
        <w:tc>
          <w:tcPr>
            <w:tcW w:w="24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Master’s or doctoral degree (1)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13,841</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10,051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Bachelor’s degree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49.9%</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70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June 30, 2009</w:t>
            </w:r>
          </w:p>
        </w:tc>
        <w:tc>
          <w:tcPr>
            <w:tcW w:w="24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26,234</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Ground(2)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063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48" w:hanging="348"/>
        <w:spacing w:after="0"/>
        <w:tabs>
          <w:tab w:leader="none" w:pos="3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228 students pursuing doctoral degrees at June 30, 2009.</w:t>
      </w:r>
    </w:p>
    <w:p>
      <w:pPr>
        <w:spacing w:after="0" w:line="76" w:lineRule="exact"/>
        <w:rPr>
          <w:rFonts w:ascii="Times New Roman" w:cs="Times New Roman" w:eastAsia="Times New Roman" w:hAnsi="Times New Roman"/>
          <w:sz w:val="18"/>
          <w:szCs w:val="18"/>
          <w:color w:val="auto"/>
        </w:rPr>
      </w:pPr>
    </w:p>
    <w:p>
      <w:pPr>
        <w:ind w:left="348" w:right="559" w:hanging="348"/>
        <w:spacing w:after="0" w:line="282" w:lineRule="auto"/>
        <w:tabs>
          <w:tab w:leader="none" w:pos="3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small number of our traditional students that are taking courses during the summer, as well as our professional studies students.</w:t>
      </w:r>
    </w:p>
    <w:sectPr>
      <w:pgSz w:w="11900" w:h="16838" w:orient="portrait"/>
      <w:cols w:equalWidth="0" w:num="1">
        <w:col w:w="9887"/>
      </w:cols>
      <w:pgMar w:left="572"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2019-12-15T15:57:17Z</dcterms:created>
  <dcterms:modified xsi:type="dcterms:W3CDTF">2019-12-15T15:57:17Z</dcterms:modified>
</cp:coreProperties>
</file>