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Grand Canyon Education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38526M106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38526M106</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64,569</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2,856,215</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61,369</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2,917,584</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6.48%</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78"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3300 W. Camelback Road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Phoenix, Arizona 85017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38526M106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2,917,584</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78"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64,569</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3" w:lineRule="exact"/>
        <w:rPr>
          <w:rFonts w:ascii="Times New Roman" w:cs="Times New Roman" w:eastAsia="Times New Roman" w:hAnsi="Times New Roman"/>
          <w:sz w:val="18"/>
          <w:szCs w:val="18"/>
          <w:color w:val="auto"/>
        </w:rPr>
      </w:pPr>
    </w:p>
    <w:p>
      <w:pPr>
        <w:ind w:left="100" w:right="612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2,856,215 (iv) shared power to dispose or to direct the disposition of: 61,369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2/6/14</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78" w:right="35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61,369 shares or .13% of the Common Stock outstanding of the Company as a result of its serving as investment manager of collective trust accounts.</w:t>
      </w:r>
    </w:p>
    <w:p>
      <w:pPr>
        <w:spacing w:after="0" w:line="16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3,200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57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2019-12-07T18:33:51Z</dcterms:created>
  <dcterms:modified xsi:type="dcterms:W3CDTF">2019-12-07T18:33:51Z</dcterms:modified>
</cp:coreProperties>
</file>