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1"/>
              </w:rPr>
              <w:t>(State or</w:t>
            </w:r>
          </w:p>
        </w:tc>
        <w:tc>
          <w:tcPr>
            <w:tcW w:w="740" w:type="dxa"/>
            <w:vAlign w:val="bottom"/>
          </w:tcPr>
          <w:p>
            <w:pPr>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gridSpan w:val="3"/>
          </w:tcPr>
          <w:p>
            <w:pPr>
              <w:spacing w:after="0"/>
              <w:rPr>
                <w:sz w:val="20"/>
                <w:szCs w:val="20"/>
                <w:color w:val="auto"/>
              </w:rPr>
            </w:pPr>
          </w:p>
        </w:tc>
        <w:tc>
          <w:tcPr>
            <w:tcW w:w="1000" w:type="dxa"/>
            <w:vAlign w:val="bottom"/>
            <w:gridSpan w:val="2"/>
          </w:tcPr>
          <w:p>
            <w:pPr>
              <w:jc w:val="center"/>
              <w:ind w:left="119"/>
              <w:spacing w:after="0"/>
              <w:rPr>
                <w:sz w:val="20"/>
                <w:szCs w:val="20"/>
                <w:color w:val="auto"/>
              </w:rPr>
            </w:pPr>
            <w:r>
              <w:rPr>
                <w:rFonts w:ascii="Arial" w:cs="Arial" w:eastAsia="Arial" w:hAnsi="Arial"/>
                <w:sz w:val="18"/>
                <w:szCs w:val="18"/>
                <w:b w:val="1"/>
                <w:bCs w:val="1"/>
                <w:color w:val="auto"/>
                <w:w w:val="88"/>
              </w:rPr>
              <w:t>001-34211</w:t>
            </w:r>
          </w:p>
        </w:tc>
        <w:tc>
          <w:tcPr>
            <w:tcW w:w="1400" w:type="dxa"/>
            <w:vAlign w:val="bottom"/>
          </w:tcPr>
          <w:p>
            <w:pPr>
              <w:spacing w:after="0"/>
              <w:rPr>
                <w:sz w:val="20"/>
                <w:szCs w:val="20"/>
                <w:color w:val="auto"/>
              </w:rPr>
            </w:pPr>
          </w:p>
        </w:tc>
        <w:tc>
          <w:tcPr>
            <w:tcW w:w="2520" w:type="dxa"/>
            <w:vAlign w:val="bottom"/>
            <w:gridSpan w:val="5"/>
          </w:tcPr>
          <w:p>
            <w:pPr>
              <w:jc w:val="center"/>
              <w:ind w:left="1316"/>
              <w:spacing w:after="0"/>
              <w:rPr>
                <w:sz w:val="20"/>
                <w:szCs w:val="20"/>
                <w:color w:val="auto"/>
              </w:rPr>
            </w:pPr>
            <w:r>
              <w:rPr>
                <w:rFonts w:ascii="Arial" w:cs="Arial" w:eastAsia="Arial" w:hAnsi="Arial"/>
                <w:sz w:val="18"/>
                <w:szCs w:val="18"/>
                <w:b w:val="1"/>
                <w:bCs w:val="1"/>
                <w:color w:val="auto"/>
                <w:w w:val="91"/>
              </w:rPr>
              <w:t>20-3356009</w:t>
            </w:r>
          </w:p>
        </w:tc>
        <w:tc>
          <w:tcPr>
            <w:tcW w:w="0" w:type="dxa"/>
            <w:vAlign w:val="bottom"/>
          </w:tcPr>
          <w:p>
            <w:pPr>
              <w:spacing w:after="0"/>
              <w:rPr>
                <w:sz w:val="1"/>
                <w:szCs w:val="1"/>
                <w:color w:val="auto"/>
              </w:rPr>
            </w:pPr>
          </w:p>
        </w:tc>
      </w:tr>
      <w:tr>
        <w:trPr>
          <w:trHeight w:val="27"/>
        </w:trPr>
        <w:tc>
          <w:tcPr>
            <w:tcW w:w="540" w:type="dxa"/>
            <w:vAlign w:val="bottom"/>
            <w:vMerge w:val="continue"/>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0" w:type="dxa"/>
            <w:vAlign w:val="bottom"/>
            <w:vMerge w:val="restart"/>
          </w:tcPr>
          <w:p>
            <w:pPr>
              <w:spacing w:after="0"/>
              <w:rPr>
                <w:sz w:val="2"/>
                <w:szCs w:val="2"/>
                <w:color w:val="auto"/>
              </w:rPr>
            </w:pPr>
          </w:p>
        </w:tc>
        <w:tc>
          <w:tcPr>
            <w:tcW w:w="15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540" w:type="dxa"/>
            <w:vAlign w:val="bottom"/>
            <w:vMerge w:val="continue"/>
          </w:tcPr>
          <w:p>
            <w:pPr>
              <w:spacing w:after="0"/>
              <w:rPr>
                <w:sz w:val="9"/>
                <w:szCs w:val="9"/>
                <w:color w:val="auto"/>
              </w:rPr>
            </w:pPr>
          </w:p>
        </w:tc>
        <w:tc>
          <w:tcPr>
            <w:tcW w:w="3660" w:type="dxa"/>
            <w:vAlign w:val="bottom"/>
            <w:gridSpan w:val="4"/>
          </w:tcPr>
          <w:p>
            <w:pPr>
              <w:ind w:left="20"/>
              <w:spacing w:after="0" w:line="113" w:lineRule="exact"/>
              <w:rPr>
                <w:sz w:val="20"/>
                <w:szCs w:val="20"/>
                <w:color w:val="auto"/>
              </w:rPr>
            </w:pPr>
            <w:r>
              <w:rPr>
                <w:rFonts w:ascii="Arial" w:cs="Arial" w:eastAsia="Arial" w:hAnsi="Arial"/>
                <w:sz w:val="13"/>
                <w:szCs w:val="13"/>
                <w:b w:val="1"/>
                <w:bCs w:val="1"/>
                <w:color w:val="auto"/>
              </w:rPr>
              <w:t>other Jurisdiction of</w:t>
            </w:r>
          </w:p>
        </w:tc>
        <w:tc>
          <w:tcPr>
            <w:tcW w:w="220" w:type="dxa"/>
            <w:vAlign w:val="bottom"/>
            <w:vMerge w:val="continue"/>
          </w:tcPr>
          <w:p>
            <w:pPr>
              <w:spacing w:after="0"/>
              <w:rPr>
                <w:sz w:val="9"/>
                <w:szCs w:val="9"/>
                <w:color w:val="auto"/>
              </w:rPr>
            </w:pPr>
          </w:p>
        </w:tc>
        <w:tc>
          <w:tcPr>
            <w:tcW w:w="7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4"/>
              </w:rPr>
              <w:t>(Commission</w:t>
            </w:r>
          </w:p>
        </w:tc>
        <w:tc>
          <w:tcPr>
            <w:tcW w:w="140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860" w:type="dxa"/>
            <w:vAlign w:val="bottom"/>
            <w:gridSpan w:val="3"/>
          </w:tcPr>
          <w:p>
            <w:pPr>
              <w:jc w:val="center"/>
              <w:spacing w:after="0" w:line="113" w:lineRule="exact"/>
              <w:rPr>
                <w:sz w:val="20"/>
                <w:szCs w:val="20"/>
                <w:color w:val="auto"/>
              </w:rPr>
            </w:pPr>
            <w:r>
              <w:rPr>
                <w:rFonts w:ascii="Arial" w:cs="Arial" w:eastAsia="Arial" w:hAnsi="Arial"/>
                <w:sz w:val="13"/>
                <w:szCs w:val="13"/>
                <w:b w:val="1"/>
                <w:bCs w:val="1"/>
                <w:color w:val="auto"/>
                <w:w w:val="96"/>
              </w:rPr>
              <w:t>(IRS Employer</w:t>
            </w: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gridSpan w:val="5"/>
          </w:tcPr>
          <w:p>
            <w:pPr>
              <w:jc w:val="center"/>
              <w:ind w:left="1316"/>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3300 W. Camelback Road</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Phoenix, Arizona</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3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85017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14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(602) 639-7500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403225</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This Amendment No. 1 to the Current Report on Form 8-K of Grand Canyon Education, Inc. (the “University”) filed with the Securities and Exchange Commission on October 28, 2015 (the “Original 8-K”), is filed to provide a revised earnings press release (the “Revised Release”), filed herewith as Exhibit 99.1 to this Amendment No. 1 to amend and replace the earnings press release attached as Exhibit 99.1 to the Original 8-K (the “Original Release”).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providing our quarterly and full year outlook for Target Operating Margin, we typically give effect in that calculation to the amount that we contribute each year in lieu of state of income taxes. In the Original Release, our stated full year Target Operating Margin of 27.1% did not give effect to the $2.8 million of contributions in lieu of state income taxes that we made during the quarter ended September 30, 2015. The Revised Release reflects these contributions and, giving effect to these contributions, our full year Target Operating Margin is 26.8%.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October 28, 2015, the University reported its results for the third quarter of 2015. The Revised Release is furnished as Exhibit 99.1 to this report.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Consolidated Financial Statements and Exhibits.</w:t>
      </w:r>
    </w:p>
    <w:p>
      <w:pPr>
        <w:spacing w:after="0" w:line="13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Revised Release dated October 28, 2015</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October 29, 2015</w:t>
      </w:r>
      <w:r>
        <w:rPr>
          <w:sz w:val="20"/>
          <w:szCs w:val="20"/>
          <w:color w:val="auto"/>
        </w:rPr>
        <w:tab/>
      </w:r>
      <w:r>
        <w:rPr>
          <w:rFonts w:ascii="Arial" w:cs="Arial" w:eastAsia="Arial" w:hAnsi="Arial"/>
          <w:sz w:val="17"/>
          <w:szCs w:val="17"/>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Principal Accounting Officer)</w:t>
      </w:r>
    </w:p>
    <w:p>
      <w:pPr>
        <w:sectPr>
          <w:pgSz w:w="11900" w:h="16838" w:orient="portrait"/>
          <w:cols w:equalWidth="0" w:num="1">
            <w:col w:w="10800"/>
          </w:cols>
          <w:pgMar w:left="240" w:top="270" w:right="8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40"/>
        <w:spacing w:after="0" w:line="180" w:lineRule="auto"/>
        <w:tabs>
          <w:tab w:leader="none" w:pos="1000" w:val="left"/>
        </w:tabs>
        <w:rPr>
          <w:sz w:val="20"/>
          <w:szCs w:val="20"/>
          <w:color w:val="auto"/>
        </w:rPr>
      </w:pPr>
      <w:r>
        <w:rPr>
          <w:rFonts w:ascii="Arial" w:cs="Arial" w:eastAsia="Arial" w:hAnsi="Arial"/>
          <w:sz w:val="22"/>
          <w:szCs w:val="22"/>
          <w:b w:val="1"/>
          <w:bCs w:val="1"/>
          <w:color w:val="auto"/>
          <w:vertAlign w:val="superscript"/>
        </w:rPr>
        <w:t>No.</w:t>
      </w:r>
      <w:r>
        <w:rPr>
          <w:sz w:val="20"/>
          <w:szCs w:val="20"/>
          <w:color w:val="auto"/>
        </w:rPr>
        <w:tab/>
      </w: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Revised Release dated October 28, 2015</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Dan.bachus@gcu.edu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Bob Romantic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602-639-7611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Bob.romantic@gcu.edu</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2015 RESULTS</w:t>
      </w:r>
    </w:p>
    <w:p>
      <w:pPr>
        <w:spacing w:after="0" w:line="20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ARIZONA, October 28, 2015</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a comprehensive regionally accredited university that offers over 160</w:t>
      </w:r>
      <w:r>
        <w:rPr>
          <w:rFonts w:ascii="Arial" w:cs="Arial" w:eastAsia="Arial" w:hAnsi="Arial"/>
          <w:sz w:val="18"/>
          <w:szCs w:val="18"/>
          <w:b w:val="1"/>
          <w:bCs w:val="1"/>
          <w:color w:val="auto"/>
        </w:rPr>
        <w:t xml:space="preserve"> </w:t>
      </w:r>
      <w:r>
        <w:rPr>
          <w:rFonts w:ascii="Arial" w:cs="Arial" w:eastAsia="Arial" w:hAnsi="Arial"/>
          <w:sz w:val="18"/>
          <w:szCs w:val="18"/>
          <w:color w:val="auto"/>
        </w:rPr>
        <w:t>graduate and undergraduate degree programs across eight colleges both online and on ground at our 200+ acre campus in Phoenix, Arizona, today announced financial results for the quarter ended September 30, 2015.</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 Reports Third Quarter 2015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2015:</w:t>
      </w:r>
    </w:p>
    <w:p>
      <w:pPr>
        <w:spacing w:after="0" w:line="131"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increased 10.5% to $193.4 million for the third quarter of 2015, compared to $175.1 million for the third quarter of 2014.</w:t>
      </w:r>
    </w:p>
    <w:p>
      <w:pPr>
        <w:spacing w:after="0" w:line="130" w:lineRule="exact"/>
        <w:rPr>
          <w:rFonts w:ascii="Arial" w:cs="Arial" w:eastAsia="Arial" w:hAnsi="Arial"/>
          <w:sz w:val="18"/>
          <w:szCs w:val="18"/>
          <w:color w:val="auto"/>
        </w:rPr>
      </w:pPr>
    </w:p>
    <w:p>
      <w:pPr>
        <w:ind w:left="440" w:right="20" w:hanging="324"/>
        <w:spacing w:after="0" w:line="264"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End-of-period enrollment increased 10.2% to 75,073 at September 30, 2015, from 68,122 at September 30, 2014, as ground enrollment increased 19.9% to 15,473 at September 30, 2015, from 12,904 at September 30, 2014 and online enrollment increased 7.9% to 59,600 at September 30, 2015, from 55,218 at September 30, 2014.</w:t>
      </w:r>
    </w:p>
    <w:p>
      <w:pPr>
        <w:spacing w:after="0" w:line="86" w:lineRule="exact"/>
        <w:rPr>
          <w:rFonts w:ascii="Arial" w:cs="Arial" w:eastAsia="Arial" w:hAnsi="Arial"/>
          <w:sz w:val="18"/>
          <w:szCs w:val="18"/>
          <w:color w:val="auto"/>
        </w:rPr>
      </w:pPr>
    </w:p>
    <w:p>
      <w:pPr>
        <w:ind w:left="440" w:right="220" w:hanging="324"/>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for the third quarter of 2015 was $49.0 million, an increase of 6.6% as compared to $46.0 million for the same period in 2014. The operating margin for the third quarter of 2015 was 25.3%, compared to 26.3% for the same period in 2014.</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increased 8.5% to $64.7 million for the third quarter of 2015, compared to $59.6 million for the same period in 2014.</w:t>
      </w:r>
    </w:p>
    <w:p>
      <w:pPr>
        <w:spacing w:after="0" w:line="130" w:lineRule="exact"/>
        <w:rPr>
          <w:rFonts w:ascii="Arial" w:cs="Arial" w:eastAsia="Arial" w:hAnsi="Arial"/>
          <w:sz w:val="18"/>
          <w:szCs w:val="18"/>
          <w:color w:val="auto"/>
        </w:rPr>
      </w:pPr>
    </w:p>
    <w:p>
      <w:pPr>
        <w:ind w:left="440" w:right="100" w:hanging="324"/>
        <w:spacing w:after="0" w:line="264"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tax rate in the third quarter of 2015 was 31.8% compared to 36.1% in the third quarter of 2014. The variance in the effective tax rate is attributable to non-recurring favorable items in the third quarter of 2015. The tax rate for both periods is less than the annual effective tax rates due to the contributions made in lieu of state income taxes in the third quarter of both years.</w:t>
      </w:r>
    </w:p>
    <w:p>
      <w:pPr>
        <w:spacing w:after="0" w:line="86"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increased 14.9% to $33.3 million for the third quarter of 2015, compared to $29.0 million for the same period in 2014.</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net income per share was $0.70 for the third quarter of 2015, compared to $0.62 for the same period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2015:</w:t>
      </w:r>
    </w:p>
    <w:p>
      <w:pPr>
        <w:spacing w:after="0" w:line="13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revenue increased 12.2% to $562.2 million for the nine months ended September 30, 2015, compared to $501.1 million for the same period in 2014.</w:t>
      </w:r>
    </w:p>
    <w:p>
      <w:pPr>
        <w:spacing w:after="0" w:line="153" w:lineRule="exact"/>
        <w:rPr>
          <w:rFonts w:ascii="Arial" w:cs="Arial" w:eastAsia="Arial" w:hAnsi="Arial"/>
          <w:sz w:val="16"/>
          <w:szCs w:val="16"/>
          <w:color w:val="auto"/>
        </w:rPr>
      </w:pPr>
    </w:p>
    <w:p>
      <w:pPr>
        <w:ind w:left="440" w:right="60" w:hanging="324"/>
        <w:spacing w:after="0" w:line="342"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income for the nine months ended September 30, 2015 was $147.2 million, an increase of 15.7% as compared to $127.3 million for the same period in 2014. The operating margin for the nine months ended September 30, 2015 was 26.2%, compared to 25.4% for the same period in 2014.</w:t>
      </w:r>
    </w:p>
    <w:p>
      <w:pPr>
        <w:spacing w:after="0" w:line="29" w:lineRule="exact"/>
        <w:rPr>
          <w:rFonts w:ascii="Arial" w:cs="Arial" w:eastAsia="Arial" w:hAnsi="Arial"/>
          <w:sz w:val="16"/>
          <w:szCs w:val="16"/>
          <w:color w:val="auto"/>
        </w:rPr>
      </w:pPr>
    </w:p>
    <w:p>
      <w:pPr>
        <w:ind w:left="440" w:right="16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increased 13.7% to $186.2 million for the nine months ended September 30, 2015, compared to $163.7 million for the same period in 2014.</w:t>
      </w:r>
    </w:p>
    <w:p>
      <w:pPr>
        <w:spacing w:after="0" w:line="75" w:lineRule="exact"/>
        <w:rPr>
          <w:rFonts w:ascii="Arial" w:cs="Arial" w:eastAsia="Arial" w:hAnsi="Arial"/>
          <w:sz w:val="18"/>
          <w:szCs w:val="18"/>
          <w:color w:val="auto"/>
        </w:rPr>
      </w:pPr>
    </w:p>
    <w:p>
      <w:pPr>
        <w:ind w:left="440" w:right="160" w:hanging="324"/>
        <w:spacing w:after="0" w:line="308"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tax rate in the nine months ended September 30, 2015 was 36.5% compared to 37.9% for the same period in 2014. The tax rate for both periods is less than the annual effective tax rates due to the contributions made in lieu of state income taxes in the third quarter of both years.</w:t>
      </w:r>
    </w:p>
    <w:p>
      <w:pPr>
        <w:spacing w:after="0" w:line="51" w:lineRule="exact"/>
        <w:rPr>
          <w:rFonts w:ascii="Arial" w:cs="Arial" w:eastAsia="Arial" w:hAnsi="Arial"/>
          <w:sz w:val="17"/>
          <w:szCs w:val="17"/>
          <w:color w:val="auto"/>
        </w:rPr>
      </w:pPr>
    </w:p>
    <w:p>
      <w:pPr>
        <w:ind w:left="440" w:hanging="324"/>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increased 19.0% to $93.3 million for the nine months ended September 30, 2015, compared to $78.4 million for the same period in 2014.</w:t>
      </w:r>
    </w:p>
    <w:p>
      <w:pPr>
        <w:spacing w:after="0" w:line="153" w:lineRule="exact"/>
        <w:rPr>
          <w:rFonts w:ascii="Arial" w:cs="Arial" w:eastAsia="Arial" w:hAnsi="Arial"/>
          <w:sz w:val="16"/>
          <w:szCs w:val="16"/>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net income per share was $1.97 for the nine months ended September 30, 2015, compared to $1.67 for the same period in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12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University financed its operating activities and capital expenditures during the nine months ended September 30, 2015 and 2014 primarily through cash provided by operating activities. Our unrestricted cash, cash equivalents and investments were $162.2 million and $166.0 million at September 30, 2015 and December 31, 2014, respectively. Our restricted cash, cash equivalents and investments at September 30, 2015 and December 31, 2014 were $64.7 million and $67.8 million, respectively.</w:t>
      </w:r>
    </w:p>
    <w:p>
      <w:pPr>
        <w:spacing w:after="0" w:line="18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University generated $169.0 million in cash from operating activities for the nine months ended September 30, 2015 compared to $156.7 million for the nine months ended September 30, 2014. The increase in cash generated from operating activities between the nine months ended September 30, 2014 and the nine months ended September 30, 2015 is primarily due to increased net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 Reports Third Quarter 2015 Results</w:t>
      </w:r>
    </w:p>
    <w:p>
      <w:pPr>
        <w:spacing w:after="0" w:line="1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Net cash used in investing activities was $152.9 million and $159.9 million for the nine months ended September 30, 2015 and 2014, respectively. Our cash used in investing activities was primarily related to capital expenditures. Capital expenditures were $169.7 million and $141.2 million for the nine months ended September 30, 2015 and 2014, respectively. During the nine-month period for 2015, capital expenditures primarily consisted of ground campus building projects such as the construction of four additional dormitories, an additional classroom building for our College of Science, Engineering and Technology, a new parking structure and land purchases adjacent to our Phoenix campus to support our growing traditional student enrollment as well as purchases of computer equipment, other internal use software projects and furniture and equipment to support our increasing employee headcount. During the nine-month period for 2014, capital expenditures primarily consisted of ground campus building projects such as the construction of an additional classroom building, additional residence halls, the expansion of our arena, and land purchases adjacent to our Phoenix campus to support our growing traditional student enrollment as well as purchases of computer equipment, other internal use software projects and furniture and equipment to support our increasing employee headcount. Also included in investing activities is the net short-term investment activity. In the first nine months of 2015 proceeds from the sale of short-term investments exceeded purchases by $16.8 million whereas in the first nine months of 2014 purchases exceeded proceeds by $18.7 million.</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cash used in financing activities was $3.1 million for the nine months ended September 30, 2015 whereas net cash provided by financing activities was $3.8 million for the nine months ended September 30, 2014. During the first nine months of 2015 $4.2 million was used to purchase common shares withheld in lieu of income taxes resulting from restricted share awards while principal payments on notes payable and capital leases totaled $5.1 million. These uses were partially offset by proceeds from the exercise of stock options of $2.9 million and excess tax benefits from share-based compensation of $3.3 million. During the first nine months of 2014, proceeds from the exercise of stock options of $7.0 million and excess tax benefits from share-based compensation of $7.2 million were partially offset by $3.6 million used to purchase common shares withheld in lieu of income taxes resulting from restricted share awards, $1.7 million used to purchase treasury stock in accordance with the university’s share repurchase program and principal payments on notes payable and capital leases totaled $5.0 million.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00"/>
          </w:cols>
          <w:pgMar w:left="240" w:top="270" w:right="259" w:bottom="1440" w:gutter="0" w:footer="0" w:header="0"/>
        </w:sectPr>
      </w:pPr>
    </w:p>
    <w:bookmarkStart w:id="7" w:name="page8"/>
    <w:bookmarkEnd w:id="7"/>
    <w:p>
      <w:pPr>
        <w:spacing w:after="0" w:line="218" w:lineRule="auto"/>
        <w:framePr w:w="9800" w:h="376" w:wrap="auto" w:vAnchor="page" w:hAnchor="page" w:x="1820" w:y="992"/>
        <w:rPr>
          <w:rFonts w:ascii="Arial" w:cs="Arial" w:eastAsia="Arial" w:hAnsi="Arial"/>
          <w:sz w:val="18"/>
          <w:szCs w:val="18"/>
          <w:color w:val="auto"/>
        </w:rPr>
      </w:pPr>
      <w:r>
        <w:rPr>
          <w:rFonts w:ascii="Arial" w:cs="Arial" w:eastAsia="Arial" w:hAnsi="Arial"/>
          <w:sz w:val="18"/>
          <w:szCs w:val="18"/>
          <w:color w:val="auto"/>
        </w:rPr>
        <w:t>Net revenue of $211.9 million; Target Operating Margin 28.4%; Diluted EPS of $0.78 using 47.6 million diluted shares; student counts of 74,700</w:t>
      </w:r>
    </w:p>
    <w:p>
      <w:pPr>
        <w:spacing w:after="0" w:line="209" w:lineRule="auto"/>
        <w:framePr w:w="8680" w:h="160" w:wrap="auto" w:vAnchor="page" w:hAnchor="page" w:x="1820" w:y="1425"/>
        <w:rPr>
          <w:rFonts w:ascii="Arial" w:cs="Arial" w:eastAsia="Arial" w:hAnsi="Arial"/>
          <w:sz w:val="16"/>
          <w:szCs w:val="16"/>
          <w:color w:val="auto"/>
        </w:rPr>
      </w:pPr>
      <w:r>
        <w:rPr>
          <w:rFonts w:ascii="Arial" w:cs="Arial" w:eastAsia="Arial" w:hAnsi="Arial"/>
          <w:sz w:val="16"/>
          <w:szCs w:val="16"/>
          <w:color w:val="auto"/>
        </w:rPr>
        <w:t>Net revenue of $774.1 million; Target Operating Margin 26.8%; Diluted EPS of $2.75 using 47.3 million diluted shares</w:t>
      </w:r>
    </w:p>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 Reports Third Quarter 2015 Results</w:t>
      </w:r>
    </w:p>
    <w:p>
      <w:pPr>
        <w:spacing w:after="0" w:line="15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2015 Outlook by Quarter</w:t>
      </w:r>
    </w:p>
    <w:p>
      <w:pPr>
        <w:spacing w:after="0" w:line="13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Q4 2015:</w:t>
      </w:r>
    </w:p>
    <w:p>
      <w:pPr>
        <w:spacing w:after="0" w:line="3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Full Year 2015:</w:t>
      </w:r>
    </w:p>
    <w:p>
      <w:pPr>
        <w:spacing w:after="0" w:line="33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rFonts w:ascii="Arial" w:cs="Arial" w:eastAsia="Arial" w:hAnsi="Arial"/>
          <w:sz w:val="16"/>
          <w:szCs w:val="16"/>
          <w:color w:val="auto"/>
        </w:rPr>
      </w:pPr>
    </w:p>
    <w:p>
      <w:pPr>
        <w:ind w:right="80"/>
        <w:spacing w:after="0" w:line="273"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projections, predictions, expectations, estimates, and forecasts as to our business, financial and operating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78" w:lineRule="exact"/>
        <w:rPr>
          <w:rFonts w:ascii="Arial" w:cs="Arial" w:eastAsia="Arial" w:hAnsi="Arial"/>
          <w:sz w:val="16"/>
          <w:szCs w:val="16"/>
          <w:color w:val="auto"/>
        </w:rPr>
      </w:pPr>
    </w:p>
    <w:p>
      <w:pPr>
        <w:spacing w:after="0" w:line="267"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our failure to comply with the extensive regulatory framework applicable to our industry, including Title IV of the Higher Education Act and the regulations thereunder, state laws and regulatory requirements, and accrediting commission requirements; the ability of our students to obtain federal Title IV funds, state financial aid, and private financing; risks associated with changes in applicable federal and state laws and regulations and accrediting commission standards, including pending rulemaking by the Department of Education; potential damage to our reputation or other adverse effects as a result of negative publicity in the media, in the industry or in connection with governmental reports or investigations, lawsuits, or otherwise, affecting us or other companies in the for-profit postsecondary education sector; our ability to properly manage risks and challenges associated with strategic initiatives, including the potential conversion of our university operations to non-profit status, the expansion of our campus, potential acquisitions of, or investments in, new businesses, acquisitions of new properties, or the development of new campuses; our ability to hire and train new, and develop and train existing, faculty and employees; the pace of growth of our enrollment; our ability to convert prospective students to enrolled students and to retain active students; our success in updating and expanding the content of existing programs and developing new programs in a cost-effective manner or on a timely basis; industry competition, including competition for qualified executives and other personnel; risks associated with the competitive environment for marketing our programs; failure on our part to keep up with advances in technology that could enhance the online experience for our students; the extent to which obligations under our loan agreement, including the need to comply with restrictive and financial covenants and to pay principal and interest payments, limits our ability to conduct our operations or seek new business opportunities; our ability to manage future growth effectively; general adverse economic conditions or other developments that affect job prospects of our students; and other factors discussed in reports on file with the Securities and Exchange Commission.</w:t>
      </w:r>
    </w:p>
    <w:p>
      <w:pPr>
        <w:spacing w:after="0" w:line="188" w:lineRule="exact"/>
        <w:rPr>
          <w:rFonts w:ascii="Arial" w:cs="Arial" w:eastAsia="Arial" w:hAnsi="Arial"/>
          <w:sz w:val="16"/>
          <w:szCs w:val="16"/>
          <w:color w:val="auto"/>
        </w:rPr>
      </w:pPr>
    </w:p>
    <w:p>
      <w:pPr>
        <w:ind w:right="40"/>
        <w:spacing w:after="0" w:line="279"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04"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00"/>
          </w:cols>
          <w:pgMar w:left="240" w:top="27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 Reports Third Quarter 2015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 xml:space="preserve">Grand Canyon Education, Inc. will discuss its third quarter 2015 results and fourth quarter 2015 outlook during a conference call scheduled for today, October 28, 2015 at 4:30 p.m. Eastern time (ET). To participate in the live call, investors should dial 877-577-1769 (domestic and Canada) or 706-679-7806 (international), passcode 52780393 at 4:25 p.m. (ET). The Webcast will be available on the Grand Canyon Education, Inc. Web site at </w:t>
      </w:r>
      <w:r>
        <w:rPr>
          <w:rFonts w:ascii="Arial" w:cs="Arial" w:eastAsia="Arial" w:hAnsi="Arial"/>
          <w:sz w:val="16"/>
          <w:szCs w:val="16"/>
          <w:u w:val="single" w:color="auto"/>
          <w:color w:val="auto"/>
        </w:rPr>
        <w:t>www.gcu.edu</w:t>
      </w:r>
      <w:r>
        <w:rPr>
          <w:rFonts w:ascii="Arial" w:cs="Arial" w:eastAsia="Arial" w:hAnsi="Arial"/>
          <w:sz w:val="16"/>
          <w:szCs w:val="16"/>
          <w:color w:val="auto"/>
        </w:rPr>
        <w:t>.</w:t>
      </w:r>
    </w:p>
    <w:p>
      <w:pPr>
        <w:spacing w:after="0" w:line="147" w:lineRule="exact"/>
        <w:rPr>
          <w:sz w:val="20"/>
          <w:szCs w:val="20"/>
          <w:color w:val="auto"/>
        </w:rPr>
      </w:pPr>
    </w:p>
    <w:p>
      <w:pPr>
        <w:ind w:right="980"/>
        <w:spacing w:after="0" w:line="308" w:lineRule="auto"/>
        <w:rPr>
          <w:sz w:val="20"/>
          <w:szCs w:val="20"/>
          <w:color w:val="auto"/>
        </w:rPr>
      </w:pPr>
      <w:r>
        <w:rPr>
          <w:rFonts w:ascii="Arial" w:cs="Arial" w:eastAsia="Arial" w:hAnsi="Arial"/>
          <w:sz w:val="17"/>
          <w:szCs w:val="17"/>
          <w:color w:val="auto"/>
        </w:rPr>
        <w:t xml:space="preserve">A replay of the call will be available approximately two hours following the conclusion of the call, at 855-859-2056 (domestic) or 404-537-3406 (international), passcode 52780393. It will also be archived at </w:t>
      </w:r>
      <w:r>
        <w:rPr>
          <w:rFonts w:ascii="Arial" w:cs="Arial" w:eastAsia="Arial" w:hAnsi="Arial"/>
          <w:sz w:val="17"/>
          <w:szCs w:val="17"/>
          <w:u w:val="single" w:color="auto"/>
          <w:color w:val="auto"/>
        </w:rPr>
        <w:t>www.gcu.edu</w:t>
      </w:r>
      <w:r>
        <w:rPr>
          <w:rFonts w:ascii="Arial" w:cs="Arial" w:eastAsia="Arial" w:hAnsi="Arial"/>
          <w:sz w:val="17"/>
          <w:szCs w:val="17"/>
          <w:color w:val="auto"/>
        </w:rPr>
        <w:t xml:space="preserve"> in the </w:t>
      </w:r>
      <w:r>
        <w:rPr>
          <w:rFonts w:ascii="Arial" w:cs="Arial" w:eastAsia="Arial" w:hAnsi="Arial"/>
          <w:sz w:val="17"/>
          <w:szCs w:val="17"/>
          <w:u w:val="single" w:color="auto"/>
          <w:color w:val="auto"/>
        </w:rPr>
        <w:t>investor relations</w:t>
      </w:r>
      <w:r>
        <w:rPr>
          <w:rFonts w:ascii="Arial" w:cs="Arial" w:eastAsia="Arial" w:hAnsi="Arial"/>
          <w:sz w:val="17"/>
          <w:szCs w:val="17"/>
          <w:color w:val="auto"/>
        </w:rPr>
        <w:t xml:space="preserve"> section for 60 days.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Grand Canyon Education, Inc.</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Grand Canyon Education, Inc. is a comprehensive regionally accredited university that offers over 160 graduate and undergraduate degree programs across eight colleges both online and on ground at our 200+ acre campus in Phoenix, Arizona, at leased facilities and at facilities owned by third party employers of our students. Our undergraduate programs are designed to be innovative and meet the future needs of employers while providing students with the needed critical thinking and effective communication skills developed through a Christian,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Approximately 75,100 students were enrolled as of September 30, 2015. For more information about Grand Canyon Education, Inc., please visit </w:t>
      </w:r>
      <w:r>
        <w:rPr>
          <w:rFonts w:ascii="Arial" w:cs="Arial" w:eastAsia="Arial" w:hAnsi="Arial"/>
          <w:sz w:val="17"/>
          <w:szCs w:val="17"/>
          <w:u w:val="single" w:color="auto"/>
          <w:color w:val="auto"/>
        </w:rPr>
        <w:t>http://www.gcu.edu</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6"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 xml:space="preserve">Grand Canyon Education, Inc. is regionally accredited by The Higher Learning Commission, Grand Canyon University, 3300 W. Camelback Road, Phoenix, AZ 85017, </w:t>
      </w:r>
      <w:r>
        <w:rPr>
          <w:rFonts w:ascii="Arial" w:cs="Arial" w:eastAsia="Arial" w:hAnsi="Arial"/>
          <w:sz w:val="18"/>
          <w:szCs w:val="18"/>
          <w:b w:val="1"/>
          <w:bCs w:val="1"/>
          <w:u w:val="single" w:color="auto"/>
          <w:color w:val="auto"/>
        </w:rPr>
        <w:t>www.gcu.edu</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 Reports Third Quarter 2015 Results</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(In thousands, except per share data)</w:t>
            </w:r>
          </w:p>
        </w:tc>
        <w:tc>
          <w:tcPr>
            <w:tcW w:w="45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Net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193,393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175,056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562,246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501,082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Instructional costs and services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83,180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71,714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237,224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210,239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Admissions advisory and related, including $412 and $762 for the three months ended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September 30, 2015 and 2014, respectively, and $1,406 and $2,373 for the nine months ended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September 30, 2015 and 2014, respectively, to related parties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27,506</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27,324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83,211</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Advertising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19,360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57,810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Marketing and promotional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11,640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31,466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144,409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129,100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415,020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373,803</w:t>
            </w:r>
          </w:p>
        </w:tc>
        <w:tc>
          <w:tcPr>
            <w:tcW w:w="0" w:type="dxa"/>
            <w:vAlign w:val="bottom"/>
          </w:tcPr>
          <w:p>
            <w:pPr>
              <w:spacing w:after="0"/>
              <w:rPr>
                <w:sz w:val="1"/>
                <w:szCs w:val="1"/>
                <w:color w:val="auto"/>
              </w:rPr>
            </w:pPr>
          </w:p>
        </w:tc>
      </w:tr>
      <w:tr>
        <w:trPr>
          <w:trHeight w:val="223"/>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147,226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127,279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Interest and other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146,977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53,680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47,828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78,373</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47,320</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 Reports Third Quarter 2015 Results</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jc w:val="both"/>
        <w:ind w:right="320"/>
        <w:spacing w:after="0" w:line="291" w:lineRule="auto"/>
        <w:rPr>
          <w:sz w:val="20"/>
          <w:szCs w:val="20"/>
          <w:color w:val="auto"/>
        </w:rPr>
      </w:pPr>
      <w:r>
        <w:rPr>
          <w:rFonts w:ascii="Arial" w:cs="Arial" w:eastAsia="Arial" w:hAnsi="Arial"/>
          <w:sz w:val="16"/>
          <w:szCs w:val="16"/>
          <w:color w:val="auto"/>
        </w:rPr>
        <w:t>Adjusted EBITDA is defined as net income plus interest expense net of interest income, plus income tax expense, and plus depreciation and amortization (EBITDA), as adjusted for (i) the amortization of prepaid royalty payments recorded in conjunction with a settlement of a dispute with our former owner;</w:t>
      </w:r>
    </w:p>
    <w:p>
      <w:pPr>
        <w:ind w:firstLine="8"/>
        <w:spacing w:after="0" w:line="267" w:lineRule="auto"/>
        <w:tabs>
          <w:tab w:leader="none" w:pos="26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contributions to Arizona school tuition organizations in lieu of the payment of state income taxes; (iii) share-based compensation and (iv) one-time, unusual charges or gains, such as litigation and regulatory reserves, impairment charges and asset write-offs, exit or lease termination costs or the gain recognized on the settlement of a third party note receivable. 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made to Arizona school tuition organizations in lieu of the payment of state income taxes, share-based compensation, one time unusual charges or gains such as estimated litigation and regulatory reserves, exit costs, contract and lease termination fees are not considered reflective of our core performance.</w:t>
      </w:r>
    </w:p>
    <w:p>
      <w:pPr>
        <w:spacing w:after="0" w:line="18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6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net income, operating income, or any other performance measure derived in accordance with and reported under GAAP or as an alternative to cash flow from operating activities or as a measure of our liquidity. Some of these limitations are that it does not reflect:</w:t>
      </w:r>
    </w:p>
    <w:p>
      <w:pPr>
        <w:spacing w:after="0" w:line="78"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or cash requirement for, our working capital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only use Adjusted EBITDA as a supplemental performance measure.</w:t>
      </w:r>
    </w:p>
    <w:p>
      <w:pPr>
        <w:sectPr>
          <w:pgSz w:w="11900" w:h="16838" w:orient="portrait"/>
          <w:cols w:equalWidth="0" w:num="1">
            <w:col w:w="11400"/>
          </w:cols>
          <w:pgMar w:left="240" w:top="27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a reconciliation of net income to Adjusted EBITDA, which is a non-GAAP measure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6"/>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(Unaudited, 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$33,342</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$29,016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78,373</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1000" w:type="dxa"/>
            <w:vAlign w:val="bottom"/>
            <w:gridSpan w:val="4"/>
          </w:tcPr>
          <w:p>
            <w:pPr>
              <w:jc w:val="right"/>
              <w:ind w:right="400"/>
              <w:spacing w:after="0"/>
              <w:rPr>
                <w:sz w:val="20"/>
                <w:szCs w:val="20"/>
                <w:color w:val="auto"/>
              </w:rPr>
            </w:pPr>
            <w:r>
              <w:rPr>
                <w:rFonts w:ascii="Arial" w:cs="Arial" w:eastAsia="Arial" w:hAnsi="Arial"/>
                <w:sz w:val="18"/>
                <w:szCs w:val="18"/>
                <w:color w:val="auto"/>
              </w:rPr>
              <w:t>112</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1,078</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15,530</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47,828</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8,677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25,138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21,196</w:t>
            </w:r>
          </w:p>
        </w:tc>
      </w:tr>
      <w:tr>
        <w:trPr>
          <w:trHeight w:val="27"/>
        </w:trPr>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172,364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148,475</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Plus: royalty to former owner</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Plus: prepaid royalty impairment and other fixed asset impairments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1,226</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Plus: contributions in lieu of state income taxes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2,750</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2,750</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Plus: estimated litigation and regulatory reserves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Plus: lease termination costs</w:t>
            </w:r>
          </w:p>
        </w:tc>
        <w:tc>
          <w:tcPr>
            <w:tcW w:w="20" w:type="dxa"/>
            <w:vAlign w:val="bottom"/>
          </w:tcPr>
          <w:p>
            <w:pPr>
              <w:spacing w:after="0"/>
              <w:rPr>
                <w:sz w:val="18"/>
                <w:szCs w:val="18"/>
                <w:color w:val="auto"/>
              </w:rPr>
            </w:pPr>
          </w:p>
        </w:tc>
        <w:tc>
          <w:tcPr>
            <w:tcW w:w="9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2,911</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7,412</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64,688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59,602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186,164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163,715</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60"/>
          </w:cols>
          <w:pgMar w:left="240" w:top="274" w:right="6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 Reports Third Quarter 2015 Results</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90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0"/>
              <w:spacing w:after="0" w:line="158"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0"/>
              <w:spacing w:after="0" w:line="15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08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080" w:type="dxa"/>
            <w:vAlign w:val="bottom"/>
            <w:shd w:val="clear" w:color="auto" w:fill="CCEEFF"/>
          </w:tcPr>
          <w:p>
            <w:pPr>
              <w:jc w:val="center"/>
              <w:ind w:right="2310"/>
              <w:spacing w:after="0"/>
              <w:rPr>
                <w:sz w:val="20"/>
                <w:szCs w:val="20"/>
                <w:color w:val="auto"/>
              </w:rPr>
            </w:pPr>
            <w:r>
              <w:rPr>
                <w:rFonts w:ascii="Arial" w:cs="Arial" w:eastAsia="Arial" w:hAnsi="Arial"/>
                <w:sz w:val="18"/>
                <w:szCs w:val="18"/>
                <w:b w:val="1"/>
                <w:bCs w:val="1"/>
                <w:color w:val="auto"/>
                <w:w w:val="92"/>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78,177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Restricted cash, cash equivalents and investments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64,737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84,016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9,500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263,233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639,631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912,611</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080" w:type="dxa"/>
            <w:vAlign w:val="bottom"/>
            <w:shd w:val="clear" w:color="auto" w:fill="CCEEFF"/>
          </w:tcPr>
          <w:p>
            <w:pPr>
              <w:jc w:val="center"/>
              <w:ind w:right="231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41,482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21,580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65,978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86,712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Due to related parties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238,783</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3,689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75,759</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332,974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279,481</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tcPr>
          <w:p>
            <w:pPr>
              <w:spacing w:after="0" w:line="201" w:lineRule="exact"/>
              <w:rPr>
                <w:sz w:val="20"/>
                <w:szCs w:val="20"/>
                <w:color w:val="auto"/>
              </w:rPr>
            </w:pPr>
            <w:r>
              <w:rPr>
                <w:rFonts w:ascii="Arial" w:cs="Arial" w:eastAsia="Arial" w:hAnsi="Arial"/>
                <w:sz w:val="18"/>
                <w:szCs w:val="18"/>
                <w:color w:val="auto"/>
                <w:w w:val="93"/>
              </w:rPr>
              <w:t>Preferred stock, $0.01 par value, 10,000 shares authorized; 0 shares issued and outstanding at September 30, 2015 and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tcPr>
          <w:p>
            <w:pPr>
              <w:ind w:left="160"/>
              <w:spacing w:after="0"/>
              <w:rPr>
                <w:sz w:val="20"/>
                <w:szCs w:val="20"/>
                <w:color w:val="auto"/>
              </w:rPr>
            </w:pPr>
            <w:r>
              <w:rPr>
                <w:rFonts w:ascii="Arial" w:cs="Arial" w:eastAsia="Arial" w:hAnsi="Arial"/>
                <w:sz w:val="18"/>
                <w:szCs w:val="18"/>
                <w:color w:val="auto"/>
              </w:rPr>
              <w:t>December 31, 2014</w:t>
            </w:r>
          </w:p>
        </w:tc>
        <w:tc>
          <w:tcPr>
            <w:tcW w:w="18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 100,000 shares authorized; 50,247 and 49,746 shares issued and 47,138 and 46,744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outstanding at September 30, 2015 and December 31, 2014, respectively</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tcPr>
          <w:p>
            <w:pPr>
              <w:spacing w:after="0" w:line="201" w:lineRule="exact"/>
              <w:rPr>
                <w:sz w:val="20"/>
                <w:szCs w:val="20"/>
                <w:color w:val="auto"/>
              </w:rPr>
            </w:pPr>
            <w:r>
              <w:rPr>
                <w:rFonts w:ascii="Arial" w:cs="Arial" w:eastAsia="Arial" w:hAnsi="Arial"/>
                <w:sz w:val="18"/>
                <w:szCs w:val="18"/>
                <w:color w:val="auto"/>
                <w:w w:val="98"/>
              </w:rPr>
              <w:t>Treasury stock, at cost, 3,109 and 3,002 shares of common stock at September 30, 2015 and December 31, 2014,</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(58,000)</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173,301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464,288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370,991</w:t>
            </w:r>
          </w:p>
        </w:tc>
        <w:tc>
          <w:tcPr>
            <w:tcW w:w="0" w:type="dxa"/>
            <w:vAlign w:val="bottom"/>
          </w:tcPr>
          <w:p>
            <w:pPr>
              <w:spacing w:after="0"/>
              <w:rPr>
                <w:sz w:val="1"/>
                <w:szCs w:val="1"/>
                <w:color w:val="auto"/>
              </w:rPr>
            </w:pPr>
          </w:p>
        </w:tc>
      </w:tr>
      <w:tr>
        <w:trPr>
          <w:trHeight w:val="230"/>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579,637</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912,611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 Reports Third Quarter 2015 Results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940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0"/>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8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provided by operating activities:</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93,297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8,423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Provision for bad debts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11,412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25,360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royalty impairment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Other, including fixed asset impairments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Restricted cash, cash equivalents and investments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Due to/from related parties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Income taxes receivable/payable</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49,844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Student deposits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30"/>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169,010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156,742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(169,706)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(101,185)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(152,938)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(159,923)</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12,939</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65,238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78,177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54,408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Cash received for income tax refunds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23,212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equipment through capital lease and note payable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 Reports Third Quarter 2015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September 30, 2015 and 2014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1"/>
              </w:rPr>
              <w:t>2015</w:t>
            </w:r>
            <w:r>
              <w:rPr>
                <w:rFonts w:ascii="Arial" w:cs="Arial" w:eastAsia="Arial" w:hAnsi="Arial"/>
                <w:sz w:val="12"/>
                <w:szCs w:val="12"/>
                <w:b w:val="1"/>
                <w:bCs w:val="1"/>
                <w:color w:val="auto"/>
                <w:w w:val="91"/>
              </w:rPr>
              <w:t>(1)</w:t>
            </w:r>
          </w:p>
        </w:tc>
        <w:tc>
          <w:tcPr>
            <w:tcW w:w="6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2014</w:t>
            </w:r>
            <w:r>
              <w:rPr>
                <w:rFonts w:ascii="Arial" w:cs="Arial" w:eastAsia="Arial" w:hAnsi="Arial"/>
                <w:sz w:val="12"/>
                <w:szCs w:val="12"/>
                <w:b w:val="1"/>
                <w:bCs w:val="1"/>
                <w:color w:val="auto"/>
                <w:w w:val="91"/>
              </w:rPr>
              <w:t>(1)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7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26,007</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Undergraduate degree</w:t>
            </w:r>
          </w:p>
        </w:tc>
        <w:tc>
          <w:tcPr>
            <w:tcW w:w="800" w:type="dxa"/>
            <w:vAlign w:val="bottom"/>
          </w:tcPr>
          <w:p>
            <w:pPr>
              <w:jc w:val="right"/>
              <w:spacing w:after="0"/>
              <w:rPr>
                <w:sz w:val="20"/>
                <w:szCs w:val="20"/>
                <w:color w:val="auto"/>
              </w:rPr>
            </w:pPr>
            <w:r>
              <w:rPr>
                <w:rFonts w:ascii="Arial" w:cs="Arial" w:eastAsia="Arial" w:hAnsi="Arial"/>
                <w:sz w:val="18"/>
                <w:szCs w:val="18"/>
                <w:color w:val="auto"/>
              </w:rPr>
              <w:t>45,771</w:t>
            </w:r>
          </w:p>
        </w:tc>
        <w:tc>
          <w:tcPr>
            <w:tcW w:w="5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61.0%</w:t>
            </w:r>
          </w:p>
        </w:tc>
        <w:tc>
          <w:tcPr>
            <w:tcW w:w="800" w:type="dxa"/>
            <w:vAlign w:val="bottom"/>
          </w:tcPr>
          <w:p>
            <w:pPr>
              <w:jc w:val="right"/>
              <w:spacing w:after="0"/>
              <w:rPr>
                <w:sz w:val="20"/>
                <w:szCs w:val="20"/>
                <w:color w:val="auto"/>
              </w:rPr>
            </w:pPr>
            <w:r>
              <w:rPr>
                <w:rFonts w:ascii="Arial" w:cs="Arial" w:eastAsia="Arial" w:hAnsi="Arial"/>
                <w:sz w:val="18"/>
                <w:szCs w:val="18"/>
                <w:color w:val="auto"/>
              </w:rPr>
              <w:t>42,115</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75,073</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68,122</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2015</w:t>
            </w:r>
            <w:r>
              <w:rPr>
                <w:rFonts w:ascii="Arial" w:cs="Arial" w:eastAsia="Arial" w:hAnsi="Arial"/>
                <w:sz w:val="12"/>
                <w:szCs w:val="12"/>
                <w:b w:val="1"/>
                <w:bCs w:val="1"/>
                <w:color w:val="auto"/>
                <w:w w:val="91"/>
              </w:rPr>
              <w:t>(1)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1"/>
              </w:rPr>
              <w:t>2014</w:t>
            </w:r>
            <w:r>
              <w:rPr>
                <w:rFonts w:ascii="Arial" w:cs="Arial" w:eastAsia="Arial" w:hAnsi="Arial"/>
                <w:sz w:val="12"/>
                <w:szCs w:val="12"/>
                <w:b w:val="1"/>
                <w:bCs w:val="1"/>
                <w:color w:val="auto"/>
                <w:w w:val="91"/>
              </w:rPr>
              <w:t>(1)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7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59,600</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55,218</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15,473</w:t>
            </w:r>
          </w:p>
        </w:tc>
        <w:tc>
          <w:tcPr>
            <w:tcW w:w="5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20.6%</w:t>
            </w:r>
          </w:p>
        </w:tc>
        <w:tc>
          <w:tcPr>
            <w:tcW w:w="800" w:type="dxa"/>
            <w:vAlign w:val="bottom"/>
          </w:tcPr>
          <w:p>
            <w:pPr>
              <w:jc w:val="right"/>
              <w:spacing w:after="0"/>
              <w:rPr>
                <w:sz w:val="20"/>
                <w:szCs w:val="20"/>
                <w:color w:val="auto"/>
              </w:rPr>
            </w:pPr>
            <w:r>
              <w:rPr>
                <w:rFonts w:ascii="Arial" w:cs="Arial" w:eastAsia="Arial" w:hAnsi="Arial"/>
                <w:sz w:val="18"/>
                <w:szCs w:val="18"/>
                <w:color w:val="auto"/>
              </w:rPr>
              <w:t>12,904</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75,073</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68,122</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4"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Enrollment at September 30, 2015 and 2014 represents individual students who attended a course during the last two months of the calendar quarter. Included in enrollment at September 30, 2015 and 2014 are students pursuing non-degree certificates of 716 and 621, respectively.</w:t>
      </w: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6,259 and 5,336 students pursuing doctoral degrees at September 30, 2015 and 2014, respectively.</w:t>
      </w:r>
    </w:p>
    <w:p>
      <w:pPr>
        <w:spacing w:after="0" w:line="9" w:lineRule="exact"/>
        <w:rPr>
          <w:rFonts w:ascii="Arial" w:cs="Arial" w:eastAsia="Arial" w:hAnsi="Arial"/>
          <w:sz w:val="15"/>
          <w:szCs w:val="15"/>
          <w:color w:val="auto"/>
        </w:rPr>
      </w:pPr>
    </w:p>
    <w:p>
      <w:pPr>
        <w:ind w:left="460" w:right="140" w:hanging="452"/>
        <w:spacing w:after="0" w:line="25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As of September 30, 2015 and 2014, 47.5% and 45.2%, respectively, of our working adult students (online and professional studies students) were pursuing graduate degrees.</w:t>
      </w: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and our professional studies students.</w:t>
      </w:r>
    </w:p>
    <w:sectPr>
      <w:pgSz w:w="11900" w:h="16838" w:orient="portrait"/>
      <w:cols w:equalWidth="0" w:num="1">
        <w:col w:w="11140"/>
      </w:cols>
      <w:pgMar w:left="2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2019-12-08T20:52:13Z</dcterms:created>
  <dcterms:modified xsi:type="dcterms:W3CDTF">2019-12-08T20:52:13Z</dcterms:modified>
</cp:coreProperties>
</file>