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p>
    <w:p>
      <w:pPr>
        <w:spacing w:after="0" w:line="200" w:lineRule="exact"/>
        <w:rPr>
          <w:sz w:val="24"/>
          <w:szCs w:val="24"/>
          <w:color w:val="auto"/>
        </w:rPr>
      </w:pPr>
    </w:p>
    <w:p>
      <w:pPr>
        <w:spacing w:after="0" w:line="366" w:lineRule="exact"/>
        <w:rPr>
          <w:sz w:val="24"/>
          <w:szCs w:val="24"/>
          <w:color w:val="auto"/>
        </w:rPr>
      </w:pPr>
    </w:p>
    <w:p>
      <w:pPr>
        <w:jc w:val="center"/>
        <w:ind w:right="73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7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739"/>
        <w:spacing w:after="0"/>
        <w:rPr>
          <w:sz w:val="20"/>
          <w:szCs w:val="20"/>
          <w:color w:val="auto"/>
        </w:rPr>
      </w:pPr>
      <w:r>
        <w:rPr>
          <w:rFonts w:ascii="Arial" w:cs="Arial" w:eastAsia="Arial" w:hAnsi="Arial"/>
          <w:sz w:val="22"/>
          <w:szCs w:val="22"/>
          <w:b w:val="1"/>
          <w:bCs w:val="1"/>
          <w:color w:val="auto"/>
        </w:rPr>
        <w:t>Washington, D.C. 20549</w:t>
      </w:r>
    </w:p>
    <w:p>
      <w:pPr>
        <w:spacing w:after="0" w:line="267" w:lineRule="exact"/>
        <w:rPr>
          <w:sz w:val="24"/>
          <w:szCs w:val="24"/>
          <w:color w:val="auto"/>
        </w:rPr>
      </w:pPr>
    </w:p>
    <w:p>
      <w:pPr>
        <w:jc w:val="center"/>
        <w:ind w:right="739"/>
        <w:spacing w:after="0"/>
        <w:rPr>
          <w:sz w:val="20"/>
          <w:szCs w:val="20"/>
          <w:color w:val="auto"/>
        </w:rPr>
      </w:pPr>
      <w:r>
        <w:rPr>
          <w:rFonts w:ascii="Arial" w:cs="Arial" w:eastAsia="Arial" w:hAnsi="Arial"/>
          <w:sz w:val="25"/>
          <w:szCs w:val="25"/>
          <w:b w:val="1"/>
          <w:bCs w:val="1"/>
          <w:color w:val="auto"/>
        </w:rPr>
        <w:t>SCHEDULE 13G</w:t>
      </w:r>
    </w:p>
    <w:p>
      <w:pPr>
        <w:spacing w:after="0" w:line="289" w:lineRule="exact"/>
        <w:rPr>
          <w:sz w:val="24"/>
          <w:szCs w:val="24"/>
          <w:color w:val="auto"/>
        </w:rPr>
      </w:pPr>
    </w:p>
    <w:p>
      <w:pPr>
        <w:jc w:val="center"/>
        <w:ind w:right="73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739"/>
        <w:spacing w:after="0"/>
        <w:rPr>
          <w:sz w:val="20"/>
          <w:szCs w:val="20"/>
          <w:color w:val="auto"/>
        </w:rPr>
      </w:pPr>
      <w:r>
        <w:rPr>
          <w:rFonts w:ascii="Arial" w:cs="Arial" w:eastAsia="Arial" w:hAnsi="Arial"/>
          <w:sz w:val="22"/>
          <w:szCs w:val="22"/>
          <w:b w:val="1"/>
          <w:bCs w:val="1"/>
          <w:color w:val="auto"/>
        </w:rPr>
        <w:t>(Amendment No. 2)</w:t>
      </w:r>
    </w:p>
    <w:p>
      <w:pPr>
        <w:spacing w:after="0" w:line="256" w:lineRule="exact"/>
        <w:rPr>
          <w:sz w:val="24"/>
          <w:szCs w:val="24"/>
          <w:color w:val="auto"/>
        </w:rPr>
      </w:pPr>
    </w:p>
    <w:p>
      <w:pPr>
        <w:jc w:val="center"/>
        <w:ind w:right="739"/>
        <w:spacing w:after="0"/>
        <w:rPr>
          <w:sz w:val="20"/>
          <w:szCs w:val="20"/>
          <w:color w:val="auto"/>
        </w:rPr>
      </w:pPr>
      <w:r>
        <w:rPr>
          <w:rFonts w:ascii="Arial" w:cs="Arial" w:eastAsia="Arial" w:hAnsi="Arial"/>
          <w:sz w:val="22"/>
          <w:szCs w:val="22"/>
          <w:color w:val="auto"/>
        </w:rPr>
        <w:t>GRAND CANYON ED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251460</wp:posOffset>
            </wp:positionH>
            <wp:positionV relativeFrom="paragraph">
              <wp:posOffset>73660</wp:posOffset>
            </wp:positionV>
            <wp:extent cx="550989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509895" cy="21590"/>
                    </a:xfrm>
                    <a:prstGeom prst="rect">
                      <a:avLst/>
                    </a:prstGeom>
                    <a:noFill/>
                  </pic:spPr>
                </pic:pic>
              </a:graphicData>
            </a:graphic>
          </wp:anchor>
        </w:drawing>
      </w:r>
    </w:p>
    <w:p>
      <w:pPr>
        <w:spacing w:after="0" w:line="213" w:lineRule="exact"/>
        <w:rPr>
          <w:sz w:val="24"/>
          <w:szCs w:val="24"/>
          <w:color w:val="auto"/>
        </w:rPr>
      </w:pPr>
    </w:p>
    <w:p>
      <w:pPr>
        <w:ind w:left="3980"/>
        <w:spacing w:after="0"/>
        <w:rPr>
          <w:sz w:val="20"/>
          <w:szCs w:val="20"/>
          <w:color w:val="auto"/>
        </w:rPr>
      </w:pPr>
      <w:r>
        <w:rPr>
          <w:rFonts w:ascii="Arial" w:cs="Arial" w:eastAsia="Arial" w:hAnsi="Arial"/>
          <w:sz w:val="22"/>
          <w:szCs w:val="22"/>
          <w:color w:val="auto"/>
        </w:rPr>
        <w:t>(Name of Issuer)</w:t>
      </w:r>
    </w:p>
    <w:p>
      <w:pPr>
        <w:spacing w:after="0" w:line="233" w:lineRule="exact"/>
        <w:rPr>
          <w:sz w:val="24"/>
          <w:szCs w:val="24"/>
          <w:color w:val="auto"/>
        </w:rPr>
      </w:pPr>
    </w:p>
    <w:p>
      <w:pPr>
        <w:jc w:val="center"/>
        <w:ind w:right="739"/>
        <w:spacing w:after="0"/>
        <w:rPr>
          <w:sz w:val="20"/>
          <w:szCs w:val="20"/>
          <w:color w:val="auto"/>
        </w:rPr>
      </w:pPr>
      <w:r>
        <w:rPr>
          <w:rFonts w:ascii="Arial" w:cs="Arial" w:eastAsia="Arial" w:hAnsi="Arial"/>
          <w:sz w:val="22"/>
          <w:szCs w:val="22"/>
          <w:color w:val="auto"/>
        </w:rPr>
        <w:t>COM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251460</wp:posOffset>
            </wp:positionH>
            <wp:positionV relativeFrom="paragraph">
              <wp:posOffset>73660</wp:posOffset>
            </wp:positionV>
            <wp:extent cx="550989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509895" cy="21590"/>
                    </a:xfrm>
                    <a:prstGeom prst="rect">
                      <a:avLst/>
                    </a:prstGeom>
                    <a:noFill/>
                  </pic:spPr>
                </pic:pic>
              </a:graphicData>
            </a:graphic>
          </wp:anchor>
        </w:drawing>
      </w:r>
    </w:p>
    <w:p>
      <w:pPr>
        <w:spacing w:after="0" w:line="213" w:lineRule="exact"/>
        <w:rPr>
          <w:sz w:val="24"/>
          <w:szCs w:val="24"/>
          <w:color w:val="auto"/>
        </w:rPr>
      </w:pPr>
    </w:p>
    <w:p>
      <w:pPr>
        <w:jc w:val="center"/>
        <w:ind w:right="739"/>
        <w:spacing w:after="0"/>
        <w:rPr>
          <w:sz w:val="20"/>
          <w:szCs w:val="20"/>
          <w:color w:val="auto"/>
        </w:rPr>
      </w:pPr>
      <w:r>
        <w:rPr>
          <w:rFonts w:ascii="Arial" w:cs="Arial" w:eastAsia="Arial" w:hAnsi="Arial"/>
          <w:sz w:val="22"/>
          <w:szCs w:val="22"/>
          <w:color w:val="auto"/>
        </w:rPr>
        <w:t>(Title of Class of Securities)</w:t>
      </w:r>
    </w:p>
    <w:p>
      <w:pPr>
        <w:spacing w:after="0" w:line="233" w:lineRule="exact"/>
        <w:rPr>
          <w:sz w:val="24"/>
          <w:szCs w:val="24"/>
          <w:color w:val="auto"/>
        </w:rPr>
      </w:pPr>
    </w:p>
    <w:p>
      <w:pPr>
        <w:jc w:val="center"/>
        <w:ind w:right="739"/>
        <w:spacing w:after="0"/>
        <w:rPr>
          <w:sz w:val="20"/>
          <w:szCs w:val="20"/>
          <w:color w:val="auto"/>
        </w:rPr>
      </w:pPr>
      <w:r>
        <w:rPr>
          <w:rFonts w:ascii="Arial" w:cs="Arial" w:eastAsia="Arial" w:hAnsi="Arial"/>
          <w:sz w:val="22"/>
          <w:szCs w:val="22"/>
          <w:color w:val="auto"/>
        </w:rPr>
        <w:t>38526M106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852170</wp:posOffset>
            </wp:positionH>
            <wp:positionV relativeFrom="paragraph">
              <wp:posOffset>73660</wp:posOffset>
            </wp:positionV>
            <wp:extent cx="430911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309110" cy="21590"/>
                    </a:xfrm>
                    <a:prstGeom prst="rect">
                      <a:avLst/>
                    </a:prstGeom>
                    <a:noFill/>
                  </pic:spPr>
                </pic:pic>
              </a:graphicData>
            </a:graphic>
          </wp:anchor>
        </w:drawing>
      </w:r>
    </w:p>
    <w:p>
      <w:pPr>
        <w:spacing w:after="0" w:line="213" w:lineRule="exact"/>
        <w:rPr>
          <w:sz w:val="24"/>
          <w:szCs w:val="24"/>
          <w:color w:val="auto"/>
        </w:rPr>
      </w:pPr>
    </w:p>
    <w:p>
      <w:pPr>
        <w:jc w:val="center"/>
        <w:ind w:right="739"/>
        <w:spacing w:after="0"/>
        <w:rPr>
          <w:sz w:val="20"/>
          <w:szCs w:val="20"/>
          <w:color w:val="auto"/>
        </w:rPr>
      </w:pPr>
      <w:r>
        <w:rPr>
          <w:rFonts w:ascii="Arial" w:cs="Arial" w:eastAsia="Arial" w:hAnsi="Arial"/>
          <w:sz w:val="22"/>
          <w:szCs w:val="22"/>
          <w:color w:val="auto"/>
        </w:rPr>
        <w:t>(CUSIP Number)</w:t>
      </w:r>
    </w:p>
    <w:p>
      <w:pPr>
        <w:spacing w:after="0" w:line="233" w:lineRule="exact"/>
        <w:rPr>
          <w:sz w:val="24"/>
          <w:szCs w:val="24"/>
          <w:color w:val="auto"/>
        </w:rPr>
      </w:pPr>
    </w:p>
    <w:p>
      <w:pPr>
        <w:jc w:val="center"/>
        <w:ind w:right="739"/>
        <w:spacing w:after="0"/>
        <w:rPr>
          <w:sz w:val="20"/>
          <w:szCs w:val="20"/>
          <w:color w:val="auto"/>
        </w:rPr>
      </w:pPr>
      <w:r>
        <w:rPr>
          <w:rFonts w:ascii="Arial" w:cs="Arial" w:eastAsia="Arial" w:hAnsi="Arial"/>
          <w:sz w:val="22"/>
          <w:szCs w:val="22"/>
          <w:color w:val="auto"/>
        </w:rPr>
        <w:t>December 31, 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251460</wp:posOffset>
            </wp:positionH>
            <wp:positionV relativeFrom="paragraph">
              <wp:posOffset>73660</wp:posOffset>
            </wp:positionV>
            <wp:extent cx="550989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509895" cy="21590"/>
                    </a:xfrm>
                    <a:prstGeom prst="rect">
                      <a:avLst/>
                    </a:prstGeom>
                    <a:noFill/>
                  </pic:spPr>
                </pic:pic>
              </a:graphicData>
            </a:graphic>
          </wp:anchor>
        </w:drawing>
      </w:r>
    </w:p>
    <w:p>
      <w:pPr>
        <w:spacing w:after="0" w:line="213" w:lineRule="exact"/>
        <w:rPr>
          <w:sz w:val="24"/>
          <w:szCs w:val="24"/>
          <w:color w:val="auto"/>
        </w:rPr>
      </w:pPr>
    </w:p>
    <w:p>
      <w:pPr>
        <w:ind w:left="2300"/>
        <w:spacing w:after="0"/>
        <w:rPr>
          <w:sz w:val="20"/>
          <w:szCs w:val="20"/>
          <w:color w:val="auto"/>
        </w:rPr>
      </w:pPr>
      <w:r>
        <w:rPr>
          <w:rFonts w:ascii="Arial" w:cs="Arial" w:eastAsia="Arial" w:hAnsi="Arial"/>
          <w:sz w:val="21"/>
          <w:szCs w:val="21"/>
          <w:color w:val="auto"/>
        </w:rPr>
        <w:t>(Date of Event Which Requires Filing of this Statement)</w:t>
      </w:r>
    </w:p>
    <w:p>
      <w:pPr>
        <w:spacing w:after="0" w:line="200" w:lineRule="exact"/>
        <w:rPr>
          <w:sz w:val="24"/>
          <w:szCs w:val="24"/>
          <w:color w:val="auto"/>
        </w:rPr>
      </w:pPr>
    </w:p>
    <w:p>
      <w:pPr>
        <w:spacing w:after="0" w:line="261" w:lineRule="exact"/>
        <w:rPr>
          <w:sz w:val="24"/>
          <w:szCs w:val="24"/>
          <w:color w:val="auto"/>
        </w:rPr>
      </w:pPr>
    </w:p>
    <w:p>
      <w:pPr>
        <w:spacing w:after="0"/>
        <w:rPr>
          <w:sz w:val="20"/>
          <w:szCs w:val="20"/>
          <w:color w:val="auto"/>
        </w:rPr>
      </w:pPr>
      <w:r>
        <w:rPr>
          <w:rFonts w:ascii="Arial" w:cs="Arial" w:eastAsia="Arial" w:hAnsi="Arial"/>
          <w:sz w:val="19"/>
          <w:szCs w:val="19"/>
          <w:color w:val="auto"/>
        </w:rPr>
        <w:t>Check the appropriate box to designate the rule pursuant to which this Schedule is filed:</w:t>
      </w:r>
    </w:p>
    <w:p>
      <w:pPr>
        <w:spacing w:after="0" w:line="295" w:lineRule="exact"/>
        <w:rPr>
          <w:sz w:val="24"/>
          <w:szCs w:val="24"/>
          <w:color w:val="auto"/>
        </w:rPr>
      </w:pPr>
    </w:p>
    <w:p>
      <w:pPr>
        <w:ind w:left="620" w:hanging="558"/>
        <w:spacing w:after="0"/>
        <w:tabs>
          <w:tab w:leader="none" w:pos="620" w:val="left"/>
        </w:tabs>
        <w:numPr>
          <w:ilvl w:val="0"/>
          <w:numId w:val="1"/>
        </w:numPr>
        <w:rPr>
          <w:rFonts w:ascii="Arial" w:cs="Arial" w:eastAsia="Arial" w:hAnsi="Arial"/>
          <w:sz w:val="22"/>
          <w:szCs w:val="22"/>
          <w:color w:val="auto"/>
        </w:rPr>
      </w:pPr>
      <w:r>
        <w:rPr>
          <w:rFonts w:ascii="Arial" w:cs="Arial" w:eastAsia="Arial" w:hAnsi="Arial"/>
          <w:sz w:val="22"/>
          <w:szCs w:val="22"/>
          <w:color w:val="auto"/>
        </w:rPr>
        <w:t>Rule 13d-1(b)</w:t>
      </w:r>
    </w:p>
    <w:p>
      <w:pPr>
        <w:sectPr>
          <w:pgSz w:w="11900" w:h="16838" w:orient="portrait"/>
          <w:cols w:equalWidth="0" w:num="1">
            <w:col w:w="10219"/>
          </w:cols>
          <w:pgMar w:left="240" w:top="1440" w:right="1440" w:bottom="0" w:gutter="0" w:footer="0" w:header="0"/>
        </w:sectPr>
      </w:pPr>
    </w:p>
    <w:p>
      <w:pPr>
        <w:spacing w:after="0" w:line="98" w:lineRule="exact"/>
        <w:rPr>
          <w:sz w:val="24"/>
          <w:szCs w:val="24"/>
          <w:color w:val="auto"/>
        </w:rPr>
      </w:pPr>
    </w:p>
    <w:p>
      <w:pPr>
        <w:ind w:left="60"/>
        <w:spacing w:after="0"/>
        <w:rPr>
          <w:sz w:val="20"/>
          <w:szCs w:val="20"/>
          <w:color w:val="auto"/>
        </w:rPr>
      </w:pPr>
      <w:r>
        <w:rPr>
          <w:rFonts w:ascii="Arial" w:cs="Arial" w:eastAsia="Arial" w:hAnsi="Arial"/>
          <w:sz w:val="22"/>
          <w:szCs w:val="22"/>
          <w:color w:val="auto"/>
        </w:rPr>
        <w:t>[]</w:t>
      </w:r>
    </w:p>
    <w:p>
      <w:pPr>
        <w:spacing w:after="0" w:line="20" w:lineRule="exact"/>
        <w:rPr>
          <w:sz w:val="24"/>
          <w:szCs w:val="24"/>
          <w:color w:val="auto"/>
        </w:rPr>
      </w:pPr>
      <w:r>
        <w:rPr>
          <w:sz w:val="24"/>
          <w:szCs w:val="24"/>
          <w:color w:val="auto"/>
        </w:rPr>
        <w:br w:type="column"/>
      </w:r>
    </w:p>
    <w:p>
      <w:pPr>
        <w:spacing w:after="0" w:line="78" w:lineRule="exact"/>
        <w:rPr>
          <w:sz w:val="24"/>
          <w:szCs w:val="24"/>
          <w:color w:val="auto"/>
        </w:rPr>
      </w:pPr>
    </w:p>
    <w:p>
      <w:pPr>
        <w:spacing w:after="0"/>
        <w:rPr>
          <w:sz w:val="20"/>
          <w:szCs w:val="20"/>
          <w:color w:val="auto"/>
        </w:rPr>
      </w:pPr>
      <w:r>
        <w:rPr>
          <w:rFonts w:ascii="Arial" w:cs="Arial" w:eastAsia="Arial" w:hAnsi="Arial"/>
          <w:sz w:val="19"/>
          <w:szCs w:val="19"/>
          <w:color w:val="auto"/>
        </w:rPr>
        <w:t>Rule 13d-1(c)</w:t>
      </w:r>
    </w:p>
    <w:p>
      <w:pPr>
        <w:spacing w:after="0" w:line="132" w:lineRule="exact"/>
        <w:rPr>
          <w:sz w:val="24"/>
          <w:szCs w:val="24"/>
          <w:color w:val="auto"/>
        </w:rPr>
      </w:pPr>
    </w:p>
    <w:p>
      <w:pPr>
        <w:sectPr>
          <w:pgSz w:w="11900" w:h="16838" w:orient="portrait"/>
          <w:cols w:equalWidth="0" w:num="2">
            <w:col w:w="200" w:space="420"/>
            <w:col w:w="9599"/>
          </w:cols>
          <w:pgMar w:left="240" w:top="1440" w:right="1440" w:bottom="0" w:gutter="0" w:footer="0" w:header="0"/>
          <w:type w:val="continuous"/>
        </w:sectPr>
      </w:pPr>
    </w:p>
    <w:p>
      <w:pPr>
        <w:ind w:left="60"/>
        <w:spacing w:after="0"/>
        <w:rPr>
          <w:sz w:val="20"/>
          <w:szCs w:val="20"/>
          <w:color w:val="auto"/>
        </w:rPr>
      </w:pPr>
      <w:r>
        <w:rPr>
          <w:rFonts w:ascii="Arial" w:cs="Arial" w:eastAsia="Arial" w:hAnsi="Arial"/>
          <w:sz w:val="22"/>
          <w:szCs w:val="22"/>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9"/>
          <w:szCs w:val="19"/>
          <w:color w:val="auto"/>
        </w:rPr>
        <w:t>Rule 13d-1(d)</w:t>
      </w:r>
    </w:p>
    <w:p>
      <w:pPr>
        <w:spacing w:after="0" w:line="234" w:lineRule="exact"/>
        <w:rPr>
          <w:sz w:val="24"/>
          <w:szCs w:val="24"/>
          <w:color w:val="auto"/>
        </w:rPr>
      </w:pPr>
    </w:p>
    <w:p>
      <w:pPr>
        <w:sectPr>
          <w:pgSz w:w="11900" w:h="16838" w:orient="portrait"/>
          <w:cols w:equalWidth="0" w:num="2">
            <w:col w:w="200" w:space="420"/>
            <w:col w:w="9599"/>
          </w:cols>
          <w:pgMar w:left="240" w:top="1440" w:right="1440" w:bottom="0" w:gutter="0" w:footer="0" w:header="0"/>
          <w:type w:val="continuous"/>
        </w:sectPr>
      </w:pPr>
    </w:p>
    <w:p>
      <w:pPr>
        <w:spacing w:after="0" w:line="74" w:lineRule="exact"/>
        <w:rPr>
          <w:sz w:val="24"/>
          <w:szCs w:val="24"/>
          <w:color w:val="auto"/>
        </w:rPr>
      </w:pPr>
    </w:p>
    <w:p>
      <w:pPr>
        <w:jc w:val="both"/>
        <w:ind w:left="20" w:right="1259"/>
        <w:spacing w:after="0"/>
        <w:rPr>
          <w:sz w:val="20"/>
          <w:szCs w:val="20"/>
          <w:color w:val="auto"/>
        </w:rPr>
      </w:pPr>
      <w:r>
        <w:rPr>
          <w:rFonts w:ascii="Arial" w:cs="Arial" w:eastAsia="Arial" w:hAnsi="Arial"/>
          <w:sz w:val="22"/>
          <w:szCs w:val="22"/>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6" w:lineRule="exact"/>
        <w:rPr>
          <w:sz w:val="24"/>
          <w:szCs w:val="24"/>
          <w:color w:val="auto"/>
        </w:rPr>
      </w:pPr>
    </w:p>
    <w:p>
      <w:pPr>
        <w:jc w:val="both"/>
        <w:ind w:left="20" w:right="1259"/>
        <w:spacing w:after="0" w:line="238" w:lineRule="auto"/>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88" w:lineRule="exact"/>
        <w:rPr>
          <w:sz w:val="24"/>
          <w:szCs w:val="24"/>
          <w:color w:val="auto"/>
        </w:rPr>
      </w:pPr>
    </w:p>
    <w:p>
      <w:pPr>
        <w:ind w:left="60"/>
        <w:spacing w:after="0"/>
        <w:rPr>
          <w:sz w:val="20"/>
          <w:szCs w:val="20"/>
          <w:color w:val="auto"/>
        </w:rPr>
      </w:pPr>
      <w:r>
        <w:rPr>
          <w:rFonts w:ascii="Arial" w:cs="Arial" w:eastAsia="Arial" w:hAnsi="Arial"/>
          <w:sz w:val="22"/>
          <w:szCs w:val="22"/>
          <w:color w:val="auto"/>
        </w:rPr>
        <w:t>CUSIP No. 38526M106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142240</wp:posOffset>
            </wp:positionV>
            <wp:extent cx="562991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29910" cy="21590"/>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ind w:left="60"/>
        <w:spacing w:after="0"/>
        <w:rPr>
          <w:sz w:val="20"/>
          <w:szCs w:val="20"/>
          <w:color w:val="auto"/>
        </w:rPr>
      </w:pPr>
      <w:r>
        <w:rPr>
          <w:rFonts w:ascii="Arial" w:cs="Arial" w:eastAsia="Arial" w:hAnsi="Arial"/>
          <w:sz w:val="22"/>
          <w:szCs w:val="22"/>
          <w:b w:val="1"/>
          <w:bCs w:val="1"/>
          <w:color w:val="auto"/>
        </w:rPr>
        <w:t>Person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569404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94045" cy="17145"/>
                    </a:xfrm>
                    <a:prstGeom prst="rect">
                      <a:avLst/>
                    </a:prstGeom>
                    <a:noFill/>
                  </pic:spPr>
                </pic:pic>
              </a:graphicData>
            </a:graphic>
          </wp:anchor>
        </w:drawing>
      </w:r>
    </w:p>
    <w:p>
      <w:pPr>
        <w:spacing w:after="0" w:line="111" w:lineRule="exact"/>
        <w:rPr>
          <w:sz w:val="24"/>
          <w:szCs w:val="24"/>
          <w:color w:val="auto"/>
        </w:rPr>
      </w:pPr>
    </w:p>
    <w:p>
      <w:pPr>
        <w:ind w:left="700" w:right="6699" w:hanging="435"/>
        <w:spacing w:after="0" w:line="326" w:lineRule="auto"/>
        <w:tabs>
          <w:tab w:leader="none" w:pos="700" w:val="left"/>
        </w:tabs>
        <w:numPr>
          <w:ilvl w:val="0"/>
          <w:numId w:val="2"/>
        </w:numPr>
        <w:rPr>
          <w:rFonts w:ascii="Arial" w:cs="Arial" w:eastAsia="Arial" w:hAnsi="Arial"/>
          <w:sz w:val="19"/>
          <w:szCs w:val="19"/>
          <w:color w:val="auto"/>
        </w:rPr>
      </w:pPr>
      <w:r>
        <w:rPr>
          <w:rFonts w:ascii="Arial" w:cs="Arial" w:eastAsia="Arial" w:hAnsi="Arial"/>
          <w:sz w:val="19"/>
          <w:szCs w:val="19"/>
          <w:color w:val="auto"/>
        </w:rPr>
        <w:t>(a) Names of Reporting Persons. Wells Fargo &amp; Company</w:t>
      </w:r>
    </w:p>
    <w:p>
      <w:pPr>
        <w:spacing w:after="0" w:line="1" w:lineRule="exact"/>
        <w:rPr>
          <w:sz w:val="24"/>
          <w:szCs w:val="24"/>
          <w:color w:val="auto"/>
        </w:rPr>
      </w:pPr>
    </w:p>
    <w:p>
      <w:pPr>
        <w:ind w:left="700" w:right="8479" w:hanging="3"/>
        <w:spacing w:after="0" w:line="328" w:lineRule="auto"/>
        <w:tabs>
          <w:tab w:leader="none" w:pos="1006" w:val="left"/>
        </w:tabs>
        <w:numPr>
          <w:ilvl w:val="1"/>
          <w:numId w:val="3"/>
        </w:numPr>
        <w:rPr>
          <w:rFonts w:ascii="Arial" w:cs="Arial" w:eastAsia="Arial" w:hAnsi="Arial"/>
          <w:sz w:val="19"/>
          <w:szCs w:val="19"/>
          <w:color w:val="auto"/>
        </w:rPr>
      </w:pPr>
      <w:r>
        <w:rPr>
          <w:rFonts w:ascii="Arial" w:cs="Arial" w:eastAsia="Arial" w:hAnsi="Arial"/>
          <w:sz w:val="19"/>
          <w:szCs w:val="19"/>
          <w:color w:val="auto"/>
        </w:rPr>
        <w:t>Tax ID 41-0449260</w:t>
      </w:r>
    </w:p>
    <w:p>
      <w:pPr>
        <w:spacing w:after="0" w:line="348" w:lineRule="exact"/>
        <w:rPr>
          <w:rFonts w:ascii="Arial" w:cs="Arial" w:eastAsia="Arial" w:hAnsi="Arial"/>
          <w:sz w:val="19"/>
          <w:szCs w:val="19"/>
          <w:color w:val="auto"/>
        </w:rPr>
      </w:pPr>
    </w:p>
    <w:p>
      <w:pPr>
        <w:ind w:left="700" w:hanging="435"/>
        <w:spacing w:after="0"/>
        <w:tabs>
          <w:tab w:leader="none" w:pos="700" w:val="left"/>
        </w:tabs>
        <w:numPr>
          <w:ilvl w:val="0"/>
          <w:numId w:val="4"/>
        </w:numPr>
        <w:rPr>
          <w:rFonts w:ascii="Arial" w:cs="Arial" w:eastAsia="Arial" w:hAnsi="Arial"/>
          <w:sz w:val="22"/>
          <w:szCs w:val="22"/>
          <w:color w:val="auto"/>
        </w:rPr>
      </w:pPr>
      <w:r>
        <w:rPr>
          <w:rFonts w:ascii="Arial" w:cs="Arial" w:eastAsia="Arial" w:hAnsi="Arial"/>
          <w:sz w:val="22"/>
          <w:szCs w:val="22"/>
          <w:color w:val="auto"/>
        </w:rPr>
        <w:t>Check the Appropriate Box if a Member of a Group (See Instructions)</w:t>
      </w:r>
    </w:p>
    <w:p>
      <w:pPr>
        <w:spacing w:after="0" w:line="98" w:lineRule="exact"/>
        <w:rPr>
          <w:rFonts w:ascii="Arial" w:cs="Arial" w:eastAsia="Arial" w:hAnsi="Arial"/>
          <w:sz w:val="22"/>
          <w:szCs w:val="22"/>
          <w:color w:val="auto"/>
        </w:rPr>
      </w:pPr>
    </w:p>
    <w:p>
      <w:pPr>
        <w:ind w:left="1040" w:hanging="343"/>
        <w:spacing w:after="0"/>
        <w:tabs>
          <w:tab w:leader="none" w:pos="1040" w:val="left"/>
        </w:tabs>
        <w:numPr>
          <w:ilvl w:val="1"/>
          <w:numId w:val="4"/>
        </w:numPr>
        <w:rPr>
          <w:rFonts w:ascii="Arial" w:cs="Arial" w:eastAsia="Arial" w:hAnsi="Arial"/>
          <w:sz w:val="22"/>
          <w:szCs w:val="22"/>
          <w:color w:val="auto"/>
        </w:rPr>
      </w:pPr>
      <w:r>
        <w:rPr>
          <w:rFonts w:ascii="Arial" w:cs="Arial" w:eastAsia="Arial" w:hAnsi="Arial"/>
          <w:sz w:val="22"/>
          <w:szCs w:val="22"/>
          <w:color w:val="auto"/>
        </w:rPr>
        <w:t>[]</w:t>
      </w:r>
    </w:p>
    <w:p>
      <w:pPr>
        <w:spacing w:after="0" w:line="98" w:lineRule="exact"/>
        <w:rPr>
          <w:rFonts w:ascii="Arial" w:cs="Arial" w:eastAsia="Arial" w:hAnsi="Arial"/>
          <w:sz w:val="22"/>
          <w:szCs w:val="22"/>
          <w:color w:val="auto"/>
        </w:rPr>
      </w:pPr>
    </w:p>
    <w:p>
      <w:pPr>
        <w:ind w:left="1060" w:hanging="363"/>
        <w:spacing w:after="0"/>
        <w:tabs>
          <w:tab w:leader="none" w:pos="1060" w:val="left"/>
        </w:tabs>
        <w:numPr>
          <w:ilvl w:val="1"/>
          <w:numId w:val="4"/>
        </w:numPr>
        <w:rPr>
          <w:rFonts w:ascii="Arial" w:cs="Arial" w:eastAsia="Arial" w:hAnsi="Arial"/>
          <w:sz w:val="22"/>
          <w:szCs w:val="22"/>
          <w:color w:val="auto"/>
        </w:rPr>
      </w:pPr>
      <w:r>
        <w:rPr>
          <w:rFonts w:ascii="Arial" w:cs="Arial" w:eastAsia="Arial" w:hAnsi="Arial"/>
          <w:sz w:val="22"/>
          <w:szCs w:val="2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-748665</wp:posOffset>
            </wp:positionV>
            <wp:extent cx="562991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29910" cy="21590"/>
                    </a:xfrm>
                    <a:prstGeom prst="rect">
                      <a:avLst/>
                    </a:prstGeom>
                    <a:noFill/>
                  </pic:spPr>
                </pic:pic>
              </a:graphicData>
            </a:graphic>
          </wp:anchor>
        </w:drawing>
        <w:drawing>
          <wp:anchor simplePos="0" relativeHeight="251657728" behindDoc="1" locked="0" layoutInCell="0" allowOverlap="1">
            <wp:simplePos x="0" y="0"/>
            <wp:positionH relativeFrom="column">
              <wp:posOffset>37465</wp:posOffset>
            </wp:positionH>
            <wp:positionV relativeFrom="paragraph">
              <wp:posOffset>142240</wp:posOffset>
            </wp:positionV>
            <wp:extent cx="562991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29910" cy="21590"/>
                    </a:xfrm>
                    <a:prstGeom prst="rect">
                      <a:avLst/>
                    </a:prstGeom>
                    <a:noFill/>
                  </pic:spPr>
                </pic:pic>
              </a:graphicData>
            </a:graphic>
          </wp:anchor>
        </w:drawing>
      </w:r>
    </w:p>
    <w:p>
      <w:pPr>
        <w:sectPr>
          <w:pgSz w:w="11900" w:h="16838" w:orient="portrait"/>
          <w:cols w:equalWidth="0" w:num="1">
            <w:col w:w="10219"/>
          </w:cols>
          <w:pgMar w:left="240" w:top="1440" w:right="1440" w:bottom="0" w:gutter="0" w:footer="0" w:header="0"/>
          <w:type w:val="continuous"/>
        </w:sectPr>
      </w:pPr>
    </w:p>
    <w:bookmarkStart w:id="1" w:name="page2"/>
    <w:bookmarkEnd w:id="1"/>
    <w:p>
      <w:pPr>
        <w:ind w:left="640" w:hanging="435"/>
        <w:spacing w:after="0"/>
        <w:tabs>
          <w:tab w:leader="none" w:pos="640" w:val="left"/>
        </w:tabs>
        <w:numPr>
          <w:ilvl w:val="0"/>
          <w:numId w:val="5"/>
        </w:numPr>
        <w:rPr>
          <w:rFonts w:ascii="Arial" w:cs="Arial" w:eastAsia="Arial" w:hAnsi="Arial"/>
          <w:sz w:val="22"/>
          <w:szCs w:val="22"/>
          <w:color w:val="auto"/>
        </w:rPr>
      </w:pPr>
      <w:r>
        <w:rPr>
          <w:rFonts w:ascii="Arial" w:cs="Arial" w:eastAsia="Arial" w:hAnsi="Arial"/>
          <w:sz w:val="22"/>
          <w:szCs w:val="22"/>
          <w:color w:val="auto"/>
        </w:rPr>
        <w:t>SEC Use Only . . . . . . . . . . . . . . . . . . . . . . . . . . . . . . . . . . . . . . . . . . . .</w:t>
      </w:r>
    </w:p>
    <w:p>
      <w:pPr>
        <w:spacing w:after="0" w:line="200" w:lineRule="exact"/>
        <w:rPr>
          <w:rFonts w:ascii="Arial" w:cs="Arial" w:eastAsia="Arial" w:hAnsi="Arial"/>
          <w:sz w:val="22"/>
          <w:szCs w:val="22"/>
          <w:color w:val="auto"/>
        </w:rPr>
      </w:pPr>
    </w:p>
    <w:p>
      <w:pPr>
        <w:spacing w:after="0" w:line="249" w:lineRule="exact"/>
        <w:rPr>
          <w:rFonts w:ascii="Arial" w:cs="Arial" w:eastAsia="Arial" w:hAnsi="Arial"/>
          <w:sz w:val="22"/>
          <w:szCs w:val="22"/>
          <w:color w:val="auto"/>
        </w:rPr>
      </w:pPr>
    </w:p>
    <w:p>
      <w:pPr>
        <w:ind w:left="640" w:hanging="435"/>
        <w:spacing w:after="0"/>
        <w:tabs>
          <w:tab w:leader="none" w:pos="640" w:val="left"/>
        </w:tabs>
        <w:numPr>
          <w:ilvl w:val="0"/>
          <w:numId w:val="5"/>
        </w:numPr>
        <w:rPr>
          <w:rFonts w:ascii="Arial" w:cs="Arial" w:eastAsia="Arial" w:hAnsi="Arial"/>
          <w:sz w:val="22"/>
          <w:szCs w:val="22"/>
          <w:color w:val="auto"/>
        </w:rPr>
      </w:pPr>
      <w:r>
        <w:rPr>
          <w:rFonts w:ascii="Arial" w:cs="Arial" w:eastAsia="Arial" w:hAnsi="Arial"/>
          <w:sz w:val="22"/>
          <w:szCs w:val="22"/>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-302895</wp:posOffset>
            </wp:positionV>
            <wp:extent cx="562991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2991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142240</wp:posOffset>
            </wp:positionV>
            <wp:extent cx="562991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29910" cy="215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1420" w:type="dxa"/>
            <w:vAlign w:val="bottom"/>
          </w:tcPr>
          <w:p>
            <w:pPr>
              <w:spacing w:after="0"/>
              <w:rPr>
                <w:sz w:val="23"/>
                <w:szCs w:val="23"/>
                <w:color w:val="auto"/>
              </w:rPr>
            </w:pPr>
          </w:p>
        </w:tc>
        <w:tc>
          <w:tcPr>
            <w:tcW w:w="7440" w:type="dxa"/>
            <w:vAlign w:val="bottom"/>
          </w:tcPr>
          <w:p>
            <w:pPr>
              <w:spacing w:after="0"/>
              <w:rPr>
                <w:sz w:val="20"/>
                <w:szCs w:val="20"/>
                <w:color w:val="auto"/>
              </w:rPr>
            </w:pPr>
            <w:r>
              <w:rPr>
                <w:rFonts w:ascii="Arial" w:cs="Arial" w:eastAsia="Arial" w:hAnsi="Arial"/>
                <w:sz w:val="22"/>
                <w:szCs w:val="22"/>
                <w:color w:val="auto"/>
              </w:rPr>
              <w:t>5. Sole Voting Power 1,790,828</w:t>
            </w:r>
          </w:p>
        </w:tc>
        <w:tc>
          <w:tcPr>
            <w:tcW w:w="0" w:type="dxa"/>
            <w:vAlign w:val="bottom"/>
          </w:tcPr>
          <w:p>
            <w:pPr>
              <w:spacing w:after="0"/>
              <w:rPr>
                <w:sz w:val="1"/>
                <w:szCs w:val="1"/>
                <w:color w:val="auto"/>
              </w:rPr>
            </w:pPr>
          </w:p>
        </w:tc>
      </w:tr>
      <w:tr>
        <w:trPr>
          <w:trHeight w:val="216"/>
        </w:trPr>
        <w:tc>
          <w:tcPr>
            <w:tcW w:w="1420" w:type="dxa"/>
            <w:vAlign w:val="bottom"/>
            <w:vMerge w:val="restart"/>
          </w:tcPr>
          <w:p>
            <w:pPr>
              <w:spacing w:after="0"/>
              <w:rPr>
                <w:sz w:val="20"/>
                <w:szCs w:val="20"/>
                <w:color w:val="auto"/>
              </w:rPr>
            </w:pPr>
            <w:r>
              <w:rPr>
                <w:rFonts w:ascii="Arial" w:cs="Arial" w:eastAsia="Arial" w:hAnsi="Arial"/>
                <w:sz w:val="22"/>
                <w:szCs w:val="22"/>
                <w:color w:val="auto"/>
              </w:rPr>
              <w:t>Number of</w:t>
            </w:r>
          </w:p>
        </w:tc>
        <w:tc>
          <w:tcPr>
            <w:tcW w:w="744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56"/>
        </w:trPr>
        <w:tc>
          <w:tcPr>
            <w:tcW w:w="1420" w:type="dxa"/>
            <w:vAlign w:val="bottom"/>
            <w:vMerge w:val="continue"/>
          </w:tcPr>
          <w:p>
            <w:pPr>
              <w:spacing w:after="0"/>
              <w:rPr>
                <w:sz w:val="4"/>
                <w:szCs w:val="4"/>
                <w:color w:val="auto"/>
              </w:rPr>
            </w:pPr>
          </w:p>
        </w:tc>
        <w:tc>
          <w:tcPr>
            <w:tcW w:w="7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line="243" w:lineRule="exact"/>
              <w:rPr>
                <w:sz w:val="20"/>
                <w:szCs w:val="20"/>
                <w:color w:val="auto"/>
              </w:rPr>
            </w:pPr>
            <w:r>
              <w:rPr>
                <w:rFonts w:ascii="Arial" w:cs="Arial" w:eastAsia="Arial" w:hAnsi="Arial"/>
                <w:sz w:val="22"/>
                <w:szCs w:val="22"/>
                <w:color w:val="auto"/>
              </w:rPr>
              <w:t>Shares</w:t>
            </w:r>
          </w:p>
        </w:tc>
        <w:tc>
          <w:tcPr>
            <w:tcW w:w="7440" w:type="dxa"/>
            <w:vAlign w:val="bottom"/>
            <w:vMerge w:val="restart"/>
          </w:tcPr>
          <w:p>
            <w:pPr>
              <w:spacing w:after="0"/>
              <w:rPr>
                <w:sz w:val="20"/>
                <w:szCs w:val="20"/>
                <w:color w:val="auto"/>
              </w:rPr>
            </w:pPr>
            <w:r>
              <w:rPr>
                <w:rFonts w:ascii="Arial" w:cs="Arial" w:eastAsia="Arial" w:hAnsi="Arial"/>
                <w:sz w:val="22"/>
                <w:szCs w:val="22"/>
                <w:color w:val="auto"/>
              </w:rPr>
              <w:t>6. Shared Voting Power 0</w:t>
            </w:r>
          </w:p>
        </w:tc>
        <w:tc>
          <w:tcPr>
            <w:tcW w:w="0" w:type="dxa"/>
            <w:vAlign w:val="bottom"/>
          </w:tcPr>
          <w:p>
            <w:pPr>
              <w:spacing w:after="0"/>
              <w:rPr>
                <w:sz w:val="1"/>
                <w:szCs w:val="1"/>
                <w:color w:val="auto"/>
              </w:rPr>
            </w:pPr>
          </w:p>
        </w:tc>
      </w:tr>
      <w:tr>
        <w:trPr>
          <w:trHeight w:val="166"/>
        </w:trPr>
        <w:tc>
          <w:tcPr>
            <w:tcW w:w="1420" w:type="dxa"/>
            <w:vAlign w:val="bottom"/>
            <w:vMerge w:val="restart"/>
          </w:tcPr>
          <w:p>
            <w:pPr>
              <w:spacing w:after="0" w:line="243" w:lineRule="exact"/>
              <w:rPr>
                <w:sz w:val="20"/>
                <w:szCs w:val="20"/>
                <w:color w:val="auto"/>
              </w:rPr>
            </w:pPr>
            <w:r>
              <w:rPr>
                <w:rFonts w:ascii="Arial" w:cs="Arial" w:eastAsia="Arial" w:hAnsi="Arial"/>
                <w:sz w:val="22"/>
                <w:szCs w:val="22"/>
                <w:color w:val="auto"/>
              </w:rPr>
              <w:t>Beneficially</w:t>
            </w:r>
          </w:p>
        </w:tc>
        <w:tc>
          <w:tcPr>
            <w:tcW w:w="7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1420" w:type="dxa"/>
            <w:vAlign w:val="bottom"/>
            <w:vMerge w:val="continue"/>
          </w:tcPr>
          <w:p>
            <w:pPr>
              <w:spacing w:after="0"/>
              <w:rPr>
                <w:sz w:val="6"/>
                <w:szCs w:val="6"/>
                <w:color w:val="auto"/>
              </w:rPr>
            </w:pPr>
          </w:p>
        </w:tc>
        <w:tc>
          <w:tcPr>
            <w:tcW w:w="7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0"/>
        </w:trPr>
        <w:tc>
          <w:tcPr>
            <w:tcW w:w="1420" w:type="dxa"/>
            <w:vAlign w:val="bottom"/>
            <w:vMerge w:val="restart"/>
          </w:tcPr>
          <w:p>
            <w:pPr>
              <w:spacing w:after="0" w:line="243" w:lineRule="exact"/>
              <w:rPr>
                <w:sz w:val="20"/>
                <w:szCs w:val="20"/>
                <w:color w:val="auto"/>
              </w:rPr>
            </w:pPr>
            <w:r>
              <w:rPr>
                <w:rFonts w:ascii="Arial" w:cs="Arial" w:eastAsia="Arial" w:hAnsi="Arial"/>
                <w:sz w:val="22"/>
                <w:szCs w:val="22"/>
                <w:color w:val="auto"/>
              </w:rPr>
              <w:t>Owned by</w:t>
            </w:r>
          </w:p>
        </w:tc>
        <w:tc>
          <w:tcPr>
            <w:tcW w:w="7440" w:type="dxa"/>
            <w:vAlign w:val="bottom"/>
            <w:tcBorders>
              <w:bottom w:val="single" w:sz="8" w:color="808080"/>
            </w:tcBorders>
          </w:tcPr>
          <w:p>
            <w:pPr>
              <w:spacing w:after="0"/>
              <w:rPr>
                <w:sz w:val="12"/>
                <w:szCs w:val="12"/>
                <w:color w:val="auto"/>
              </w:rPr>
            </w:pPr>
          </w:p>
        </w:tc>
        <w:tc>
          <w:tcPr>
            <w:tcW w:w="0" w:type="dxa"/>
            <w:vAlign w:val="bottom"/>
          </w:tcPr>
          <w:p>
            <w:pPr>
              <w:spacing w:after="0"/>
              <w:rPr>
                <w:sz w:val="1"/>
                <w:szCs w:val="1"/>
                <w:color w:val="auto"/>
              </w:rPr>
            </w:pPr>
          </w:p>
        </w:tc>
      </w:tr>
      <w:tr>
        <w:trPr>
          <w:trHeight w:val="83"/>
        </w:trPr>
        <w:tc>
          <w:tcPr>
            <w:tcW w:w="1420" w:type="dxa"/>
            <w:vAlign w:val="bottom"/>
            <w:vMerge w:val="continue"/>
          </w:tcPr>
          <w:p>
            <w:pPr>
              <w:spacing w:after="0"/>
              <w:rPr>
                <w:sz w:val="7"/>
                <w:szCs w:val="7"/>
                <w:color w:val="auto"/>
              </w:rPr>
            </w:pPr>
          </w:p>
        </w:tc>
        <w:tc>
          <w:tcPr>
            <w:tcW w:w="7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line="243" w:lineRule="exact"/>
              <w:rPr>
                <w:sz w:val="20"/>
                <w:szCs w:val="20"/>
                <w:color w:val="auto"/>
              </w:rPr>
            </w:pPr>
            <w:r>
              <w:rPr>
                <w:rFonts w:ascii="Arial" w:cs="Arial" w:eastAsia="Arial" w:hAnsi="Arial"/>
                <w:sz w:val="22"/>
                <w:szCs w:val="22"/>
                <w:color w:val="auto"/>
              </w:rPr>
              <w:t>Each</w:t>
            </w:r>
          </w:p>
        </w:tc>
        <w:tc>
          <w:tcPr>
            <w:tcW w:w="7440" w:type="dxa"/>
            <w:vAlign w:val="bottom"/>
            <w:vMerge w:val="restart"/>
          </w:tcPr>
          <w:p>
            <w:pPr>
              <w:spacing w:after="0"/>
              <w:rPr>
                <w:sz w:val="20"/>
                <w:szCs w:val="20"/>
                <w:color w:val="auto"/>
              </w:rPr>
            </w:pPr>
            <w:r>
              <w:rPr>
                <w:rFonts w:ascii="Arial" w:cs="Arial" w:eastAsia="Arial" w:hAnsi="Arial"/>
                <w:sz w:val="22"/>
                <w:szCs w:val="22"/>
                <w:color w:val="auto"/>
              </w:rPr>
              <w:t>7. Sole Dispositive Power 2,321,845</w:t>
            </w:r>
          </w:p>
        </w:tc>
        <w:tc>
          <w:tcPr>
            <w:tcW w:w="0" w:type="dxa"/>
            <w:vAlign w:val="bottom"/>
          </w:tcPr>
          <w:p>
            <w:pPr>
              <w:spacing w:after="0"/>
              <w:rPr>
                <w:sz w:val="1"/>
                <w:szCs w:val="1"/>
                <w:color w:val="auto"/>
              </w:rPr>
            </w:pPr>
          </w:p>
        </w:tc>
      </w:tr>
      <w:tr>
        <w:trPr>
          <w:trHeight w:val="139"/>
        </w:trPr>
        <w:tc>
          <w:tcPr>
            <w:tcW w:w="1420" w:type="dxa"/>
            <w:vAlign w:val="bottom"/>
            <w:vMerge w:val="restart"/>
          </w:tcPr>
          <w:p>
            <w:pPr>
              <w:spacing w:after="0" w:line="243" w:lineRule="exact"/>
              <w:rPr>
                <w:sz w:val="20"/>
                <w:szCs w:val="20"/>
                <w:color w:val="auto"/>
              </w:rPr>
            </w:pPr>
            <w:r>
              <w:rPr>
                <w:rFonts w:ascii="Arial" w:cs="Arial" w:eastAsia="Arial" w:hAnsi="Arial"/>
                <w:sz w:val="22"/>
                <w:szCs w:val="22"/>
                <w:color w:val="auto"/>
              </w:rPr>
              <w:t>Reporting</w:t>
            </w:r>
          </w:p>
        </w:tc>
        <w:tc>
          <w:tcPr>
            <w:tcW w:w="7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1420" w:type="dxa"/>
            <w:vAlign w:val="bottom"/>
            <w:vMerge w:val="continue"/>
          </w:tcPr>
          <w:p>
            <w:pPr>
              <w:spacing w:after="0"/>
              <w:rPr>
                <w:sz w:val="9"/>
                <w:szCs w:val="9"/>
                <w:color w:val="auto"/>
              </w:rPr>
            </w:pPr>
          </w:p>
        </w:tc>
        <w:tc>
          <w:tcPr>
            <w:tcW w:w="7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1420" w:type="dxa"/>
            <w:vAlign w:val="bottom"/>
            <w:vMerge w:val="restart"/>
          </w:tcPr>
          <w:p>
            <w:pPr>
              <w:spacing w:after="0"/>
              <w:rPr>
                <w:sz w:val="20"/>
                <w:szCs w:val="20"/>
                <w:color w:val="auto"/>
              </w:rPr>
            </w:pPr>
            <w:r>
              <w:rPr>
                <w:rFonts w:ascii="Arial" w:cs="Arial" w:eastAsia="Arial" w:hAnsi="Arial"/>
                <w:sz w:val="22"/>
                <w:szCs w:val="22"/>
                <w:color w:val="auto"/>
              </w:rPr>
              <w:t>Person With</w:t>
            </w:r>
          </w:p>
        </w:tc>
        <w:tc>
          <w:tcPr>
            <w:tcW w:w="74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1420" w:type="dxa"/>
            <w:vAlign w:val="bottom"/>
            <w:vMerge w:val="continue"/>
          </w:tcPr>
          <w:p>
            <w:pPr>
              <w:spacing w:after="0"/>
              <w:rPr>
                <w:sz w:val="12"/>
                <w:szCs w:val="12"/>
                <w:color w:val="auto"/>
              </w:rPr>
            </w:pPr>
          </w:p>
        </w:tc>
        <w:tc>
          <w:tcPr>
            <w:tcW w:w="74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5616575</wp:posOffset>
            </wp:positionH>
            <wp:positionV relativeFrom="paragraph">
              <wp:posOffset>-996315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899795</wp:posOffset>
            </wp:positionH>
            <wp:positionV relativeFrom="paragraph">
              <wp:posOffset>-996315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5616575</wp:posOffset>
            </wp:positionH>
            <wp:positionV relativeFrom="paragraph">
              <wp:posOffset>-550545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899795</wp:posOffset>
            </wp:positionH>
            <wp:positionV relativeFrom="paragraph">
              <wp:posOffset>-550545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5616575</wp:posOffset>
            </wp:positionH>
            <wp:positionV relativeFrom="paragraph">
              <wp:posOffset>-104140</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899795</wp:posOffset>
            </wp:positionH>
            <wp:positionV relativeFrom="paragraph">
              <wp:posOffset>-104140</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0" w:lineRule="exact"/>
        <w:rPr>
          <w:sz w:val="20"/>
          <w:szCs w:val="20"/>
          <w:color w:val="auto"/>
        </w:rPr>
      </w:pPr>
    </w:p>
    <w:p>
      <w:pPr>
        <w:ind w:left="1640" w:hanging="220"/>
        <w:spacing w:after="0"/>
        <w:tabs>
          <w:tab w:leader="none" w:pos="1640" w:val="left"/>
        </w:tabs>
        <w:numPr>
          <w:ilvl w:val="1"/>
          <w:numId w:val="6"/>
        </w:numPr>
        <w:rPr>
          <w:rFonts w:ascii="Arial" w:cs="Arial" w:eastAsia="Arial" w:hAnsi="Arial"/>
          <w:sz w:val="22"/>
          <w:szCs w:val="22"/>
          <w:color w:val="auto"/>
        </w:rPr>
      </w:pPr>
      <w:r>
        <w:rPr>
          <w:rFonts w:ascii="Arial" w:cs="Arial" w:eastAsia="Arial" w:hAnsi="Arial"/>
          <w:sz w:val="22"/>
          <w:szCs w:val="22"/>
          <w:color w:val="auto"/>
        </w:rPr>
        <w:t>Shared Dispositive Power 0</w:t>
      </w:r>
    </w:p>
    <w:p>
      <w:pPr>
        <w:spacing w:after="0" w:line="200" w:lineRule="exact"/>
        <w:rPr>
          <w:rFonts w:ascii="Arial" w:cs="Arial" w:eastAsia="Arial" w:hAnsi="Arial"/>
          <w:sz w:val="22"/>
          <w:szCs w:val="22"/>
          <w:color w:val="auto"/>
        </w:rPr>
      </w:pPr>
    </w:p>
    <w:p>
      <w:pPr>
        <w:spacing w:after="0" w:line="249" w:lineRule="exact"/>
        <w:rPr>
          <w:rFonts w:ascii="Arial" w:cs="Arial" w:eastAsia="Arial" w:hAnsi="Arial"/>
          <w:sz w:val="22"/>
          <w:szCs w:val="22"/>
          <w:color w:val="auto"/>
        </w:rPr>
      </w:pPr>
    </w:p>
    <w:p>
      <w:pPr>
        <w:ind w:left="640" w:hanging="435"/>
        <w:spacing w:after="0"/>
        <w:tabs>
          <w:tab w:leader="none" w:pos="640" w:val="left"/>
        </w:tabs>
        <w:numPr>
          <w:ilvl w:val="0"/>
          <w:numId w:val="7"/>
        </w:numPr>
        <w:rPr>
          <w:rFonts w:ascii="Arial" w:cs="Arial" w:eastAsia="Arial" w:hAnsi="Arial"/>
          <w:sz w:val="22"/>
          <w:szCs w:val="22"/>
          <w:color w:val="auto"/>
        </w:rPr>
      </w:pPr>
      <w:r>
        <w:rPr>
          <w:rFonts w:ascii="Arial" w:cs="Arial" w:eastAsia="Arial" w:hAnsi="Arial"/>
          <w:sz w:val="22"/>
          <w:szCs w:val="22"/>
          <w:color w:val="auto"/>
        </w:rPr>
        <w:t>Aggregate Amount Beneficially Owned by Each Reporting Person 2,331,448</w:t>
      </w:r>
    </w:p>
    <w:p>
      <w:pPr>
        <w:spacing w:after="0" w:line="200" w:lineRule="exact"/>
        <w:rPr>
          <w:rFonts w:ascii="Arial" w:cs="Arial" w:eastAsia="Arial" w:hAnsi="Arial"/>
          <w:sz w:val="22"/>
          <w:szCs w:val="22"/>
          <w:color w:val="auto"/>
        </w:rPr>
      </w:pPr>
    </w:p>
    <w:p>
      <w:pPr>
        <w:spacing w:after="0" w:line="249" w:lineRule="exact"/>
        <w:rPr>
          <w:rFonts w:ascii="Arial" w:cs="Arial" w:eastAsia="Arial" w:hAnsi="Arial"/>
          <w:sz w:val="22"/>
          <w:szCs w:val="22"/>
          <w:color w:val="auto"/>
        </w:rPr>
      </w:pPr>
    </w:p>
    <w:p>
      <w:pPr>
        <w:ind w:left="640" w:hanging="435"/>
        <w:spacing w:after="0"/>
        <w:tabs>
          <w:tab w:leader="none" w:pos="640" w:val="left"/>
        </w:tabs>
        <w:numPr>
          <w:ilvl w:val="0"/>
          <w:numId w:val="7"/>
        </w:numPr>
        <w:rPr>
          <w:rFonts w:ascii="Arial" w:cs="Arial" w:eastAsia="Arial" w:hAnsi="Arial"/>
          <w:sz w:val="21"/>
          <w:szCs w:val="21"/>
          <w:color w:val="auto"/>
        </w:rPr>
      </w:pPr>
      <w:r>
        <w:rPr>
          <w:rFonts w:ascii="Arial" w:cs="Arial" w:eastAsia="Arial" w:hAnsi="Arial"/>
          <w:sz w:val="21"/>
          <w:szCs w:val="21"/>
          <w:color w:val="auto"/>
        </w:rPr>
        <w:t>Check if the Aggregate Amount in Row (9) Excludes Certain Shares (See Instructions)</w:t>
      </w:r>
    </w:p>
    <w:p>
      <w:pPr>
        <w:spacing w:after="0" w:line="200" w:lineRule="exact"/>
        <w:rPr>
          <w:rFonts w:ascii="Arial" w:cs="Arial" w:eastAsia="Arial" w:hAnsi="Arial"/>
          <w:sz w:val="21"/>
          <w:szCs w:val="21"/>
          <w:color w:val="auto"/>
        </w:rPr>
      </w:pPr>
    </w:p>
    <w:p>
      <w:pPr>
        <w:spacing w:after="0" w:line="260" w:lineRule="exact"/>
        <w:rPr>
          <w:rFonts w:ascii="Arial" w:cs="Arial" w:eastAsia="Arial" w:hAnsi="Arial"/>
          <w:sz w:val="21"/>
          <w:szCs w:val="21"/>
          <w:color w:val="auto"/>
        </w:rPr>
      </w:pPr>
    </w:p>
    <w:p>
      <w:pPr>
        <w:ind w:left="640" w:hanging="435"/>
        <w:spacing w:after="0"/>
        <w:tabs>
          <w:tab w:leader="none" w:pos="640" w:val="left"/>
        </w:tabs>
        <w:numPr>
          <w:ilvl w:val="0"/>
          <w:numId w:val="7"/>
        </w:numPr>
        <w:rPr>
          <w:rFonts w:ascii="Arial" w:cs="Arial" w:eastAsia="Arial" w:hAnsi="Arial"/>
          <w:sz w:val="22"/>
          <w:szCs w:val="22"/>
          <w:color w:val="auto"/>
        </w:rPr>
      </w:pPr>
      <w:r>
        <w:rPr>
          <w:rFonts w:ascii="Arial" w:cs="Arial" w:eastAsia="Arial" w:hAnsi="Arial"/>
          <w:sz w:val="22"/>
          <w:szCs w:val="22"/>
          <w:color w:val="auto"/>
        </w:rPr>
        <w:t>Percent of Class Represented by Amount in Row (9) 5.26 %</w:t>
      </w:r>
    </w:p>
    <w:p>
      <w:pPr>
        <w:spacing w:after="0" w:line="200" w:lineRule="exact"/>
        <w:rPr>
          <w:rFonts w:ascii="Arial" w:cs="Arial" w:eastAsia="Arial" w:hAnsi="Arial"/>
          <w:sz w:val="22"/>
          <w:szCs w:val="22"/>
          <w:color w:val="auto"/>
        </w:rPr>
      </w:pPr>
    </w:p>
    <w:p>
      <w:pPr>
        <w:spacing w:after="0" w:line="249" w:lineRule="exact"/>
        <w:rPr>
          <w:rFonts w:ascii="Arial" w:cs="Arial" w:eastAsia="Arial" w:hAnsi="Arial"/>
          <w:sz w:val="22"/>
          <w:szCs w:val="22"/>
          <w:color w:val="auto"/>
        </w:rPr>
      </w:pPr>
    </w:p>
    <w:p>
      <w:pPr>
        <w:ind w:left="640" w:hanging="435"/>
        <w:spacing w:after="0"/>
        <w:tabs>
          <w:tab w:leader="none" w:pos="640" w:val="left"/>
        </w:tabs>
        <w:numPr>
          <w:ilvl w:val="0"/>
          <w:numId w:val="7"/>
        </w:numPr>
        <w:rPr>
          <w:rFonts w:ascii="Arial" w:cs="Arial" w:eastAsia="Arial" w:hAnsi="Arial"/>
          <w:sz w:val="22"/>
          <w:szCs w:val="22"/>
          <w:color w:val="auto"/>
        </w:rPr>
      </w:pPr>
      <w:r>
        <w:rPr>
          <w:rFonts w:ascii="Arial" w:cs="Arial" w:eastAsia="Arial" w:hAnsi="Arial"/>
          <w:sz w:val="22"/>
          <w:szCs w:val="22"/>
          <w:color w:val="auto"/>
        </w:rPr>
        <w:t>Type of Reporting Person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-1640840</wp:posOffset>
            </wp:positionV>
            <wp:extent cx="562991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2991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-1194435</wp:posOffset>
            </wp:positionV>
            <wp:extent cx="562991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2991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-748665</wp:posOffset>
            </wp:positionV>
            <wp:extent cx="562991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2991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-302895</wp:posOffset>
            </wp:positionV>
            <wp:extent cx="562991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2991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142240</wp:posOffset>
            </wp:positionV>
            <wp:extent cx="562991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29910" cy="215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562991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2991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w:t>
      </w:r>
    </w:p>
    <w:p>
      <w:pPr>
        <w:spacing w:after="0" w:line="104" w:lineRule="exact"/>
        <w:rPr>
          <w:sz w:val="20"/>
          <w:szCs w:val="20"/>
          <w:color w:val="auto"/>
        </w:rPr>
      </w:pPr>
    </w:p>
    <w:p>
      <w:pPr>
        <w:ind w:left="700" w:hanging="374"/>
        <w:spacing w:after="0"/>
        <w:tabs>
          <w:tab w:leader="none" w:pos="700" w:val="left"/>
        </w:tabs>
        <w:numPr>
          <w:ilvl w:val="0"/>
          <w:numId w:val="8"/>
        </w:numPr>
        <w:rPr>
          <w:rFonts w:ascii="Arial" w:cs="Arial" w:eastAsia="Arial" w:hAnsi="Arial"/>
          <w:sz w:val="22"/>
          <w:szCs w:val="22"/>
          <w:color w:val="auto"/>
        </w:rPr>
      </w:pPr>
      <w:r>
        <w:rPr>
          <w:rFonts w:ascii="Arial" w:cs="Arial" w:eastAsia="Arial" w:hAnsi="Arial"/>
          <w:sz w:val="22"/>
          <w:szCs w:val="22"/>
          <w:color w:val="auto"/>
        </w:rPr>
        <w:t>Name of Issuer</w:t>
      </w:r>
    </w:p>
    <w:p>
      <w:pPr>
        <w:spacing w:after="0" w:line="8" w:lineRule="exact"/>
        <w:rPr>
          <w:rFonts w:ascii="Arial" w:cs="Arial" w:eastAsia="Arial" w:hAnsi="Arial"/>
          <w:sz w:val="22"/>
          <w:szCs w:val="22"/>
          <w:color w:val="auto"/>
        </w:rPr>
      </w:pPr>
    </w:p>
    <w:p>
      <w:pPr>
        <w:ind w:left="700"/>
        <w:spacing w:after="0"/>
        <w:rPr>
          <w:rFonts w:ascii="Arial" w:cs="Arial" w:eastAsia="Arial" w:hAnsi="Arial"/>
          <w:sz w:val="22"/>
          <w:szCs w:val="22"/>
          <w:color w:val="auto"/>
        </w:rPr>
      </w:pPr>
      <w:r>
        <w:rPr>
          <w:rFonts w:ascii="Arial" w:cs="Arial" w:eastAsia="Arial" w:hAnsi="Arial"/>
          <w:sz w:val="22"/>
          <w:szCs w:val="22"/>
          <w:color w:val="auto"/>
        </w:rPr>
        <w:t>GRAND CANYON ED INC</w:t>
      </w:r>
    </w:p>
    <w:p>
      <w:pPr>
        <w:spacing w:after="0" w:line="80" w:lineRule="exact"/>
        <w:rPr>
          <w:rFonts w:ascii="Arial" w:cs="Arial" w:eastAsia="Arial" w:hAnsi="Arial"/>
          <w:sz w:val="22"/>
          <w:szCs w:val="22"/>
          <w:color w:val="auto"/>
        </w:rPr>
      </w:pPr>
    </w:p>
    <w:p>
      <w:pPr>
        <w:jc w:val="both"/>
        <w:ind w:left="700" w:right="5399" w:hanging="374"/>
        <w:spacing w:after="0" w:line="382" w:lineRule="auto"/>
        <w:tabs>
          <w:tab w:leader="none" w:pos="700" w:val="left"/>
        </w:tabs>
        <w:numPr>
          <w:ilvl w:val="0"/>
          <w:numId w:val="8"/>
        </w:numPr>
        <w:rPr>
          <w:rFonts w:ascii="Arial" w:cs="Arial" w:eastAsia="Arial" w:hAnsi="Arial"/>
          <w:sz w:val="19"/>
          <w:szCs w:val="19"/>
          <w:color w:val="auto"/>
        </w:rPr>
      </w:pPr>
      <w:r>
        <w:rPr>
          <w:rFonts w:ascii="Arial" w:cs="Arial" w:eastAsia="Arial" w:hAnsi="Arial"/>
          <w:sz w:val="19"/>
          <w:szCs w:val="19"/>
          <w:color w:val="auto"/>
        </w:rPr>
        <w:t>Address of Issuer's Principal Executive Offices 3300 W. Camelback Road, Phoenix, AZ 85017</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104" w:lineRule="exact"/>
        <w:rPr>
          <w:sz w:val="20"/>
          <w:szCs w:val="20"/>
          <w:color w:val="auto"/>
        </w:rPr>
      </w:pPr>
    </w:p>
    <w:p>
      <w:pPr>
        <w:ind w:left="700" w:right="7319" w:hanging="374"/>
        <w:spacing w:after="0" w:line="326" w:lineRule="auto"/>
        <w:tabs>
          <w:tab w:leader="none" w:pos="700" w:val="left"/>
        </w:tabs>
        <w:numPr>
          <w:ilvl w:val="0"/>
          <w:numId w:val="9"/>
        </w:numPr>
        <w:rPr>
          <w:rFonts w:ascii="Arial" w:cs="Arial" w:eastAsia="Arial" w:hAnsi="Arial"/>
          <w:sz w:val="19"/>
          <w:szCs w:val="19"/>
          <w:color w:val="auto"/>
        </w:rPr>
      </w:pPr>
      <w:r>
        <w:rPr>
          <w:rFonts w:ascii="Arial" w:cs="Arial" w:eastAsia="Arial" w:hAnsi="Arial"/>
          <w:sz w:val="19"/>
          <w:szCs w:val="19"/>
          <w:color w:val="auto"/>
        </w:rPr>
        <w:t>Name of Person Filing Wells Fargo &amp; Company</w:t>
      </w:r>
    </w:p>
    <w:p>
      <w:pPr>
        <w:ind w:left="700" w:right="4339" w:hanging="374"/>
        <w:spacing w:after="0" w:line="326" w:lineRule="auto"/>
        <w:tabs>
          <w:tab w:leader="none" w:pos="700" w:val="left"/>
        </w:tabs>
        <w:numPr>
          <w:ilvl w:val="0"/>
          <w:numId w:val="9"/>
        </w:numPr>
        <w:rPr>
          <w:rFonts w:ascii="Arial" w:cs="Arial" w:eastAsia="Arial" w:hAnsi="Arial"/>
          <w:sz w:val="19"/>
          <w:szCs w:val="19"/>
          <w:color w:val="auto"/>
        </w:rPr>
      </w:pPr>
      <w:r>
        <w:rPr>
          <w:rFonts w:ascii="Arial" w:cs="Arial" w:eastAsia="Arial" w:hAnsi="Arial"/>
          <w:sz w:val="19"/>
          <w:szCs w:val="19"/>
          <w:color w:val="auto"/>
        </w:rPr>
        <w:t>Address of Principal Business Office or, if none, Residence 420 Montgomery Street, San Francisco, CA 94104</w:t>
      </w:r>
    </w:p>
    <w:p>
      <w:pPr>
        <w:ind w:left="700" w:right="8479" w:hanging="374"/>
        <w:spacing w:after="0" w:line="326" w:lineRule="auto"/>
        <w:tabs>
          <w:tab w:leader="none" w:pos="700" w:val="left"/>
        </w:tabs>
        <w:numPr>
          <w:ilvl w:val="0"/>
          <w:numId w:val="9"/>
        </w:numPr>
        <w:rPr>
          <w:rFonts w:ascii="Arial" w:cs="Arial" w:eastAsia="Arial" w:hAnsi="Arial"/>
          <w:sz w:val="19"/>
          <w:szCs w:val="19"/>
          <w:color w:val="auto"/>
        </w:rPr>
      </w:pPr>
      <w:r>
        <w:rPr>
          <w:rFonts w:ascii="Arial" w:cs="Arial" w:eastAsia="Arial" w:hAnsi="Arial"/>
          <w:sz w:val="19"/>
          <w:szCs w:val="19"/>
          <w:color w:val="auto"/>
        </w:rPr>
        <w:t>Citizenship Delaware</w:t>
      </w:r>
    </w:p>
    <w:p>
      <w:pPr>
        <w:ind w:left="700" w:hanging="374"/>
        <w:spacing w:after="0"/>
        <w:tabs>
          <w:tab w:leader="none" w:pos="700" w:val="left"/>
        </w:tabs>
        <w:numPr>
          <w:ilvl w:val="0"/>
          <w:numId w:val="9"/>
        </w:numPr>
        <w:rPr>
          <w:rFonts w:ascii="Arial" w:cs="Arial" w:eastAsia="Arial" w:hAnsi="Arial"/>
          <w:sz w:val="22"/>
          <w:szCs w:val="22"/>
          <w:color w:val="auto"/>
        </w:rPr>
      </w:pPr>
      <w:r>
        <w:rPr>
          <w:rFonts w:ascii="Arial" w:cs="Arial" w:eastAsia="Arial" w:hAnsi="Arial"/>
          <w:sz w:val="22"/>
          <w:szCs w:val="22"/>
          <w:color w:val="auto"/>
        </w:rPr>
        <w:t>Title of Class of Securities</w:t>
      </w:r>
    </w:p>
    <w:p>
      <w:pPr>
        <w:spacing w:after="0" w:line="8" w:lineRule="exact"/>
        <w:rPr>
          <w:rFonts w:ascii="Arial" w:cs="Arial" w:eastAsia="Arial" w:hAnsi="Arial"/>
          <w:sz w:val="22"/>
          <w:szCs w:val="22"/>
          <w:color w:val="auto"/>
        </w:rPr>
      </w:pPr>
    </w:p>
    <w:p>
      <w:pPr>
        <w:ind w:left="700"/>
        <w:spacing w:after="0"/>
        <w:rPr>
          <w:rFonts w:ascii="Arial" w:cs="Arial" w:eastAsia="Arial" w:hAnsi="Arial"/>
          <w:sz w:val="22"/>
          <w:szCs w:val="22"/>
          <w:color w:val="auto"/>
        </w:rPr>
      </w:pPr>
      <w:r>
        <w:rPr>
          <w:rFonts w:ascii="Arial" w:cs="Arial" w:eastAsia="Arial" w:hAnsi="Arial"/>
          <w:sz w:val="22"/>
          <w:szCs w:val="22"/>
          <w:color w:val="auto"/>
        </w:rPr>
        <w:t>COM</w:t>
      </w:r>
    </w:p>
    <w:p>
      <w:pPr>
        <w:spacing w:after="0" w:line="80" w:lineRule="exact"/>
        <w:rPr>
          <w:rFonts w:ascii="Arial" w:cs="Arial" w:eastAsia="Arial" w:hAnsi="Arial"/>
          <w:sz w:val="22"/>
          <w:szCs w:val="22"/>
          <w:color w:val="auto"/>
        </w:rPr>
      </w:pPr>
    </w:p>
    <w:p>
      <w:pPr>
        <w:ind w:left="700" w:right="8099" w:hanging="374"/>
        <w:spacing w:after="0" w:line="328" w:lineRule="auto"/>
        <w:tabs>
          <w:tab w:leader="none" w:pos="700" w:val="left"/>
        </w:tabs>
        <w:numPr>
          <w:ilvl w:val="0"/>
          <w:numId w:val="9"/>
        </w:numPr>
        <w:rPr>
          <w:rFonts w:ascii="Arial" w:cs="Arial" w:eastAsia="Arial" w:hAnsi="Arial"/>
          <w:sz w:val="19"/>
          <w:szCs w:val="19"/>
          <w:color w:val="auto"/>
        </w:rPr>
      </w:pPr>
      <w:r>
        <w:rPr>
          <w:rFonts w:ascii="Arial" w:cs="Arial" w:eastAsia="Arial" w:hAnsi="Arial"/>
          <w:sz w:val="19"/>
          <w:szCs w:val="19"/>
          <w:color w:val="auto"/>
        </w:rPr>
        <w:t>CUSIP Number 38526M106</w:t>
      </w:r>
    </w:p>
    <w:p>
      <w:pPr>
        <w:spacing w:after="0" w:line="342" w:lineRule="exact"/>
        <w:rPr>
          <w:sz w:val="20"/>
          <w:szCs w:val="20"/>
          <w:color w:val="auto"/>
        </w:rPr>
      </w:pPr>
    </w:p>
    <w:p>
      <w:pPr>
        <w:ind w:left="780" w:right="1399" w:hanging="782"/>
        <w:spacing w:after="0" w:line="256" w:lineRule="auto"/>
        <w:rPr>
          <w:sz w:val="20"/>
          <w:szCs w:val="20"/>
          <w:color w:val="auto"/>
        </w:rPr>
      </w:pPr>
      <w:r>
        <w:rPr>
          <w:rFonts w:ascii="Arial" w:cs="Arial" w:eastAsia="Arial" w:hAnsi="Arial"/>
          <w:sz w:val="22"/>
          <w:szCs w:val="22"/>
          <w:b w:val="1"/>
          <w:bCs w:val="1"/>
          <w:color w:val="auto"/>
        </w:rPr>
        <w:t>Item 3. If this statement is filed pursuant to 240.13d-1(b) or 240.13d-2(b) or (c), check whether the person filing is a:</w:t>
      </w:r>
    </w:p>
    <w:p>
      <w:pPr>
        <w:spacing w:after="0" w:line="61" w:lineRule="exact"/>
        <w:rPr>
          <w:sz w:val="20"/>
          <w:szCs w:val="20"/>
          <w:color w:val="auto"/>
        </w:rPr>
      </w:pPr>
    </w:p>
    <w:p>
      <w:pPr>
        <w:ind w:left="780" w:hanging="464"/>
        <w:spacing w:after="0"/>
        <w:tabs>
          <w:tab w:leader="none" w:pos="780" w:val="left"/>
        </w:tabs>
        <w:numPr>
          <w:ilvl w:val="0"/>
          <w:numId w:val="10"/>
        </w:numPr>
        <w:rPr>
          <w:rFonts w:ascii="Arial" w:cs="Arial" w:eastAsia="Arial" w:hAnsi="Arial"/>
          <w:sz w:val="22"/>
          <w:szCs w:val="22"/>
          <w:color w:val="auto"/>
        </w:rPr>
      </w:pPr>
      <w:r>
        <w:rPr>
          <w:rFonts w:ascii="Arial" w:cs="Arial" w:eastAsia="Arial" w:hAnsi="Arial"/>
          <w:sz w:val="22"/>
          <w:szCs w:val="22"/>
          <w:color w:val="auto"/>
        </w:rPr>
        <w:t>[ ]  Broker or dealer registered under section 15 of the Act (15 U.S.C. 78c)</w:t>
      </w:r>
    </w:p>
    <w:p>
      <w:pPr>
        <w:spacing w:after="0" w:line="260" w:lineRule="exact"/>
        <w:rPr>
          <w:rFonts w:ascii="Arial" w:cs="Arial" w:eastAsia="Arial" w:hAnsi="Arial"/>
          <w:sz w:val="22"/>
          <w:szCs w:val="22"/>
          <w:color w:val="auto"/>
        </w:rPr>
      </w:pPr>
    </w:p>
    <w:p>
      <w:pPr>
        <w:ind w:left="780" w:hanging="476"/>
        <w:spacing w:after="0"/>
        <w:tabs>
          <w:tab w:leader="none" w:pos="780" w:val="left"/>
        </w:tabs>
        <w:numPr>
          <w:ilvl w:val="0"/>
          <w:numId w:val="10"/>
        </w:numPr>
        <w:rPr>
          <w:rFonts w:ascii="Arial" w:cs="Arial" w:eastAsia="Arial" w:hAnsi="Arial"/>
          <w:sz w:val="22"/>
          <w:szCs w:val="22"/>
          <w:color w:val="auto"/>
        </w:rPr>
      </w:pPr>
      <w:r>
        <w:rPr>
          <w:rFonts w:ascii="Arial" w:cs="Arial" w:eastAsia="Arial" w:hAnsi="Arial"/>
          <w:sz w:val="22"/>
          <w:szCs w:val="22"/>
          <w:color w:val="auto"/>
        </w:rPr>
        <w:t>[ ]  Bank as defined in section 3(a)(6) of the Act (15 U.S.C. 78c).</w:t>
      </w:r>
    </w:p>
    <w:p>
      <w:pPr>
        <w:spacing w:after="0" w:line="260" w:lineRule="exact"/>
        <w:rPr>
          <w:rFonts w:ascii="Arial" w:cs="Arial" w:eastAsia="Arial" w:hAnsi="Arial"/>
          <w:sz w:val="22"/>
          <w:szCs w:val="22"/>
          <w:color w:val="auto"/>
        </w:rPr>
      </w:pPr>
    </w:p>
    <w:p>
      <w:pPr>
        <w:ind w:left="780" w:hanging="464"/>
        <w:spacing w:after="0"/>
        <w:tabs>
          <w:tab w:leader="none" w:pos="780" w:val="left"/>
        </w:tabs>
        <w:numPr>
          <w:ilvl w:val="0"/>
          <w:numId w:val="10"/>
        </w:numPr>
        <w:rPr>
          <w:rFonts w:ascii="Arial" w:cs="Arial" w:eastAsia="Arial" w:hAnsi="Arial"/>
          <w:sz w:val="22"/>
          <w:szCs w:val="22"/>
          <w:color w:val="auto"/>
        </w:rPr>
      </w:pPr>
      <w:r>
        <w:rPr>
          <w:rFonts w:ascii="Arial" w:cs="Arial" w:eastAsia="Arial" w:hAnsi="Arial"/>
          <w:sz w:val="22"/>
          <w:szCs w:val="22"/>
          <w:color w:val="auto"/>
        </w:rPr>
        <w:t>[ ]  Insurance company as defined in section 3(a)(19) of the Act (15 U.S.C. 78c).</w:t>
      </w:r>
    </w:p>
    <w:p>
      <w:pPr>
        <w:spacing w:after="0" w:line="260" w:lineRule="exact"/>
        <w:rPr>
          <w:rFonts w:ascii="Arial" w:cs="Arial" w:eastAsia="Arial" w:hAnsi="Arial"/>
          <w:sz w:val="22"/>
          <w:szCs w:val="22"/>
          <w:color w:val="auto"/>
        </w:rPr>
      </w:pPr>
    </w:p>
    <w:p>
      <w:pPr>
        <w:ind w:left="1120" w:right="1399" w:hanging="816"/>
        <w:spacing w:after="0" w:line="251" w:lineRule="auto"/>
        <w:tabs>
          <w:tab w:leader="none" w:pos="782" w:val="left"/>
        </w:tabs>
        <w:numPr>
          <w:ilvl w:val="0"/>
          <w:numId w:val="10"/>
        </w:numPr>
        <w:rPr>
          <w:rFonts w:ascii="Arial" w:cs="Arial" w:eastAsia="Arial" w:hAnsi="Arial"/>
          <w:sz w:val="22"/>
          <w:szCs w:val="22"/>
          <w:color w:val="auto"/>
        </w:rPr>
      </w:pPr>
      <w:r>
        <w:rPr>
          <w:rFonts w:ascii="Arial" w:cs="Arial" w:eastAsia="Arial" w:hAnsi="Arial"/>
          <w:sz w:val="22"/>
          <w:szCs w:val="22"/>
          <w:color w:val="auto"/>
        </w:rPr>
        <w:t>[ ] Investment company registered under section 8 of the Investment Company Act of 1940 (15 U.S.C 80a-8).</w:t>
      </w:r>
    </w:p>
    <w:p>
      <w:pPr>
        <w:spacing w:after="0" w:line="65" w:lineRule="exact"/>
        <w:rPr>
          <w:rFonts w:ascii="Arial" w:cs="Arial" w:eastAsia="Arial" w:hAnsi="Arial"/>
          <w:sz w:val="22"/>
          <w:szCs w:val="22"/>
          <w:color w:val="auto"/>
        </w:rPr>
      </w:pPr>
    </w:p>
    <w:p>
      <w:pPr>
        <w:ind w:left="780" w:hanging="464"/>
        <w:spacing w:after="0"/>
        <w:tabs>
          <w:tab w:leader="none" w:pos="780" w:val="left"/>
        </w:tabs>
        <w:numPr>
          <w:ilvl w:val="0"/>
          <w:numId w:val="10"/>
        </w:numPr>
        <w:rPr>
          <w:rFonts w:ascii="Arial" w:cs="Arial" w:eastAsia="Arial" w:hAnsi="Arial"/>
          <w:sz w:val="22"/>
          <w:szCs w:val="22"/>
          <w:color w:val="auto"/>
        </w:rPr>
      </w:pPr>
      <w:r>
        <w:rPr>
          <w:rFonts w:ascii="Arial" w:cs="Arial" w:eastAsia="Arial" w:hAnsi="Arial"/>
          <w:sz w:val="22"/>
          <w:szCs w:val="22"/>
          <w:color w:val="auto"/>
        </w:rPr>
        <w:t>[ ]  An investment adviser in accordance with 240.13d-1(b)(1)(ii)(E);</w:t>
      </w:r>
    </w:p>
    <w:p>
      <w:pPr>
        <w:sectPr>
          <w:pgSz w:w="11900" w:h="16838" w:orient="portrait"/>
          <w:cols w:equalWidth="0" w:num="1">
            <w:col w:w="10159"/>
          </w:cols>
          <w:pgMar w:left="300" w:top="226" w:right="1440" w:bottom="0" w:gutter="0" w:footer="0" w:header="0"/>
        </w:sectPr>
      </w:pPr>
    </w:p>
    <w:bookmarkStart w:id="2" w:name="page3"/>
    <w:bookmarkEnd w:id="2"/>
    <w:p>
      <w:pPr>
        <w:ind w:left="780" w:hanging="440"/>
        <w:spacing w:after="0"/>
        <w:tabs>
          <w:tab w:leader="none" w:pos="780" w:val="left"/>
        </w:tabs>
        <w:numPr>
          <w:ilvl w:val="0"/>
          <w:numId w:val="11"/>
        </w:numPr>
        <w:rPr>
          <w:rFonts w:ascii="Arial" w:cs="Arial" w:eastAsia="Arial" w:hAnsi="Arial"/>
          <w:sz w:val="19"/>
          <w:szCs w:val="19"/>
          <w:color w:val="auto"/>
        </w:rPr>
      </w:pPr>
      <w:r>
        <w:rPr>
          <w:rFonts w:ascii="Arial" w:cs="Arial" w:eastAsia="Arial" w:hAnsi="Arial"/>
          <w:sz w:val="19"/>
          <w:szCs w:val="19"/>
          <w:color w:val="auto"/>
        </w:rPr>
        <w:t>[ ]  An employee benefit plan or endowment fund in accordance with 240.13d-1(b)(1)(ii)(F);</w:t>
      </w:r>
    </w:p>
    <w:p>
      <w:pPr>
        <w:spacing w:after="0" w:line="294" w:lineRule="exact"/>
        <w:rPr>
          <w:rFonts w:ascii="Arial" w:cs="Arial" w:eastAsia="Arial" w:hAnsi="Arial"/>
          <w:sz w:val="19"/>
          <w:szCs w:val="19"/>
          <w:color w:val="auto"/>
        </w:rPr>
      </w:pPr>
    </w:p>
    <w:p>
      <w:pPr>
        <w:ind w:left="780" w:hanging="476"/>
        <w:spacing w:after="0"/>
        <w:tabs>
          <w:tab w:leader="none" w:pos="780" w:val="left"/>
        </w:tabs>
        <w:numPr>
          <w:ilvl w:val="0"/>
          <w:numId w:val="11"/>
        </w:numPr>
        <w:rPr>
          <w:rFonts w:ascii="Arial" w:cs="Arial" w:eastAsia="Arial" w:hAnsi="Arial"/>
          <w:sz w:val="19"/>
          <w:szCs w:val="19"/>
          <w:color w:val="auto"/>
        </w:rPr>
      </w:pPr>
      <w:r>
        <w:rPr>
          <w:rFonts w:ascii="Arial" w:cs="Arial" w:eastAsia="Arial" w:hAnsi="Arial"/>
          <w:sz w:val="19"/>
          <w:szCs w:val="19"/>
          <w:color w:val="auto"/>
        </w:rPr>
        <w:t>[X A parent holding company or control person in accordance with 240.13d-1(b)(1)(ii)(G);</w:t>
      </w:r>
    </w:p>
    <w:p>
      <w:pPr>
        <w:spacing w:after="0" w:line="42" w:lineRule="exact"/>
        <w:rPr>
          <w:rFonts w:ascii="Arial" w:cs="Arial" w:eastAsia="Arial" w:hAnsi="Arial"/>
          <w:sz w:val="19"/>
          <w:szCs w:val="19"/>
          <w:color w:val="auto"/>
        </w:rPr>
      </w:pPr>
    </w:p>
    <w:p>
      <w:pPr>
        <w:ind w:left="780"/>
        <w:spacing w:after="0"/>
        <w:rPr>
          <w:rFonts w:ascii="Arial" w:cs="Arial" w:eastAsia="Arial" w:hAnsi="Arial"/>
          <w:sz w:val="19"/>
          <w:szCs w:val="19"/>
          <w:color w:val="auto"/>
        </w:rPr>
      </w:pPr>
      <w:r>
        <w:rPr>
          <w:rFonts w:ascii="Arial" w:cs="Arial" w:eastAsia="Arial" w:hAnsi="Arial"/>
          <w:sz w:val="22"/>
          <w:szCs w:val="22"/>
          <w:color w:val="auto"/>
        </w:rPr>
        <w:t>]</w:t>
      </w:r>
    </w:p>
    <w:p>
      <w:pPr>
        <w:spacing w:after="0" w:line="80" w:lineRule="exact"/>
        <w:rPr>
          <w:rFonts w:ascii="Arial" w:cs="Arial" w:eastAsia="Arial" w:hAnsi="Arial"/>
          <w:sz w:val="19"/>
          <w:szCs w:val="19"/>
          <w:color w:val="auto"/>
        </w:rPr>
      </w:pPr>
    </w:p>
    <w:p>
      <w:pPr>
        <w:ind w:left="1120" w:right="1559" w:hanging="816"/>
        <w:spacing w:after="0" w:line="251" w:lineRule="auto"/>
        <w:tabs>
          <w:tab w:leader="none" w:pos="782" w:val="left"/>
        </w:tabs>
        <w:numPr>
          <w:ilvl w:val="0"/>
          <w:numId w:val="11"/>
        </w:numPr>
        <w:rPr>
          <w:rFonts w:ascii="Arial" w:cs="Arial" w:eastAsia="Arial" w:hAnsi="Arial"/>
          <w:sz w:val="22"/>
          <w:szCs w:val="22"/>
          <w:color w:val="auto"/>
        </w:rPr>
      </w:pPr>
      <w:r>
        <w:rPr>
          <w:rFonts w:ascii="Arial" w:cs="Arial" w:eastAsia="Arial" w:hAnsi="Arial"/>
          <w:sz w:val="22"/>
          <w:szCs w:val="22"/>
          <w:color w:val="auto"/>
        </w:rPr>
        <w:t>[ ] A savings associations as defined in Section 3(b) of the Federal Deposit Insurance Act (12 U.S.C. 1813);</w:t>
      </w:r>
    </w:p>
    <w:p>
      <w:pPr>
        <w:spacing w:after="0" w:line="65" w:lineRule="exact"/>
        <w:rPr>
          <w:rFonts w:ascii="Arial" w:cs="Arial" w:eastAsia="Arial" w:hAnsi="Arial"/>
          <w:sz w:val="22"/>
          <w:szCs w:val="22"/>
          <w:color w:val="auto"/>
        </w:rPr>
      </w:pPr>
    </w:p>
    <w:p>
      <w:pPr>
        <w:ind w:left="1120" w:right="1819" w:hanging="768"/>
        <w:spacing w:after="0" w:line="239" w:lineRule="auto"/>
        <w:tabs>
          <w:tab w:leader="none" w:pos="782" w:val="left"/>
        </w:tabs>
        <w:numPr>
          <w:ilvl w:val="0"/>
          <w:numId w:val="11"/>
        </w:numPr>
        <w:rPr>
          <w:rFonts w:ascii="Arial" w:cs="Arial" w:eastAsia="Arial" w:hAnsi="Arial"/>
          <w:sz w:val="22"/>
          <w:szCs w:val="22"/>
          <w:color w:val="auto"/>
        </w:rPr>
      </w:pPr>
      <w:r>
        <w:rPr>
          <w:rFonts w:ascii="Arial" w:cs="Arial" w:eastAsia="Arial" w:hAnsi="Arial"/>
          <w:sz w:val="22"/>
          <w:szCs w:val="22"/>
          <w:color w:val="auto"/>
        </w:rPr>
        <w:t>[ ] A church plan that is excluded from the definition of an investment company under section</w:t>
      </w:r>
    </w:p>
    <w:p>
      <w:pPr>
        <w:ind w:left="1120"/>
        <w:spacing w:after="0"/>
        <w:rPr>
          <w:rFonts w:ascii="Arial" w:cs="Arial" w:eastAsia="Arial" w:hAnsi="Arial"/>
          <w:sz w:val="22"/>
          <w:szCs w:val="22"/>
          <w:color w:val="auto"/>
        </w:rPr>
      </w:pPr>
      <w:r>
        <w:rPr>
          <w:rFonts w:ascii="Arial" w:cs="Arial" w:eastAsia="Arial" w:hAnsi="Arial"/>
          <w:sz w:val="22"/>
          <w:szCs w:val="22"/>
          <w:color w:val="auto"/>
        </w:rPr>
        <w:t>3(c)(14) of the Investment Company Act of 1940 (15 U.S.C. 80a-3);</w:t>
      </w:r>
    </w:p>
    <w:p>
      <w:pPr>
        <w:spacing w:after="0" w:line="80" w:lineRule="exact"/>
        <w:rPr>
          <w:rFonts w:ascii="Arial" w:cs="Arial" w:eastAsia="Arial" w:hAnsi="Arial"/>
          <w:sz w:val="22"/>
          <w:szCs w:val="22"/>
          <w:color w:val="auto"/>
        </w:rPr>
      </w:pPr>
    </w:p>
    <w:p>
      <w:pPr>
        <w:ind w:left="780" w:hanging="428"/>
        <w:spacing w:after="0"/>
        <w:tabs>
          <w:tab w:leader="none" w:pos="780" w:val="left"/>
        </w:tabs>
        <w:numPr>
          <w:ilvl w:val="0"/>
          <w:numId w:val="11"/>
        </w:numPr>
        <w:rPr>
          <w:rFonts w:ascii="Arial" w:cs="Arial" w:eastAsia="Arial" w:hAnsi="Arial"/>
          <w:sz w:val="22"/>
          <w:szCs w:val="22"/>
          <w:color w:val="auto"/>
        </w:rPr>
      </w:pPr>
      <w:r>
        <w:rPr>
          <w:rFonts w:ascii="Arial" w:cs="Arial" w:eastAsia="Arial" w:hAnsi="Arial"/>
          <w:sz w:val="22"/>
          <w:szCs w:val="22"/>
          <w:color w:val="auto"/>
        </w:rPr>
        <w:t>[ ]  A non-U.S.institution in accordance with 240.13d-1(b)(1)(ii)(J);</w:t>
      </w:r>
    </w:p>
    <w:p>
      <w:pPr>
        <w:spacing w:after="0" w:line="260" w:lineRule="exact"/>
        <w:rPr>
          <w:rFonts w:ascii="Arial" w:cs="Arial" w:eastAsia="Arial" w:hAnsi="Arial"/>
          <w:sz w:val="22"/>
          <w:szCs w:val="22"/>
          <w:color w:val="auto"/>
        </w:rPr>
      </w:pPr>
    </w:p>
    <w:p>
      <w:pPr>
        <w:ind w:left="780" w:hanging="476"/>
        <w:spacing w:after="0"/>
        <w:tabs>
          <w:tab w:leader="none" w:pos="780" w:val="left"/>
        </w:tabs>
        <w:numPr>
          <w:ilvl w:val="0"/>
          <w:numId w:val="11"/>
        </w:numPr>
        <w:rPr>
          <w:rFonts w:ascii="Arial" w:cs="Arial" w:eastAsia="Arial" w:hAnsi="Arial"/>
          <w:sz w:val="22"/>
          <w:szCs w:val="22"/>
          <w:color w:val="auto"/>
        </w:rPr>
      </w:pPr>
      <w:r>
        <w:rPr>
          <w:rFonts w:ascii="Arial" w:cs="Arial" w:eastAsia="Arial" w:hAnsi="Arial"/>
          <w:sz w:val="22"/>
          <w:szCs w:val="22"/>
          <w:color w:val="auto"/>
        </w:rPr>
        <w:t>[ ]  Group, in accordance with 240.13d-1(b)(1)(ii)(K).</w:t>
      </w:r>
    </w:p>
    <w:p>
      <w:pPr>
        <w:spacing w:after="0" w:line="260" w:lineRule="exact"/>
        <w:rPr>
          <w:sz w:val="20"/>
          <w:szCs w:val="20"/>
          <w:color w:val="auto"/>
        </w:rPr>
      </w:pPr>
    </w:p>
    <w:p>
      <w:pPr>
        <w:ind w:left="1120" w:right="1339"/>
        <w:spacing w:after="0" w:line="251" w:lineRule="auto"/>
        <w:rPr>
          <w:sz w:val="20"/>
          <w:szCs w:val="20"/>
          <w:color w:val="auto"/>
        </w:rPr>
      </w:pPr>
      <w:r>
        <w:rPr>
          <w:rFonts w:ascii="Arial" w:cs="Arial" w:eastAsia="Arial" w:hAnsi="Arial"/>
          <w:sz w:val="22"/>
          <w:szCs w:val="22"/>
          <w:color w:val="auto"/>
        </w:rPr>
        <w:t>If filing as a non-U.S.institution in accordance with 240.13d-1(b)(1)(ii)(J), please specify the type of institution: ______________</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4.  Ownership.</w:t>
      </w:r>
    </w:p>
    <w:p>
      <w:pPr>
        <w:spacing w:after="0" w:line="104" w:lineRule="exact"/>
        <w:rPr>
          <w:sz w:val="20"/>
          <w:szCs w:val="20"/>
          <w:color w:val="auto"/>
        </w:rPr>
      </w:pPr>
    </w:p>
    <w:p>
      <w:pPr>
        <w:ind w:right="1779"/>
        <w:spacing w:after="0" w:line="251" w:lineRule="auto"/>
        <w:rPr>
          <w:sz w:val="20"/>
          <w:szCs w:val="20"/>
          <w:color w:val="auto"/>
        </w:rPr>
      </w:pPr>
      <w:r>
        <w:rPr>
          <w:rFonts w:ascii="Arial" w:cs="Arial" w:eastAsia="Arial" w:hAnsi="Arial"/>
          <w:sz w:val="22"/>
          <w:szCs w:val="22"/>
          <w:color w:val="auto"/>
        </w:rPr>
        <w:t>Provide the following information regarding the aggregate number and percentage of the class of securities of the issuer identified in Item 1.</w:t>
      </w:r>
    </w:p>
    <w:p>
      <w:pPr>
        <w:spacing w:after="0" w:line="65" w:lineRule="exact"/>
        <w:rPr>
          <w:sz w:val="20"/>
          <w:szCs w:val="20"/>
          <w:color w:val="auto"/>
        </w:rPr>
      </w:pPr>
    </w:p>
    <w:p>
      <w:pPr>
        <w:ind w:left="800" w:hanging="433"/>
        <w:spacing w:after="0"/>
        <w:tabs>
          <w:tab w:leader="none" w:pos="800" w:val="left"/>
        </w:tabs>
        <w:numPr>
          <w:ilvl w:val="0"/>
          <w:numId w:val="12"/>
        </w:numPr>
        <w:rPr>
          <w:rFonts w:ascii="Arial" w:cs="Arial" w:eastAsia="Arial" w:hAnsi="Arial"/>
          <w:sz w:val="22"/>
          <w:szCs w:val="22"/>
          <w:color w:val="auto"/>
        </w:rPr>
      </w:pPr>
      <w:r>
        <w:rPr>
          <w:rFonts w:ascii="Arial" w:cs="Arial" w:eastAsia="Arial" w:hAnsi="Arial"/>
          <w:sz w:val="22"/>
          <w:szCs w:val="22"/>
          <w:color w:val="auto"/>
        </w:rPr>
        <w:t>Amount beneficially owned: 2,331,448</w:t>
      </w:r>
    </w:p>
    <w:p>
      <w:pPr>
        <w:spacing w:after="0" w:line="98" w:lineRule="exact"/>
        <w:rPr>
          <w:rFonts w:ascii="Arial" w:cs="Arial" w:eastAsia="Arial" w:hAnsi="Arial"/>
          <w:sz w:val="22"/>
          <w:szCs w:val="22"/>
          <w:color w:val="auto"/>
        </w:rPr>
      </w:pPr>
    </w:p>
    <w:p>
      <w:pPr>
        <w:ind w:left="800" w:hanging="433"/>
        <w:spacing w:after="0"/>
        <w:tabs>
          <w:tab w:leader="none" w:pos="800" w:val="left"/>
        </w:tabs>
        <w:numPr>
          <w:ilvl w:val="0"/>
          <w:numId w:val="12"/>
        </w:numPr>
        <w:rPr>
          <w:rFonts w:ascii="Arial" w:cs="Arial" w:eastAsia="Arial" w:hAnsi="Arial"/>
          <w:sz w:val="22"/>
          <w:szCs w:val="22"/>
          <w:color w:val="auto"/>
        </w:rPr>
      </w:pPr>
      <w:r>
        <w:rPr>
          <w:rFonts w:ascii="Arial" w:cs="Arial" w:eastAsia="Arial" w:hAnsi="Arial"/>
          <w:sz w:val="22"/>
          <w:szCs w:val="22"/>
          <w:color w:val="auto"/>
        </w:rPr>
        <w:t>Percent of class: 5.26%</w:t>
      </w:r>
    </w:p>
    <w:p>
      <w:pPr>
        <w:spacing w:after="0" w:line="98" w:lineRule="exact"/>
        <w:rPr>
          <w:rFonts w:ascii="Arial" w:cs="Arial" w:eastAsia="Arial" w:hAnsi="Arial"/>
          <w:sz w:val="22"/>
          <w:szCs w:val="22"/>
          <w:color w:val="auto"/>
        </w:rPr>
      </w:pPr>
    </w:p>
    <w:p>
      <w:pPr>
        <w:ind w:left="800" w:hanging="433"/>
        <w:spacing w:after="0"/>
        <w:tabs>
          <w:tab w:leader="none" w:pos="800" w:val="left"/>
        </w:tabs>
        <w:numPr>
          <w:ilvl w:val="0"/>
          <w:numId w:val="12"/>
        </w:numPr>
        <w:rPr>
          <w:rFonts w:ascii="Arial" w:cs="Arial" w:eastAsia="Arial" w:hAnsi="Arial"/>
          <w:sz w:val="22"/>
          <w:szCs w:val="22"/>
          <w:color w:val="auto"/>
        </w:rPr>
      </w:pPr>
      <w:r>
        <w:rPr>
          <w:rFonts w:ascii="Arial" w:cs="Arial" w:eastAsia="Arial" w:hAnsi="Arial"/>
          <w:sz w:val="22"/>
          <w:szCs w:val="22"/>
          <w:color w:val="auto"/>
        </w:rPr>
        <w:t>Number of shares as to which the person has:</w:t>
      </w:r>
    </w:p>
    <w:p>
      <w:pPr>
        <w:spacing w:after="0" w:line="98" w:lineRule="exact"/>
        <w:rPr>
          <w:rFonts w:ascii="Arial" w:cs="Arial" w:eastAsia="Arial" w:hAnsi="Arial"/>
          <w:sz w:val="22"/>
          <w:szCs w:val="22"/>
          <w:color w:val="auto"/>
        </w:rPr>
      </w:pPr>
    </w:p>
    <w:p>
      <w:pPr>
        <w:ind w:left="1260" w:hanging="461"/>
        <w:spacing w:after="0"/>
        <w:tabs>
          <w:tab w:leader="none" w:pos="1260" w:val="left"/>
        </w:tabs>
        <w:numPr>
          <w:ilvl w:val="1"/>
          <w:numId w:val="12"/>
        </w:numPr>
        <w:rPr>
          <w:rFonts w:ascii="Arial" w:cs="Arial" w:eastAsia="Arial" w:hAnsi="Arial"/>
          <w:sz w:val="22"/>
          <w:szCs w:val="22"/>
          <w:color w:val="auto"/>
        </w:rPr>
      </w:pPr>
      <w:r>
        <w:rPr>
          <w:rFonts w:ascii="Arial" w:cs="Arial" w:eastAsia="Arial" w:hAnsi="Arial"/>
          <w:sz w:val="22"/>
          <w:szCs w:val="22"/>
          <w:color w:val="auto"/>
        </w:rPr>
        <w:t>Sole power to vote or to direct the vote 1,790,828</w:t>
      </w:r>
    </w:p>
    <w:p>
      <w:pPr>
        <w:spacing w:after="0" w:line="98" w:lineRule="exact"/>
        <w:rPr>
          <w:rFonts w:ascii="Arial" w:cs="Arial" w:eastAsia="Arial" w:hAnsi="Arial"/>
          <w:sz w:val="22"/>
          <w:szCs w:val="22"/>
          <w:color w:val="auto"/>
        </w:rPr>
      </w:pPr>
    </w:p>
    <w:p>
      <w:pPr>
        <w:ind w:left="1260" w:hanging="461"/>
        <w:spacing w:after="0"/>
        <w:tabs>
          <w:tab w:leader="none" w:pos="1260" w:val="left"/>
        </w:tabs>
        <w:numPr>
          <w:ilvl w:val="1"/>
          <w:numId w:val="12"/>
        </w:numPr>
        <w:rPr>
          <w:rFonts w:ascii="Arial" w:cs="Arial" w:eastAsia="Arial" w:hAnsi="Arial"/>
          <w:sz w:val="22"/>
          <w:szCs w:val="22"/>
          <w:color w:val="auto"/>
        </w:rPr>
      </w:pPr>
      <w:r>
        <w:rPr>
          <w:rFonts w:ascii="Arial" w:cs="Arial" w:eastAsia="Arial" w:hAnsi="Arial"/>
          <w:sz w:val="22"/>
          <w:szCs w:val="22"/>
          <w:color w:val="auto"/>
        </w:rPr>
        <w:t>Shared power to vote or to direct the vote 0</w:t>
      </w:r>
    </w:p>
    <w:p>
      <w:pPr>
        <w:spacing w:after="0" w:line="98" w:lineRule="exact"/>
        <w:rPr>
          <w:rFonts w:ascii="Arial" w:cs="Arial" w:eastAsia="Arial" w:hAnsi="Arial"/>
          <w:sz w:val="22"/>
          <w:szCs w:val="22"/>
          <w:color w:val="auto"/>
        </w:rPr>
      </w:pPr>
    </w:p>
    <w:p>
      <w:pPr>
        <w:ind w:left="1260" w:hanging="461"/>
        <w:spacing w:after="0"/>
        <w:tabs>
          <w:tab w:leader="none" w:pos="1260" w:val="left"/>
        </w:tabs>
        <w:numPr>
          <w:ilvl w:val="1"/>
          <w:numId w:val="12"/>
        </w:numPr>
        <w:rPr>
          <w:rFonts w:ascii="Arial" w:cs="Arial" w:eastAsia="Arial" w:hAnsi="Arial"/>
          <w:sz w:val="22"/>
          <w:szCs w:val="22"/>
          <w:color w:val="auto"/>
        </w:rPr>
      </w:pPr>
      <w:r>
        <w:rPr>
          <w:rFonts w:ascii="Arial" w:cs="Arial" w:eastAsia="Arial" w:hAnsi="Arial"/>
          <w:sz w:val="22"/>
          <w:szCs w:val="22"/>
          <w:color w:val="auto"/>
        </w:rPr>
        <w:t>Sole power to dispose or to direct the disposition of 2,321,845</w:t>
      </w:r>
    </w:p>
    <w:p>
      <w:pPr>
        <w:spacing w:after="0" w:line="98" w:lineRule="exact"/>
        <w:rPr>
          <w:rFonts w:ascii="Arial" w:cs="Arial" w:eastAsia="Arial" w:hAnsi="Arial"/>
          <w:sz w:val="22"/>
          <w:szCs w:val="22"/>
          <w:color w:val="auto"/>
        </w:rPr>
      </w:pPr>
    </w:p>
    <w:p>
      <w:pPr>
        <w:ind w:left="1260" w:hanging="461"/>
        <w:spacing w:after="0"/>
        <w:tabs>
          <w:tab w:leader="none" w:pos="1260" w:val="left"/>
        </w:tabs>
        <w:numPr>
          <w:ilvl w:val="1"/>
          <w:numId w:val="12"/>
        </w:numPr>
        <w:rPr>
          <w:rFonts w:ascii="Arial" w:cs="Arial" w:eastAsia="Arial" w:hAnsi="Arial"/>
          <w:sz w:val="22"/>
          <w:szCs w:val="22"/>
          <w:color w:val="auto"/>
        </w:rPr>
      </w:pPr>
      <w:r>
        <w:rPr>
          <w:rFonts w:ascii="Arial" w:cs="Arial" w:eastAsia="Arial" w:hAnsi="Arial"/>
          <w:sz w:val="22"/>
          <w:szCs w:val="22"/>
          <w:color w:val="auto"/>
        </w:rPr>
        <w:t>Shared power to dispose or to direct the disposition of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365760</wp:posOffset>
            </wp:positionV>
            <wp:extent cx="562991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2991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Person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45720</wp:posOffset>
            </wp:positionV>
            <wp:extent cx="569404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94045" cy="17145"/>
                    </a:xfrm>
                    <a:prstGeom prst="rect">
                      <a:avLst/>
                    </a:prstGeom>
                    <a:noFill/>
                  </pic:spPr>
                </pic:pic>
              </a:graphicData>
            </a:graphic>
          </wp:anchor>
        </w:drawing>
      </w:r>
    </w:p>
    <w:p>
      <w:pPr>
        <w:spacing w:after="0" w:line="111" w:lineRule="exact"/>
        <w:rPr>
          <w:sz w:val="20"/>
          <w:szCs w:val="20"/>
          <w:color w:val="auto"/>
        </w:rPr>
      </w:pPr>
    </w:p>
    <w:p>
      <w:pPr>
        <w:ind w:left="640" w:hanging="435"/>
        <w:spacing w:after="0"/>
        <w:tabs>
          <w:tab w:leader="none" w:pos="640" w:val="left"/>
        </w:tabs>
        <w:numPr>
          <w:ilvl w:val="0"/>
          <w:numId w:val="13"/>
        </w:numPr>
        <w:rPr>
          <w:rFonts w:ascii="Arial" w:cs="Arial" w:eastAsia="Arial" w:hAnsi="Arial"/>
          <w:sz w:val="22"/>
          <w:szCs w:val="22"/>
          <w:color w:val="auto"/>
        </w:rPr>
      </w:pPr>
      <w:r>
        <w:rPr>
          <w:rFonts w:ascii="Arial" w:cs="Arial" w:eastAsia="Arial" w:hAnsi="Arial"/>
          <w:sz w:val="22"/>
          <w:szCs w:val="22"/>
          <w:color w:val="auto"/>
        </w:rPr>
        <w:t>(a) Names of Reporting Persons.</w:t>
      </w:r>
    </w:p>
    <w:p>
      <w:pPr>
        <w:spacing w:after="0" w:line="8" w:lineRule="exact"/>
        <w:rPr>
          <w:rFonts w:ascii="Arial" w:cs="Arial" w:eastAsia="Arial" w:hAnsi="Arial"/>
          <w:sz w:val="22"/>
          <w:szCs w:val="22"/>
          <w:color w:val="auto"/>
        </w:rPr>
      </w:pPr>
    </w:p>
    <w:p>
      <w:pPr>
        <w:ind w:left="640"/>
        <w:spacing w:after="0"/>
        <w:rPr>
          <w:rFonts w:ascii="Arial" w:cs="Arial" w:eastAsia="Arial" w:hAnsi="Arial"/>
          <w:sz w:val="22"/>
          <w:szCs w:val="22"/>
          <w:color w:val="auto"/>
        </w:rPr>
      </w:pPr>
      <w:r>
        <w:rPr>
          <w:rFonts w:ascii="Arial" w:cs="Arial" w:eastAsia="Arial" w:hAnsi="Arial"/>
          <w:sz w:val="22"/>
          <w:szCs w:val="22"/>
          <w:color w:val="auto"/>
        </w:rPr>
        <w:t>Wells Capital Management Incorporated</w:t>
      </w:r>
    </w:p>
    <w:p>
      <w:pPr>
        <w:spacing w:after="0" w:line="80" w:lineRule="exact"/>
        <w:rPr>
          <w:sz w:val="20"/>
          <w:szCs w:val="20"/>
          <w:color w:val="auto"/>
        </w:rPr>
      </w:pPr>
    </w:p>
    <w:p>
      <w:pPr>
        <w:ind w:left="640" w:right="8479" w:hanging="3"/>
        <w:spacing w:after="0" w:line="328" w:lineRule="auto"/>
        <w:tabs>
          <w:tab w:leader="none" w:pos="946" w:val="left"/>
        </w:tabs>
        <w:numPr>
          <w:ilvl w:val="1"/>
          <w:numId w:val="14"/>
        </w:numPr>
        <w:rPr>
          <w:rFonts w:ascii="Arial" w:cs="Arial" w:eastAsia="Arial" w:hAnsi="Arial"/>
          <w:sz w:val="19"/>
          <w:szCs w:val="19"/>
          <w:color w:val="auto"/>
        </w:rPr>
      </w:pPr>
      <w:r>
        <w:rPr>
          <w:rFonts w:ascii="Arial" w:cs="Arial" w:eastAsia="Arial" w:hAnsi="Arial"/>
          <w:sz w:val="19"/>
          <w:szCs w:val="19"/>
          <w:color w:val="auto"/>
        </w:rPr>
        <w:t>Tax ID 95-3692822</w:t>
      </w:r>
    </w:p>
    <w:p>
      <w:pPr>
        <w:spacing w:after="0" w:line="348" w:lineRule="exact"/>
        <w:rPr>
          <w:rFonts w:ascii="Arial" w:cs="Arial" w:eastAsia="Arial" w:hAnsi="Arial"/>
          <w:sz w:val="19"/>
          <w:szCs w:val="19"/>
          <w:color w:val="auto"/>
        </w:rPr>
      </w:pPr>
    </w:p>
    <w:p>
      <w:pPr>
        <w:ind w:left="640" w:hanging="435"/>
        <w:spacing w:after="0"/>
        <w:tabs>
          <w:tab w:leader="none" w:pos="640" w:val="left"/>
        </w:tabs>
        <w:numPr>
          <w:ilvl w:val="0"/>
          <w:numId w:val="15"/>
        </w:numPr>
        <w:rPr>
          <w:rFonts w:ascii="Arial" w:cs="Arial" w:eastAsia="Arial" w:hAnsi="Arial"/>
          <w:sz w:val="22"/>
          <w:szCs w:val="22"/>
          <w:color w:val="auto"/>
        </w:rPr>
      </w:pPr>
      <w:r>
        <w:rPr>
          <w:rFonts w:ascii="Arial" w:cs="Arial" w:eastAsia="Arial" w:hAnsi="Arial"/>
          <w:sz w:val="22"/>
          <w:szCs w:val="22"/>
          <w:color w:val="auto"/>
        </w:rPr>
        <w:t>Check the Appropriate Box if a Member of a Group (See Instructions)</w:t>
      </w:r>
    </w:p>
    <w:p>
      <w:pPr>
        <w:spacing w:after="0" w:line="98" w:lineRule="exact"/>
        <w:rPr>
          <w:rFonts w:ascii="Arial" w:cs="Arial" w:eastAsia="Arial" w:hAnsi="Arial"/>
          <w:sz w:val="22"/>
          <w:szCs w:val="22"/>
          <w:color w:val="auto"/>
        </w:rPr>
      </w:pPr>
    </w:p>
    <w:p>
      <w:pPr>
        <w:ind w:left="980" w:hanging="343"/>
        <w:spacing w:after="0"/>
        <w:tabs>
          <w:tab w:leader="none" w:pos="980" w:val="left"/>
        </w:tabs>
        <w:numPr>
          <w:ilvl w:val="1"/>
          <w:numId w:val="15"/>
        </w:numPr>
        <w:rPr>
          <w:rFonts w:ascii="Arial" w:cs="Arial" w:eastAsia="Arial" w:hAnsi="Arial"/>
          <w:sz w:val="22"/>
          <w:szCs w:val="22"/>
          <w:color w:val="auto"/>
        </w:rPr>
      </w:pPr>
      <w:r>
        <w:rPr>
          <w:rFonts w:ascii="Arial" w:cs="Arial" w:eastAsia="Arial" w:hAnsi="Arial"/>
          <w:sz w:val="22"/>
          <w:szCs w:val="22"/>
          <w:color w:val="auto"/>
        </w:rPr>
        <w:t>[]</w:t>
      </w:r>
    </w:p>
    <w:p>
      <w:pPr>
        <w:spacing w:after="0" w:line="98" w:lineRule="exact"/>
        <w:rPr>
          <w:rFonts w:ascii="Arial" w:cs="Arial" w:eastAsia="Arial" w:hAnsi="Arial"/>
          <w:sz w:val="22"/>
          <w:szCs w:val="22"/>
          <w:color w:val="auto"/>
        </w:rPr>
      </w:pPr>
    </w:p>
    <w:p>
      <w:pPr>
        <w:ind w:left="1000" w:hanging="363"/>
        <w:spacing w:after="0"/>
        <w:tabs>
          <w:tab w:leader="none" w:pos="1000" w:val="left"/>
        </w:tabs>
        <w:numPr>
          <w:ilvl w:val="1"/>
          <w:numId w:val="15"/>
        </w:numPr>
        <w:rPr>
          <w:rFonts w:ascii="Arial" w:cs="Arial" w:eastAsia="Arial" w:hAnsi="Arial"/>
          <w:sz w:val="22"/>
          <w:szCs w:val="22"/>
          <w:color w:val="auto"/>
        </w:rPr>
      </w:pPr>
      <w:r>
        <w:rPr>
          <w:rFonts w:ascii="Arial" w:cs="Arial" w:eastAsia="Arial" w:hAnsi="Arial"/>
          <w:sz w:val="22"/>
          <w:szCs w:val="22"/>
          <w:color w:val="auto"/>
        </w:rPr>
        <w:t>[]</w:t>
      </w:r>
    </w:p>
    <w:p>
      <w:pPr>
        <w:spacing w:after="0" w:line="200" w:lineRule="exact"/>
        <w:rPr>
          <w:rFonts w:ascii="Arial" w:cs="Arial" w:eastAsia="Arial" w:hAnsi="Arial"/>
          <w:sz w:val="22"/>
          <w:szCs w:val="22"/>
          <w:color w:val="auto"/>
        </w:rPr>
      </w:pPr>
    </w:p>
    <w:p>
      <w:pPr>
        <w:spacing w:after="0" w:line="249" w:lineRule="exact"/>
        <w:rPr>
          <w:rFonts w:ascii="Arial" w:cs="Arial" w:eastAsia="Arial" w:hAnsi="Arial"/>
          <w:sz w:val="22"/>
          <w:szCs w:val="22"/>
          <w:color w:val="auto"/>
        </w:rPr>
      </w:pPr>
    </w:p>
    <w:p>
      <w:pPr>
        <w:ind w:left="640" w:hanging="435"/>
        <w:spacing w:after="0"/>
        <w:tabs>
          <w:tab w:leader="none" w:pos="640" w:val="left"/>
        </w:tabs>
        <w:numPr>
          <w:ilvl w:val="0"/>
          <w:numId w:val="15"/>
        </w:numPr>
        <w:rPr>
          <w:rFonts w:ascii="Arial" w:cs="Arial" w:eastAsia="Arial" w:hAnsi="Arial"/>
          <w:sz w:val="22"/>
          <w:szCs w:val="22"/>
          <w:color w:val="auto"/>
        </w:rPr>
      </w:pPr>
      <w:r>
        <w:rPr>
          <w:rFonts w:ascii="Arial" w:cs="Arial" w:eastAsia="Arial" w:hAnsi="Arial"/>
          <w:sz w:val="22"/>
          <w:szCs w:val="22"/>
          <w:color w:val="auto"/>
        </w:rPr>
        <w:t>SEC Use Only . . . . . . . . . . . . . . . . . . . . . . . . . . . . . . . . . . . . . . . . .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-1194435</wp:posOffset>
            </wp:positionV>
            <wp:extent cx="562991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2991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-302895</wp:posOffset>
            </wp:positionV>
            <wp:extent cx="562991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2991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142240</wp:posOffset>
            </wp:positionV>
            <wp:extent cx="562991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29910" cy="215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left="200"/>
        <w:spacing w:after="0"/>
        <w:tabs>
          <w:tab w:leader="none" w:pos="620" w:val="left"/>
        </w:tabs>
        <w:rPr>
          <w:sz w:val="20"/>
          <w:szCs w:val="20"/>
          <w:color w:val="auto"/>
        </w:rPr>
      </w:pPr>
      <w:r>
        <w:rPr>
          <w:rFonts w:ascii="Arial" w:cs="Arial" w:eastAsia="Arial" w:hAnsi="Arial"/>
          <w:sz w:val="22"/>
          <w:szCs w:val="22"/>
          <w:color w:val="auto"/>
        </w:rPr>
        <w:t>4.</w:t>
        <w:tab/>
        <w:t>Citizenship or Place of Organization  California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562991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29910" cy="215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1420" w:type="dxa"/>
            <w:vAlign w:val="bottom"/>
          </w:tcPr>
          <w:p>
            <w:pPr>
              <w:spacing w:after="0"/>
              <w:rPr>
                <w:sz w:val="23"/>
                <w:szCs w:val="23"/>
                <w:color w:val="auto"/>
              </w:rPr>
            </w:pPr>
          </w:p>
        </w:tc>
        <w:tc>
          <w:tcPr>
            <w:tcW w:w="7440" w:type="dxa"/>
            <w:vAlign w:val="bottom"/>
          </w:tcPr>
          <w:p>
            <w:pPr>
              <w:spacing w:after="0"/>
              <w:rPr>
                <w:sz w:val="20"/>
                <w:szCs w:val="20"/>
                <w:color w:val="auto"/>
              </w:rPr>
            </w:pPr>
            <w:r>
              <w:rPr>
                <w:rFonts w:ascii="Arial" w:cs="Arial" w:eastAsia="Arial" w:hAnsi="Arial"/>
                <w:sz w:val="22"/>
                <w:szCs w:val="22"/>
                <w:color w:val="auto"/>
              </w:rPr>
              <w:t>5. Sole Voting Power 305,655</w:t>
            </w:r>
          </w:p>
        </w:tc>
        <w:tc>
          <w:tcPr>
            <w:tcW w:w="0" w:type="dxa"/>
            <w:vAlign w:val="bottom"/>
          </w:tcPr>
          <w:p>
            <w:pPr>
              <w:spacing w:after="0"/>
              <w:rPr>
                <w:sz w:val="1"/>
                <w:szCs w:val="1"/>
                <w:color w:val="auto"/>
              </w:rPr>
            </w:pPr>
          </w:p>
        </w:tc>
      </w:tr>
      <w:tr>
        <w:trPr>
          <w:trHeight w:val="216"/>
        </w:trPr>
        <w:tc>
          <w:tcPr>
            <w:tcW w:w="1420" w:type="dxa"/>
            <w:vAlign w:val="bottom"/>
            <w:vMerge w:val="restart"/>
          </w:tcPr>
          <w:p>
            <w:pPr>
              <w:spacing w:after="0"/>
              <w:rPr>
                <w:sz w:val="20"/>
                <w:szCs w:val="20"/>
                <w:color w:val="auto"/>
              </w:rPr>
            </w:pPr>
            <w:r>
              <w:rPr>
                <w:rFonts w:ascii="Arial" w:cs="Arial" w:eastAsia="Arial" w:hAnsi="Arial"/>
                <w:sz w:val="22"/>
                <w:szCs w:val="22"/>
                <w:color w:val="auto"/>
              </w:rPr>
              <w:t>Number of</w:t>
            </w:r>
          </w:p>
        </w:tc>
        <w:tc>
          <w:tcPr>
            <w:tcW w:w="744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56"/>
        </w:trPr>
        <w:tc>
          <w:tcPr>
            <w:tcW w:w="1420" w:type="dxa"/>
            <w:vAlign w:val="bottom"/>
            <w:vMerge w:val="continue"/>
          </w:tcPr>
          <w:p>
            <w:pPr>
              <w:spacing w:after="0"/>
              <w:rPr>
                <w:sz w:val="4"/>
                <w:szCs w:val="4"/>
                <w:color w:val="auto"/>
              </w:rPr>
            </w:pPr>
          </w:p>
        </w:tc>
        <w:tc>
          <w:tcPr>
            <w:tcW w:w="7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line="243" w:lineRule="exact"/>
              <w:rPr>
                <w:sz w:val="20"/>
                <w:szCs w:val="20"/>
                <w:color w:val="auto"/>
              </w:rPr>
            </w:pPr>
            <w:r>
              <w:rPr>
                <w:rFonts w:ascii="Arial" w:cs="Arial" w:eastAsia="Arial" w:hAnsi="Arial"/>
                <w:sz w:val="22"/>
                <w:szCs w:val="22"/>
                <w:color w:val="auto"/>
              </w:rPr>
              <w:t>Shares</w:t>
            </w:r>
          </w:p>
        </w:tc>
        <w:tc>
          <w:tcPr>
            <w:tcW w:w="7440" w:type="dxa"/>
            <w:vAlign w:val="bottom"/>
            <w:vMerge w:val="restart"/>
          </w:tcPr>
          <w:p>
            <w:pPr>
              <w:spacing w:after="0"/>
              <w:rPr>
                <w:sz w:val="20"/>
                <w:szCs w:val="20"/>
                <w:color w:val="auto"/>
              </w:rPr>
            </w:pPr>
            <w:r>
              <w:rPr>
                <w:rFonts w:ascii="Arial" w:cs="Arial" w:eastAsia="Arial" w:hAnsi="Arial"/>
                <w:sz w:val="22"/>
                <w:szCs w:val="22"/>
                <w:color w:val="auto"/>
              </w:rPr>
              <w:t>6. Shared Voting Power 0</w:t>
            </w:r>
          </w:p>
        </w:tc>
        <w:tc>
          <w:tcPr>
            <w:tcW w:w="0" w:type="dxa"/>
            <w:vAlign w:val="bottom"/>
          </w:tcPr>
          <w:p>
            <w:pPr>
              <w:spacing w:after="0"/>
              <w:rPr>
                <w:sz w:val="1"/>
                <w:szCs w:val="1"/>
                <w:color w:val="auto"/>
              </w:rPr>
            </w:pPr>
          </w:p>
        </w:tc>
      </w:tr>
      <w:tr>
        <w:trPr>
          <w:trHeight w:val="166"/>
        </w:trPr>
        <w:tc>
          <w:tcPr>
            <w:tcW w:w="1420" w:type="dxa"/>
            <w:vAlign w:val="bottom"/>
            <w:vMerge w:val="restart"/>
          </w:tcPr>
          <w:p>
            <w:pPr>
              <w:spacing w:after="0" w:line="243" w:lineRule="exact"/>
              <w:rPr>
                <w:sz w:val="20"/>
                <w:szCs w:val="20"/>
                <w:color w:val="auto"/>
              </w:rPr>
            </w:pPr>
            <w:r>
              <w:rPr>
                <w:rFonts w:ascii="Arial" w:cs="Arial" w:eastAsia="Arial" w:hAnsi="Arial"/>
                <w:sz w:val="22"/>
                <w:szCs w:val="22"/>
                <w:color w:val="auto"/>
              </w:rPr>
              <w:t>Beneficially</w:t>
            </w:r>
          </w:p>
        </w:tc>
        <w:tc>
          <w:tcPr>
            <w:tcW w:w="7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1420" w:type="dxa"/>
            <w:vAlign w:val="bottom"/>
            <w:vMerge w:val="continue"/>
          </w:tcPr>
          <w:p>
            <w:pPr>
              <w:spacing w:after="0"/>
              <w:rPr>
                <w:sz w:val="6"/>
                <w:szCs w:val="6"/>
                <w:color w:val="auto"/>
              </w:rPr>
            </w:pPr>
          </w:p>
        </w:tc>
        <w:tc>
          <w:tcPr>
            <w:tcW w:w="7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0"/>
        </w:trPr>
        <w:tc>
          <w:tcPr>
            <w:tcW w:w="1420" w:type="dxa"/>
            <w:vAlign w:val="bottom"/>
            <w:vMerge w:val="restart"/>
          </w:tcPr>
          <w:p>
            <w:pPr>
              <w:spacing w:after="0" w:line="243" w:lineRule="exact"/>
              <w:rPr>
                <w:sz w:val="20"/>
                <w:szCs w:val="20"/>
                <w:color w:val="auto"/>
              </w:rPr>
            </w:pPr>
            <w:r>
              <w:rPr>
                <w:rFonts w:ascii="Arial" w:cs="Arial" w:eastAsia="Arial" w:hAnsi="Arial"/>
                <w:sz w:val="22"/>
                <w:szCs w:val="22"/>
                <w:color w:val="auto"/>
              </w:rPr>
              <w:t>Owned by</w:t>
            </w:r>
          </w:p>
        </w:tc>
        <w:tc>
          <w:tcPr>
            <w:tcW w:w="7440" w:type="dxa"/>
            <w:vAlign w:val="bottom"/>
            <w:tcBorders>
              <w:bottom w:val="single" w:sz="8" w:color="808080"/>
            </w:tcBorders>
          </w:tcPr>
          <w:p>
            <w:pPr>
              <w:spacing w:after="0"/>
              <w:rPr>
                <w:sz w:val="12"/>
                <w:szCs w:val="12"/>
                <w:color w:val="auto"/>
              </w:rPr>
            </w:pPr>
          </w:p>
        </w:tc>
        <w:tc>
          <w:tcPr>
            <w:tcW w:w="0" w:type="dxa"/>
            <w:vAlign w:val="bottom"/>
          </w:tcPr>
          <w:p>
            <w:pPr>
              <w:spacing w:after="0"/>
              <w:rPr>
                <w:sz w:val="1"/>
                <w:szCs w:val="1"/>
                <w:color w:val="auto"/>
              </w:rPr>
            </w:pPr>
          </w:p>
        </w:tc>
      </w:tr>
      <w:tr>
        <w:trPr>
          <w:trHeight w:val="83"/>
        </w:trPr>
        <w:tc>
          <w:tcPr>
            <w:tcW w:w="1420" w:type="dxa"/>
            <w:vAlign w:val="bottom"/>
            <w:vMerge w:val="continue"/>
          </w:tcPr>
          <w:p>
            <w:pPr>
              <w:spacing w:after="0"/>
              <w:rPr>
                <w:sz w:val="7"/>
                <w:szCs w:val="7"/>
                <w:color w:val="auto"/>
              </w:rPr>
            </w:pPr>
          </w:p>
        </w:tc>
        <w:tc>
          <w:tcPr>
            <w:tcW w:w="7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line="243" w:lineRule="exact"/>
              <w:rPr>
                <w:sz w:val="20"/>
                <w:szCs w:val="20"/>
                <w:color w:val="auto"/>
              </w:rPr>
            </w:pPr>
            <w:r>
              <w:rPr>
                <w:rFonts w:ascii="Arial" w:cs="Arial" w:eastAsia="Arial" w:hAnsi="Arial"/>
                <w:sz w:val="22"/>
                <w:szCs w:val="22"/>
                <w:color w:val="auto"/>
              </w:rPr>
              <w:t>Each</w:t>
            </w:r>
          </w:p>
        </w:tc>
        <w:tc>
          <w:tcPr>
            <w:tcW w:w="7440" w:type="dxa"/>
            <w:vAlign w:val="bottom"/>
            <w:vMerge w:val="restart"/>
          </w:tcPr>
          <w:p>
            <w:pPr>
              <w:spacing w:after="0"/>
              <w:rPr>
                <w:sz w:val="20"/>
                <w:szCs w:val="20"/>
                <w:color w:val="auto"/>
              </w:rPr>
            </w:pPr>
            <w:r>
              <w:rPr>
                <w:rFonts w:ascii="Arial" w:cs="Arial" w:eastAsia="Arial" w:hAnsi="Arial"/>
                <w:sz w:val="22"/>
                <w:szCs w:val="22"/>
                <w:color w:val="auto"/>
              </w:rPr>
              <w:t>7. Sole Dispositive Power 2,321,845</w:t>
            </w:r>
          </w:p>
        </w:tc>
        <w:tc>
          <w:tcPr>
            <w:tcW w:w="0" w:type="dxa"/>
            <w:vAlign w:val="bottom"/>
          </w:tcPr>
          <w:p>
            <w:pPr>
              <w:spacing w:after="0"/>
              <w:rPr>
                <w:sz w:val="1"/>
                <w:szCs w:val="1"/>
                <w:color w:val="auto"/>
              </w:rPr>
            </w:pPr>
          </w:p>
        </w:tc>
      </w:tr>
      <w:tr>
        <w:trPr>
          <w:trHeight w:val="139"/>
        </w:trPr>
        <w:tc>
          <w:tcPr>
            <w:tcW w:w="1420" w:type="dxa"/>
            <w:vAlign w:val="bottom"/>
            <w:vMerge w:val="restart"/>
          </w:tcPr>
          <w:p>
            <w:pPr>
              <w:spacing w:after="0" w:line="243" w:lineRule="exact"/>
              <w:rPr>
                <w:sz w:val="20"/>
                <w:szCs w:val="20"/>
                <w:color w:val="auto"/>
              </w:rPr>
            </w:pPr>
            <w:r>
              <w:rPr>
                <w:rFonts w:ascii="Arial" w:cs="Arial" w:eastAsia="Arial" w:hAnsi="Arial"/>
                <w:sz w:val="22"/>
                <w:szCs w:val="22"/>
                <w:color w:val="auto"/>
              </w:rPr>
              <w:t>Reporting</w:t>
            </w:r>
          </w:p>
        </w:tc>
        <w:tc>
          <w:tcPr>
            <w:tcW w:w="7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1420" w:type="dxa"/>
            <w:vAlign w:val="bottom"/>
            <w:vMerge w:val="continue"/>
          </w:tcPr>
          <w:p>
            <w:pPr>
              <w:spacing w:after="0"/>
              <w:rPr>
                <w:sz w:val="9"/>
                <w:szCs w:val="9"/>
                <w:color w:val="auto"/>
              </w:rPr>
            </w:pPr>
          </w:p>
        </w:tc>
        <w:tc>
          <w:tcPr>
            <w:tcW w:w="7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1420" w:type="dxa"/>
            <w:vAlign w:val="bottom"/>
            <w:vMerge w:val="restart"/>
          </w:tcPr>
          <w:p>
            <w:pPr>
              <w:spacing w:after="0"/>
              <w:rPr>
                <w:sz w:val="20"/>
                <w:szCs w:val="20"/>
                <w:color w:val="auto"/>
              </w:rPr>
            </w:pPr>
            <w:r>
              <w:rPr>
                <w:rFonts w:ascii="Arial" w:cs="Arial" w:eastAsia="Arial" w:hAnsi="Arial"/>
                <w:sz w:val="22"/>
                <w:szCs w:val="22"/>
                <w:color w:val="auto"/>
              </w:rPr>
              <w:t>Person With</w:t>
            </w:r>
          </w:p>
        </w:tc>
        <w:tc>
          <w:tcPr>
            <w:tcW w:w="74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1420" w:type="dxa"/>
            <w:vAlign w:val="bottom"/>
            <w:vMerge w:val="continue"/>
          </w:tcPr>
          <w:p>
            <w:pPr>
              <w:spacing w:after="0"/>
              <w:rPr>
                <w:sz w:val="12"/>
                <w:szCs w:val="12"/>
                <w:color w:val="auto"/>
              </w:rPr>
            </w:pPr>
          </w:p>
        </w:tc>
        <w:tc>
          <w:tcPr>
            <w:tcW w:w="7440" w:type="dxa"/>
            <w:vAlign w:val="bottom"/>
            <w:vMerge w:val="restart"/>
          </w:tcPr>
          <w:p>
            <w:pPr>
              <w:spacing w:after="0"/>
              <w:rPr>
                <w:sz w:val="20"/>
                <w:szCs w:val="20"/>
                <w:color w:val="auto"/>
              </w:rPr>
            </w:pPr>
            <w:r>
              <w:rPr>
                <w:rFonts w:ascii="Arial" w:cs="Arial" w:eastAsia="Arial" w:hAnsi="Arial"/>
                <w:sz w:val="22"/>
                <w:szCs w:val="22"/>
                <w:color w:val="auto"/>
              </w:rPr>
              <w:t>8. Shared Dispositive Power 0</w:t>
            </w:r>
          </w:p>
        </w:tc>
        <w:tc>
          <w:tcPr>
            <w:tcW w:w="0" w:type="dxa"/>
            <w:vAlign w:val="bottom"/>
          </w:tcPr>
          <w:p>
            <w:pPr>
              <w:spacing w:after="0"/>
              <w:rPr>
                <w:sz w:val="1"/>
                <w:szCs w:val="1"/>
                <w:color w:val="auto"/>
              </w:rPr>
            </w:pPr>
          </w:p>
        </w:tc>
      </w:tr>
      <w:tr>
        <w:trPr>
          <w:trHeight w:val="324"/>
        </w:trPr>
        <w:tc>
          <w:tcPr>
            <w:tcW w:w="1420" w:type="dxa"/>
            <w:vAlign w:val="bottom"/>
          </w:tcPr>
          <w:p>
            <w:pPr>
              <w:spacing w:after="0"/>
              <w:rPr>
                <w:sz w:val="24"/>
                <w:szCs w:val="24"/>
                <w:color w:val="auto"/>
              </w:rPr>
            </w:pPr>
          </w:p>
        </w:tc>
        <w:tc>
          <w:tcPr>
            <w:tcW w:w="74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5616575</wp:posOffset>
            </wp:positionH>
            <wp:positionV relativeFrom="paragraph">
              <wp:posOffset>-1202055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899795</wp:posOffset>
            </wp:positionH>
            <wp:positionV relativeFrom="paragraph">
              <wp:posOffset>-1202055</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5616575</wp:posOffset>
            </wp:positionH>
            <wp:positionV relativeFrom="paragraph">
              <wp:posOffset>-756285</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899795</wp:posOffset>
            </wp:positionH>
            <wp:positionV relativeFrom="paragraph">
              <wp:posOffset>-756285</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5616575</wp:posOffset>
            </wp:positionH>
            <wp:positionV relativeFrom="paragraph">
              <wp:posOffset>-309880</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899795</wp:posOffset>
            </wp:positionH>
            <wp:positionV relativeFrom="paragraph">
              <wp:posOffset>-309880</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128905</wp:posOffset>
            </wp:positionV>
            <wp:extent cx="562991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29910" cy="21590"/>
                    </a:xfrm>
                    <a:prstGeom prst="rect">
                      <a:avLst/>
                    </a:prstGeom>
                    <a:noFill/>
                  </pic:spPr>
                </pic:pic>
              </a:graphicData>
            </a:graphic>
          </wp:anchor>
        </w:drawing>
      </w:r>
    </w:p>
    <w:p>
      <w:pPr>
        <w:sectPr>
          <w:pgSz w:w="11900" w:h="16838" w:orient="portrait"/>
          <w:cols w:equalWidth="0" w:num="1">
            <w:col w:w="10159"/>
          </w:cols>
          <w:pgMar w:left="300" w:top="159" w:right="1440" w:bottom="0" w:gutter="0" w:footer="0" w:header="0"/>
        </w:sectPr>
      </w:pPr>
    </w:p>
    <w:p>
      <w:pPr>
        <w:spacing w:after="0" w:line="200" w:lineRule="exact"/>
        <w:rPr>
          <w:sz w:val="20"/>
          <w:szCs w:val="20"/>
          <w:color w:val="auto"/>
        </w:rPr>
      </w:pPr>
    </w:p>
    <w:p>
      <w:pPr>
        <w:spacing w:after="0" w:line="228" w:lineRule="exact"/>
        <w:rPr>
          <w:sz w:val="20"/>
          <w:szCs w:val="20"/>
          <w:color w:val="auto"/>
        </w:rPr>
      </w:pPr>
    </w:p>
    <w:p>
      <w:pPr>
        <w:ind w:left="640" w:hanging="435"/>
        <w:spacing w:after="0"/>
        <w:tabs>
          <w:tab w:leader="none" w:pos="640" w:val="left"/>
        </w:tabs>
        <w:numPr>
          <w:ilvl w:val="0"/>
          <w:numId w:val="16"/>
        </w:numPr>
        <w:rPr>
          <w:rFonts w:ascii="Arial" w:cs="Arial" w:eastAsia="Arial" w:hAnsi="Arial"/>
          <w:sz w:val="19"/>
          <w:szCs w:val="19"/>
          <w:color w:val="auto"/>
        </w:rPr>
      </w:pPr>
      <w:r>
        <w:rPr>
          <w:rFonts w:ascii="Arial" w:cs="Arial" w:eastAsia="Arial" w:hAnsi="Arial"/>
          <w:sz w:val="19"/>
          <w:szCs w:val="19"/>
          <w:color w:val="auto"/>
        </w:rPr>
        <w:t>Aggregate Amount Beneficially Owned by Each Reporting Person 2,321,845</w:t>
      </w:r>
    </w:p>
    <w:p>
      <w:pPr>
        <w:sectPr>
          <w:pgSz w:w="11900" w:h="16838" w:orient="portrait"/>
          <w:cols w:equalWidth="0" w:num="1">
            <w:col w:w="10159"/>
          </w:cols>
          <w:pgMar w:left="300" w:top="159" w:right="1440" w:bottom="0" w:gutter="0" w:footer="0" w:header="0"/>
          <w:type w:val="continuous"/>
        </w:sectPr>
      </w:pPr>
    </w:p>
    <w:bookmarkStart w:id="3" w:name="page4"/>
    <w:bookmarkEnd w:id="3"/>
    <w:p>
      <w:pPr>
        <w:ind w:left="640" w:hanging="435"/>
        <w:spacing w:after="0"/>
        <w:tabs>
          <w:tab w:leader="none" w:pos="640" w:val="left"/>
        </w:tabs>
        <w:numPr>
          <w:ilvl w:val="0"/>
          <w:numId w:val="17"/>
        </w:numPr>
        <w:rPr>
          <w:rFonts w:ascii="Arial" w:cs="Arial" w:eastAsia="Arial" w:hAnsi="Arial"/>
          <w:sz w:val="21"/>
          <w:szCs w:val="21"/>
          <w:color w:val="auto"/>
        </w:rPr>
      </w:pPr>
      <w:r>
        <w:rPr>
          <w:rFonts w:ascii="Arial" w:cs="Arial" w:eastAsia="Arial" w:hAnsi="Arial"/>
          <w:sz w:val="21"/>
          <w:szCs w:val="21"/>
          <w:color w:val="auto"/>
        </w:rPr>
        <w:drawing>
          <wp:anchor simplePos="0" relativeHeight="251657728" behindDoc="1" locked="0" layoutInCell="0" allowOverlap="1">
            <wp:simplePos x="0" y="0"/>
            <wp:positionH relativeFrom="page">
              <wp:posOffset>189865</wp:posOffset>
            </wp:positionH>
            <wp:positionV relativeFrom="page">
              <wp:posOffset>88900</wp:posOffset>
            </wp:positionV>
            <wp:extent cx="5629910" cy="190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29910" cy="19050"/>
                    </a:xfrm>
                    <a:prstGeom prst="rect">
                      <a:avLst/>
                    </a:prstGeom>
                    <a:noFill/>
                  </pic:spPr>
                </pic:pic>
              </a:graphicData>
            </a:graphic>
          </wp:anchor>
        </w:drawing>
        <w:t>Check if the Aggregate Amount in Row (9) Excludes Certain Shares (See Instructions)</w:t>
      </w:r>
    </w:p>
    <w:p>
      <w:pPr>
        <w:spacing w:after="0" w:line="200" w:lineRule="exact"/>
        <w:rPr>
          <w:rFonts w:ascii="Arial" w:cs="Arial" w:eastAsia="Arial" w:hAnsi="Arial"/>
          <w:sz w:val="21"/>
          <w:szCs w:val="21"/>
          <w:color w:val="auto"/>
        </w:rPr>
      </w:pPr>
    </w:p>
    <w:p>
      <w:pPr>
        <w:spacing w:after="0" w:line="260" w:lineRule="exact"/>
        <w:rPr>
          <w:rFonts w:ascii="Arial" w:cs="Arial" w:eastAsia="Arial" w:hAnsi="Arial"/>
          <w:sz w:val="21"/>
          <w:szCs w:val="21"/>
          <w:color w:val="auto"/>
        </w:rPr>
      </w:pPr>
    </w:p>
    <w:p>
      <w:pPr>
        <w:ind w:left="640" w:hanging="435"/>
        <w:spacing w:after="0"/>
        <w:tabs>
          <w:tab w:leader="none" w:pos="640" w:val="left"/>
        </w:tabs>
        <w:numPr>
          <w:ilvl w:val="0"/>
          <w:numId w:val="17"/>
        </w:numPr>
        <w:rPr>
          <w:rFonts w:ascii="Arial" w:cs="Arial" w:eastAsia="Arial" w:hAnsi="Arial"/>
          <w:sz w:val="22"/>
          <w:szCs w:val="22"/>
          <w:color w:val="auto"/>
        </w:rPr>
      </w:pPr>
      <w:r>
        <w:rPr>
          <w:rFonts w:ascii="Arial" w:cs="Arial" w:eastAsia="Arial" w:hAnsi="Arial"/>
          <w:sz w:val="22"/>
          <w:szCs w:val="22"/>
          <w:color w:val="auto"/>
        </w:rPr>
        <w:t>Percent of Class Represented by Amount in Row (9) 5.24 %</w:t>
      </w:r>
    </w:p>
    <w:p>
      <w:pPr>
        <w:spacing w:after="0" w:line="200" w:lineRule="exact"/>
        <w:rPr>
          <w:rFonts w:ascii="Arial" w:cs="Arial" w:eastAsia="Arial" w:hAnsi="Arial"/>
          <w:sz w:val="22"/>
          <w:szCs w:val="22"/>
          <w:color w:val="auto"/>
        </w:rPr>
      </w:pPr>
    </w:p>
    <w:p>
      <w:pPr>
        <w:spacing w:after="0" w:line="249" w:lineRule="exact"/>
        <w:rPr>
          <w:rFonts w:ascii="Arial" w:cs="Arial" w:eastAsia="Arial" w:hAnsi="Arial"/>
          <w:sz w:val="22"/>
          <w:szCs w:val="22"/>
          <w:color w:val="auto"/>
        </w:rPr>
      </w:pPr>
    </w:p>
    <w:p>
      <w:pPr>
        <w:ind w:left="640" w:hanging="435"/>
        <w:spacing w:after="0"/>
        <w:tabs>
          <w:tab w:leader="none" w:pos="640" w:val="left"/>
        </w:tabs>
        <w:numPr>
          <w:ilvl w:val="0"/>
          <w:numId w:val="17"/>
        </w:numPr>
        <w:rPr>
          <w:rFonts w:ascii="Arial" w:cs="Arial" w:eastAsia="Arial" w:hAnsi="Arial"/>
          <w:sz w:val="22"/>
          <w:szCs w:val="22"/>
          <w:color w:val="auto"/>
        </w:rPr>
      </w:pPr>
      <w:r>
        <w:rPr>
          <w:rFonts w:ascii="Arial" w:cs="Arial" w:eastAsia="Arial" w:hAnsi="Arial"/>
          <w:sz w:val="22"/>
          <w:szCs w:val="22"/>
          <w:color w:val="auto"/>
        </w:rPr>
        <w:t>Type of Reporting Person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-748665</wp:posOffset>
            </wp:positionV>
            <wp:extent cx="562991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2991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-302895</wp:posOffset>
            </wp:positionV>
            <wp:extent cx="562991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2991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142240</wp:posOffset>
            </wp:positionV>
            <wp:extent cx="562991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29910" cy="215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562991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2991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w:t>
      </w:r>
    </w:p>
    <w:p>
      <w:pPr>
        <w:spacing w:after="0" w:line="104" w:lineRule="exact"/>
        <w:rPr>
          <w:sz w:val="20"/>
          <w:szCs w:val="20"/>
          <w:color w:val="auto"/>
        </w:rPr>
      </w:pPr>
    </w:p>
    <w:p>
      <w:pPr>
        <w:ind w:left="700" w:hanging="374"/>
        <w:spacing w:after="0"/>
        <w:tabs>
          <w:tab w:leader="none" w:pos="700" w:val="left"/>
        </w:tabs>
        <w:numPr>
          <w:ilvl w:val="0"/>
          <w:numId w:val="18"/>
        </w:numPr>
        <w:rPr>
          <w:rFonts w:ascii="Arial" w:cs="Arial" w:eastAsia="Arial" w:hAnsi="Arial"/>
          <w:sz w:val="22"/>
          <w:szCs w:val="22"/>
          <w:color w:val="auto"/>
        </w:rPr>
      </w:pPr>
      <w:r>
        <w:rPr>
          <w:rFonts w:ascii="Arial" w:cs="Arial" w:eastAsia="Arial" w:hAnsi="Arial"/>
          <w:sz w:val="22"/>
          <w:szCs w:val="22"/>
          <w:color w:val="auto"/>
        </w:rPr>
        <w:t>Name of Issuer</w:t>
      </w:r>
    </w:p>
    <w:p>
      <w:pPr>
        <w:spacing w:after="0" w:line="8" w:lineRule="exact"/>
        <w:rPr>
          <w:rFonts w:ascii="Arial" w:cs="Arial" w:eastAsia="Arial" w:hAnsi="Arial"/>
          <w:sz w:val="22"/>
          <w:szCs w:val="22"/>
          <w:color w:val="auto"/>
        </w:rPr>
      </w:pPr>
    </w:p>
    <w:p>
      <w:pPr>
        <w:ind w:left="700"/>
        <w:spacing w:after="0"/>
        <w:rPr>
          <w:rFonts w:ascii="Arial" w:cs="Arial" w:eastAsia="Arial" w:hAnsi="Arial"/>
          <w:sz w:val="22"/>
          <w:szCs w:val="22"/>
          <w:color w:val="auto"/>
        </w:rPr>
      </w:pPr>
      <w:r>
        <w:rPr>
          <w:rFonts w:ascii="Arial" w:cs="Arial" w:eastAsia="Arial" w:hAnsi="Arial"/>
          <w:sz w:val="22"/>
          <w:szCs w:val="22"/>
          <w:color w:val="auto"/>
        </w:rPr>
        <w:t>GRAND CANYON ED INC</w:t>
      </w:r>
    </w:p>
    <w:p>
      <w:pPr>
        <w:spacing w:after="0" w:line="80" w:lineRule="exact"/>
        <w:rPr>
          <w:rFonts w:ascii="Arial" w:cs="Arial" w:eastAsia="Arial" w:hAnsi="Arial"/>
          <w:sz w:val="22"/>
          <w:szCs w:val="22"/>
          <w:color w:val="auto"/>
        </w:rPr>
      </w:pPr>
    </w:p>
    <w:p>
      <w:pPr>
        <w:ind w:left="700" w:hanging="374"/>
        <w:spacing w:after="0"/>
        <w:tabs>
          <w:tab w:leader="none" w:pos="700" w:val="left"/>
        </w:tabs>
        <w:numPr>
          <w:ilvl w:val="0"/>
          <w:numId w:val="18"/>
        </w:numPr>
        <w:rPr>
          <w:rFonts w:ascii="Arial" w:cs="Arial" w:eastAsia="Arial" w:hAnsi="Arial"/>
          <w:sz w:val="22"/>
          <w:szCs w:val="22"/>
          <w:color w:val="auto"/>
        </w:rPr>
      </w:pPr>
      <w:r>
        <w:rPr>
          <w:rFonts w:ascii="Arial" w:cs="Arial" w:eastAsia="Arial" w:hAnsi="Arial"/>
          <w:sz w:val="22"/>
          <w:szCs w:val="22"/>
          <w:color w:val="auto"/>
        </w:rPr>
        <w:t>Address of Issuer's Principal Executive Offices</w:t>
      </w:r>
    </w:p>
    <w:p>
      <w:pPr>
        <w:spacing w:after="0" w:line="98" w:lineRule="exact"/>
        <w:rPr>
          <w:sz w:val="20"/>
          <w:szCs w:val="20"/>
          <w:color w:val="auto"/>
        </w:rPr>
      </w:pPr>
    </w:p>
    <w:p>
      <w:pPr>
        <w:ind w:left="700"/>
        <w:spacing w:after="0"/>
        <w:rPr>
          <w:sz w:val="20"/>
          <w:szCs w:val="20"/>
          <w:color w:val="auto"/>
        </w:rPr>
      </w:pPr>
      <w:r>
        <w:rPr>
          <w:rFonts w:ascii="Arial" w:cs="Arial" w:eastAsia="Arial" w:hAnsi="Arial"/>
          <w:sz w:val="22"/>
          <w:szCs w:val="22"/>
          <w:color w:val="auto"/>
        </w:rPr>
        <w:t>3300 W. Camelback Road, Phoenix, AZ 85017</w:t>
      </w:r>
    </w:p>
    <w:p>
      <w:pPr>
        <w:spacing w:after="0" w:line="9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104" w:lineRule="exact"/>
        <w:rPr>
          <w:sz w:val="20"/>
          <w:szCs w:val="20"/>
          <w:color w:val="auto"/>
        </w:rPr>
      </w:pPr>
    </w:p>
    <w:p>
      <w:pPr>
        <w:ind w:left="700" w:hanging="374"/>
        <w:spacing w:after="0"/>
        <w:tabs>
          <w:tab w:leader="none" w:pos="700" w:val="left"/>
        </w:tabs>
        <w:numPr>
          <w:ilvl w:val="0"/>
          <w:numId w:val="19"/>
        </w:numPr>
        <w:rPr>
          <w:rFonts w:ascii="Arial" w:cs="Arial" w:eastAsia="Arial" w:hAnsi="Arial"/>
          <w:sz w:val="22"/>
          <w:szCs w:val="22"/>
          <w:color w:val="auto"/>
        </w:rPr>
      </w:pPr>
      <w:r>
        <w:rPr>
          <w:rFonts w:ascii="Arial" w:cs="Arial" w:eastAsia="Arial" w:hAnsi="Arial"/>
          <w:sz w:val="22"/>
          <w:szCs w:val="22"/>
          <w:color w:val="auto"/>
        </w:rPr>
        <w:t>Name of Person Filing</w:t>
      </w:r>
    </w:p>
    <w:p>
      <w:pPr>
        <w:spacing w:after="0" w:line="8" w:lineRule="exact"/>
        <w:rPr>
          <w:rFonts w:ascii="Arial" w:cs="Arial" w:eastAsia="Arial" w:hAnsi="Arial"/>
          <w:sz w:val="22"/>
          <w:szCs w:val="22"/>
          <w:color w:val="auto"/>
        </w:rPr>
      </w:pPr>
    </w:p>
    <w:p>
      <w:pPr>
        <w:ind w:left="700"/>
        <w:spacing w:after="0"/>
        <w:rPr>
          <w:rFonts w:ascii="Arial" w:cs="Arial" w:eastAsia="Arial" w:hAnsi="Arial"/>
          <w:sz w:val="22"/>
          <w:szCs w:val="22"/>
          <w:color w:val="auto"/>
        </w:rPr>
      </w:pPr>
      <w:r>
        <w:rPr>
          <w:rFonts w:ascii="Arial" w:cs="Arial" w:eastAsia="Arial" w:hAnsi="Arial"/>
          <w:sz w:val="22"/>
          <w:szCs w:val="22"/>
          <w:color w:val="auto"/>
        </w:rPr>
        <w:t>Wells Capital Management Incorporated</w:t>
      </w:r>
    </w:p>
    <w:p>
      <w:pPr>
        <w:spacing w:after="0" w:line="80" w:lineRule="exact"/>
        <w:rPr>
          <w:rFonts w:ascii="Arial" w:cs="Arial" w:eastAsia="Arial" w:hAnsi="Arial"/>
          <w:sz w:val="22"/>
          <w:szCs w:val="22"/>
          <w:color w:val="auto"/>
        </w:rPr>
      </w:pPr>
    </w:p>
    <w:p>
      <w:pPr>
        <w:ind w:left="700" w:right="4339" w:hanging="374"/>
        <w:spacing w:after="0" w:line="326" w:lineRule="auto"/>
        <w:tabs>
          <w:tab w:leader="none" w:pos="700" w:val="left"/>
        </w:tabs>
        <w:numPr>
          <w:ilvl w:val="0"/>
          <w:numId w:val="19"/>
        </w:numPr>
        <w:rPr>
          <w:rFonts w:ascii="Arial" w:cs="Arial" w:eastAsia="Arial" w:hAnsi="Arial"/>
          <w:sz w:val="19"/>
          <w:szCs w:val="19"/>
          <w:color w:val="auto"/>
        </w:rPr>
      </w:pPr>
      <w:r>
        <w:rPr>
          <w:rFonts w:ascii="Arial" w:cs="Arial" w:eastAsia="Arial" w:hAnsi="Arial"/>
          <w:sz w:val="19"/>
          <w:szCs w:val="19"/>
          <w:color w:val="auto"/>
        </w:rPr>
        <w:t>Address of Principal Business Office or, if none, Residence 525 Market St, 10th Floor, San Francisco, CA 94105</w:t>
      </w:r>
    </w:p>
    <w:p>
      <w:pPr>
        <w:ind w:left="700" w:right="8479" w:hanging="374"/>
        <w:spacing w:after="0" w:line="326" w:lineRule="auto"/>
        <w:tabs>
          <w:tab w:leader="none" w:pos="700" w:val="left"/>
        </w:tabs>
        <w:numPr>
          <w:ilvl w:val="0"/>
          <w:numId w:val="19"/>
        </w:numPr>
        <w:rPr>
          <w:rFonts w:ascii="Arial" w:cs="Arial" w:eastAsia="Arial" w:hAnsi="Arial"/>
          <w:sz w:val="19"/>
          <w:szCs w:val="19"/>
          <w:color w:val="auto"/>
        </w:rPr>
      </w:pPr>
      <w:r>
        <w:rPr>
          <w:rFonts w:ascii="Arial" w:cs="Arial" w:eastAsia="Arial" w:hAnsi="Arial"/>
          <w:sz w:val="19"/>
          <w:szCs w:val="19"/>
          <w:color w:val="auto"/>
        </w:rPr>
        <w:t>Citizenship California</w:t>
      </w:r>
    </w:p>
    <w:p>
      <w:pPr>
        <w:ind w:left="700" w:hanging="374"/>
        <w:spacing w:after="0"/>
        <w:tabs>
          <w:tab w:leader="none" w:pos="700" w:val="left"/>
        </w:tabs>
        <w:numPr>
          <w:ilvl w:val="0"/>
          <w:numId w:val="19"/>
        </w:numPr>
        <w:rPr>
          <w:rFonts w:ascii="Arial" w:cs="Arial" w:eastAsia="Arial" w:hAnsi="Arial"/>
          <w:sz w:val="22"/>
          <w:szCs w:val="22"/>
          <w:color w:val="auto"/>
        </w:rPr>
      </w:pPr>
      <w:r>
        <w:rPr>
          <w:rFonts w:ascii="Arial" w:cs="Arial" w:eastAsia="Arial" w:hAnsi="Arial"/>
          <w:sz w:val="22"/>
          <w:szCs w:val="22"/>
          <w:color w:val="auto"/>
        </w:rPr>
        <w:t>Title of Class of Securities</w:t>
      </w:r>
    </w:p>
    <w:p>
      <w:pPr>
        <w:spacing w:after="0" w:line="8" w:lineRule="exact"/>
        <w:rPr>
          <w:rFonts w:ascii="Arial" w:cs="Arial" w:eastAsia="Arial" w:hAnsi="Arial"/>
          <w:sz w:val="22"/>
          <w:szCs w:val="22"/>
          <w:color w:val="auto"/>
        </w:rPr>
      </w:pPr>
    </w:p>
    <w:p>
      <w:pPr>
        <w:ind w:left="700"/>
        <w:spacing w:after="0"/>
        <w:rPr>
          <w:rFonts w:ascii="Arial" w:cs="Arial" w:eastAsia="Arial" w:hAnsi="Arial"/>
          <w:sz w:val="22"/>
          <w:szCs w:val="22"/>
          <w:color w:val="auto"/>
        </w:rPr>
      </w:pPr>
      <w:r>
        <w:rPr>
          <w:rFonts w:ascii="Arial" w:cs="Arial" w:eastAsia="Arial" w:hAnsi="Arial"/>
          <w:sz w:val="22"/>
          <w:szCs w:val="22"/>
          <w:color w:val="auto"/>
        </w:rPr>
        <w:t>COM</w:t>
      </w:r>
    </w:p>
    <w:p>
      <w:pPr>
        <w:spacing w:after="0" w:line="80" w:lineRule="exact"/>
        <w:rPr>
          <w:rFonts w:ascii="Arial" w:cs="Arial" w:eastAsia="Arial" w:hAnsi="Arial"/>
          <w:sz w:val="22"/>
          <w:szCs w:val="22"/>
          <w:color w:val="auto"/>
        </w:rPr>
      </w:pPr>
    </w:p>
    <w:p>
      <w:pPr>
        <w:ind w:left="700" w:right="8099" w:hanging="374"/>
        <w:spacing w:after="0" w:line="328" w:lineRule="auto"/>
        <w:tabs>
          <w:tab w:leader="none" w:pos="700" w:val="left"/>
        </w:tabs>
        <w:numPr>
          <w:ilvl w:val="0"/>
          <w:numId w:val="19"/>
        </w:numPr>
        <w:rPr>
          <w:rFonts w:ascii="Arial" w:cs="Arial" w:eastAsia="Arial" w:hAnsi="Arial"/>
          <w:sz w:val="19"/>
          <w:szCs w:val="19"/>
          <w:color w:val="auto"/>
        </w:rPr>
      </w:pPr>
      <w:r>
        <w:rPr>
          <w:rFonts w:ascii="Arial" w:cs="Arial" w:eastAsia="Arial" w:hAnsi="Arial"/>
          <w:sz w:val="19"/>
          <w:szCs w:val="19"/>
          <w:color w:val="auto"/>
        </w:rPr>
        <w:t>CUSIP Number 38526M106</w:t>
      </w:r>
    </w:p>
    <w:p>
      <w:pPr>
        <w:spacing w:after="0" w:line="342" w:lineRule="exact"/>
        <w:rPr>
          <w:sz w:val="20"/>
          <w:szCs w:val="20"/>
          <w:color w:val="auto"/>
        </w:rPr>
      </w:pPr>
    </w:p>
    <w:p>
      <w:pPr>
        <w:ind w:left="780" w:right="1399" w:hanging="782"/>
        <w:spacing w:after="0" w:line="256" w:lineRule="auto"/>
        <w:rPr>
          <w:sz w:val="20"/>
          <w:szCs w:val="20"/>
          <w:color w:val="auto"/>
        </w:rPr>
      </w:pPr>
      <w:r>
        <w:rPr>
          <w:rFonts w:ascii="Arial" w:cs="Arial" w:eastAsia="Arial" w:hAnsi="Arial"/>
          <w:sz w:val="22"/>
          <w:szCs w:val="22"/>
          <w:b w:val="1"/>
          <w:bCs w:val="1"/>
          <w:color w:val="auto"/>
        </w:rPr>
        <w:t>Item 3. If this statement is filed pursuant to 240.13d-1(b) or 240.13d-2(b) or (c), check whether the person filing is a:</w:t>
      </w:r>
    </w:p>
    <w:p>
      <w:pPr>
        <w:spacing w:after="0" w:line="61" w:lineRule="exact"/>
        <w:rPr>
          <w:sz w:val="20"/>
          <w:szCs w:val="20"/>
          <w:color w:val="auto"/>
        </w:rPr>
      </w:pPr>
    </w:p>
    <w:p>
      <w:pPr>
        <w:ind w:left="780" w:hanging="464"/>
        <w:spacing w:after="0"/>
        <w:tabs>
          <w:tab w:leader="none" w:pos="780" w:val="left"/>
        </w:tabs>
        <w:numPr>
          <w:ilvl w:val="0"/>
          <w:numId w:val="20"/>
        </w:numPr>
        <w:rPr>
          <w:rFonts w:ascii="Arial" w:cs="Arial" w:eastAsia="Arial" w:hAnsi="Arial"/>
          <w:sz w:val="22"/>
          <w:szCs w:val="22"/>
          <w:color w:val="auto"/>
        </w:rPr>
      </w:pPr>
      <w:r>
        <w:rPr>
          <w:rFonts w:ascii="Arial" w:cs="Arial" w:eastAsia="Arial" w:hAnsi="Arial"/>
          <w:sz w:val="22"/>
          <w:szCs w:val="22"/>
          <w:color w:val="auto"/>
        </w:rPr>
        <w:t>[ ]  Broker or dealer registered under section 15 of the Act (15 U.S.C. 78c)</w:t>
      </w:r>
    </w:p>
    <w:p>
      <w:pPr>
        <w:spacing w:after="0" w:line="260" w:lineRule="exact"/>
        <w:rPr>
          <w:rFonts w:ascii="Arial" w:cs="Arial" w:eastAsia="Arial" w:hAnsi="Arial"/>
          <w:sz w:val="22"/>
          <w:szCs w:val="22"/>
          <w:color w:val="auto"/>
        </w:rPr>
      </w:pPr>
    </w:p>
    <w:p>
      <w:pPr>
        <w:ind w:left="780" w:hanging="476"/>
        <w:spacing w:after="0"/>
        <w:tabs>
          <w:tab w:leader="none" w:pos="780" w:val="left"/>
        </w:tabs>
        <w:numPr>
          <w:ilvl w:val="0"/>
          <w:numId w:val="20"/>
        </w:numPr>
        <w:rPr>
          <w:rFonts w:ascii="Arial" w:cs="Arial" w:eastAsia="Arial" w:hAnsi="Arial"/>
          <w:sz w:val="22"/>
          <w:szCs w:val="22"/>
          <w:color w:val="auto"/>
        </w:rPr>
      </w:pPr>
      <w:r>
        <w:rPr>
          <w:rFonts w:ascii="Arial" w:cs="Arial" w:eastAsia="Arial" w:hAnsi="Arial"/>
          <w:sz w:val="22"/>
          <w:szCs w:val="22"/>
          <w:color w:val="auto"/>
        </w:rPr>
        <w:t>[ ]  Bank as defined in section 3(a)(6) of the Act (15 U.S.C. 78c).</w:t>
      </w:r>
    </w:p>
    <w:p>
      <w:pPr>
        <w:spacing w:after="0" w:line="260" w:lineRule="exact"/>
        <w:rPr>
          <w:rFonts w:ascii="Arial" w:cs="Arial" w:eastAsia="Arial" w:hAnsi="Arial"/>
          <w:sz w:val="22"/>
          <w:szCs w:val="22"/>
          <w:color w:val="auto"/>
        </w:rPr>
      </w:pPr>
    </w:p>
    <w:p>
      <w:pPr>
        <w:ind w:left="780" w:hanging="464"/>
        <w:spacing w:after="0"/>
        <w:tabs>
          <w:tab w:leader="none" w:pos="780" w:val="left"/>
        </w:tabs>
        <w:numPr>
          <w:ilvl w:val="0"/>
          <w:numId w:val="20"/>
        </w:numPr>
        <w:rPr>
          <w:rFonts w:ascii="Arial" w:cs="Arial" w:eastAsia="Arial" w:hAnsi="Arial"/>
          <w:sz w:val="22"/>
          <w:szCs w:val="22"/>
          <w:color w:val="auto"/>
        </w:rPr>
      </w:pPr>
      <w:r>
        <w:rPr>
          <w:rFonts w:ascii="Arial" w:cs="Arial" w:eastAsia="Arial" w:hAnsi="Arial"/>
          <w:sz w:val="22"/>
          <w:szCs w:val="22"/>
          <w:color w:val="auto"/>
        </w:rPr>
        <w:t>[ ]  Insurance company as defined in section 3(a)(19) of the Act (15 U.S.C. 78c).</w:t>
      </w:r>
    </w:p>
    <w:p>
      <w:pPr>
        <w:spacing w:after="0" w:line="260" w:lineRule="exact"/>
        <w:rPr>
          <w:rFonts w:ascii="Arial" w:cs="Arial" w:eastAsia="Arial" w:hAnsi="Arial"/>
          <w:sz w:val="22"/>
          <w:szCs w:val="22"/>
          <w:color w:val="auto"/>
        </w:rPr>
      </w:pPr>
    </w:p>
    <w:p>
      <w:pPr>
        <w:ind w:left="1120" w:right="1399" w:hanging="816"/>
        <w:spacing w:after="0" w:line="251" w:lineRule="auto"/>
        <w:tabs>
          <w:tab w:leader="none" w:pos="782" w:val="left"/>
        </w:tabs>
        <w:numPr>
          <w:ilvl w:val="0"/>
          <w:numId w:val="20"/>
        </w:numPr>
        <w:rPr>
          <w:rFonts w:ascii="Arial" w:cs="Arial" w:eastAsia="Arial" w:hAnsi="Arial"/>
          <w:sz w:val="22"/>
          <w:szCs w:val="22"/>
          <w:color w:val="auto"/>
        </w:rPr>
      </w:pPr>
      <w:r>
        <w:rPr>
          <w:rFonts w:ascii="Arial" w:cs="Arial" w:eastAsia="Arial" w:hAnsi="Arial"/>
          <w:sz w:val="22"/>
          <w:szCs w:val="22"/>
          <w:color w:val="auto"/>
        </w:rPr>
        <w:t>[ ] Investment company registered under section 8 of the Investment Company Act of 1940 (15 U.S.C 80a-8).</w:t>
      </w:r>
    </w:p>
    <w:p>
      <w:pPr>
        <w:spacing w:after="0" w:line="65" w:lineRule="exact"/>
        <w:rPr>
          <w:rFonts w:ascii="Arial" w:cs="Arial" w:eastAsia="Arial" w:hAnsi="Arial"/>
          <w:sz w:val="22"/>
          <w:szCs w:val="22"/>
          <w:color w:val="auto"/>
        </w:rPr>
      </w:pPr>
    </w:p>
    <w:p>
      <w:pPr>
        <w:ind w:left="780" w:hanging="464"/>
        <w:spacing w:after="0"/>
        <w:tabs>
          <w:tab w:leader="none" w:pos="780" w:val="left"/>
        </w:tabs>
        <w:numPr>
          <w:ilvl w:val="0"/>
          <w:numId w:val="20"/>
        </w:numPr>
        <w:rPr>
          <w:rFonts w:ascii="Arial" w:cs="Arial" w:eastAsia="Arial" w:hAnsi="Arial"/>
          <w:sz w:val="22"/>
          <w:szCs w:val="22"/>
          <w:color w:val="auto"/>
        </w:rPr>
      </w:pPr>
      <w:r>
        <w:rPr>
          <w:rFonts w:ascii="Arial" w:cs="Arial" w:eastAsia="Arial" w:hAnsi="Arial"/>
          <w:sz w:val="22"/>
          <w:szCs w:val="22"/>
          <w:color w:val="auto"/>
        </w:rPr>
        <w:t>[X An investment adviser in accordance with 240.13d-1(b)(1)(ii)(E);</w:t>
      </w:r>
    </w:p>
    <w:p>
      <w:pPr>
        <w:spacing w:after="0" w:line="8" w:lineRule="exact"/>
        <w:rPr>
          <w:rFonts w:ascii="Arial" w:cs="Arial" w:eastAsia="Arial" w:hAnsi="Arial"/>
          <w:sz w:val="22"/>
          <w:szCs w:val="22"/>
          <w:color w:val="auto"/>
        </w:rPr>
      </w:pPr>
    </w:p>
    <w:p>
      <w:pPr>
        <w:ind w:left="780"/>
        <w:spacing w:after="0"/>
        <w:rPr>
          <w:rFonts w:ascii="Arial" w:cs="Arial" w:eastAsia="Arial" w:hAnsi="Arial"/>
          <w:sz w:val="22"/>
          <w:szCs w:val="22"/>
          <w:color w:val="auto"/>
        </w:rPr>
      </w:pPr>
      <w:r>
        <w:rPr>
          <w:rFonts w:ascii="Arial" w:cs="Arial" w:eastAsia="Arial" w:hAnsi="Arial"/>
          <w:sz w:val="22"/>
          <w:szCs w:val="22"/>
          <w:color w:val="auto"/>
        </w:rPr>
        <w:t>]</w:t>
      </w:r>
    </w:p>
    <w:p>
      <w:pPr>
        <w:spacing w:after="0" w:line="80" w:lineRule="exact"/>
        <w:rPr>
          <w:rFonts w:ascii="Arial" w:cs="Arial" w:eastAsia="Arial" w:hAnsi="Arial"/>
          <w:sz w:val="22"/>
          <w:szCs w:val="22"/>
          <w:color w:val="auto"/>
        </w:rPr>
      </w:pPr>
    </w:p>
    <w:p>
      <w:pPr>
        <w:ind w:left="780" w:hanging="440"/>
        <w:spacing w:after="0"/>
        <w:tabs>
          <w:tab w:leader="none" w:pos="780" w:val="left"/>
        </w:tabs>
        <w:numPr>
          <w:ilvl w:val="0"/>
          <w:numId w:val="20"/>
        </w:numPr>
        <w:rPr>
          <w:rFonts w:ascii="Arial" w:cs="Arial" w:eastAsia="Arial" w:hAnsi="Arial"/>
          <w:sz w:val="19"/>
          <w:szCs w:val="19"/>
          <w:color w:val="auto"/>
        </w:rPr>
      </w:pPr>
      <w:r>
        <w:rPr>
          <w:rFonts w:ascii="Arial" w:cs="Arial" w:eastAsia="Arial" w:hAnsi="Arial"/>
          <w:sz w:val="19"/>
          <w:szCs w:val="19"/>
          <w:color w:val="auto"/>
        </w:rPr>
        <w:t>[ ]  An employee benefit plan or endowment fund in accordance with 240.13d-1(b)(1)(ii)(F);</w:t>
      </w:r>
    </w:p>
    <w:p>
      <w:pPr>
        <w:spacing w:after="0" w:line="294" w:lineRule="exact"/>
        <w:rPr>
          <w:rFonts w:ascii="Arial" w:cs="Arial" w:eastAsia="Arial" w:hAnsi="Arial"/>
          <w:sz w:val="19"/>
          <w:szCs w:val="19"/>
          <w:color w:val="auto"/>
        </w:rPr>
      </w:pPr>
    </w:p>
    <w:p>
      <w:pPr>
        <w:ind w:left="780" w:hanging="476"/>
        <w:spacing w:after="0"/>
        <w:tabs>
          <w:tab w:leader="none" w:pos="780" w:val="left"/>
        </w:tabs>
        <w:numPr>
          <w:ilvl w:val="0"/>
          <w:numId w:val="20"/>
        </w:numPr>
        <w:rPr>
          <w:rFonts w:ascii="Arial" w:cs="Arial" w:eastAsia="Arial" w:hAnsi="Arial"/>
          <w:sz w:val="19"/>
          <w:szCs w:val="19"/>
          <w:color w:val="auto"/>
        </w:rPr>
      </w:pPr>
      <w:r>
        <w:rPr>
          <w:rFonts w:ascii="Arial" w:cs="Arial" w:eastAsia="Arial" w:hAnsi="Arial"/>
          <w:sz w:val="19"/>
          <w:szCs w:val="19"/>
          <w:color w:val="auto"/>
        </w:rPr>
        <w:t>[ ]  A parent holding company or control person in accordance with 240.13d-1(b)(1)(ii)(G);</w:t>
      </w:r>
    </w:p>
    <w:p>
      <w:pPr>
        <w:spacing w:after="0" w:line="294" w:lineRule="exact"/>
        <w:rPr>
          <w:rFonts w:ascii="Arial" w:cs="Arial" w:eastAsia="Arial" w:hAnsi="Arial"/>
          <w:sz w:val="19"/>
          <w:szCs w:val="19"/>
          <w:color w:val="auto"/>
        </w:rPr>
      </w:pPr>
    </w:p>
    <w:p>
      <w:pPr>
        <w:ind w:left="1120" w:right="1559" w:hanging="816"/>
        <w:spacing w:after="0" w:line="251" w:lineRule="auto"/>
        <w:tabs>
          <w:tab w:leader="none" w:pos="782" w:val="left"/>
        </w:tabs>
        <w:numPr>
          <w:ilvl w:val="0"/>
          <w:numId w:val="20"/>
        </w:numPr>
        <w:rPr>
          <w:rFonts w:ascii="Arial" w:cs="Arial" w:eastAsia="Arial" w:hAnsi="Arial"/>
          <w:sz w:val="22"/>
          <w:szCs w:val="22"/>
          <w:color w:val="auto"/>
        </w:rPr>
      </w:pPr>
      <w:r>
        <w:rPr>
          <w:rFonts w:ascii="Arial" w:cs="Arial" w:eastAsia="Arial" w:hAnsi="Arial"/>
          <w:sz w:val="22"/>
          <w:szCs w:val="22"/>
          <w:color w:val="auto"/>
        </w:rPr>
        <w:t>[ ] A savings associations as defined in Section 3(b) of the Federal Deposit Insurance Act (12 U.S.C. 1813);</w:t>
      </w:r>
    </w:p>
    <w:p>
      <w:pPr>
        <w:spacing w:after="0" w:line="65" w:lineRule="exact"/>
        <w:rPr>
          <w:rFonts w:ascii="Arial" w:cs="Arial" w:eastAsia="Arial" w:hAnsi="Arial"/>
          <w:sz w:val="22"/>
          <w:szCs w:val="22"/>
          <w:color w:val="auto"/>
        </w:rPr>
      </w:pPr>
    </w:p>
    <w:p>
      <w:pPr>
        <w:ind w:left="1120" w:right="1819" w:hanging="768"/>
        <w:spacing w:after="0" w:line="239" w:lineRule="auto"/>
        <w:tabs>
          <w:tab w:leader="none" w:pos="782" w:val="left"/>
        </w:tabs>
        <w:numPr>
          <w:ilvl w:val="0"/>
          <w:numId w:val="20"/>
        </w:numPr>
        <w:rPr>
          <w:rFonts w:ascii="Arial" w:cs="Arial" w:eastAsia="Arial" w:hAnsi="Arial"/>
          <w:sz w:val="22"/>
          <w:szCs w:val="22"/>
          <w:color w:val="auto"/>
        </w:rPr>
      </w:pPr>
      <w:r>
        <w:rPr>
          <w:rFonts w:ascii="Arial" w:cs="Arial" w:eastAsia="Arial" w:hAnsi="Arial"/>
          <w:sz w:val="22"/>
          <w:szCs w:val="22"/>
          <w:color w:val="auto"/>
        </w:rPr>
        <w:t>[ ] A church plan that is excluded from the definition of an investment company under section</w:t>
      </w:r>
    </w:p>
    <w:p>
      <w:pPr>
        <w:ind w:left="1120"/>
        <w:spacing w:after="0"/>
        <w:rPr>
          <w:rFonts w:ascii="Arial" w:cs="Arial" w:eastAsia="Arial" w:hAnsi="Arial"/>
          <w:sz w:val="22"/>
          <w:szCs w:val="22"/>
          <w:color w:val="auto"/>
        </w:rPr>
      </w:pPr>
      <w:r>
        <w:rPr>
          <w:rFonts w:ascii="Arial" w:cs="Arial" w:eastAsia="Arial" w:hAnsi="Arial"/>
          <w:sz w:val="22"/>
          <w:szCs w:val="22"/>
          <w:color w:val="auto"/>
        </w:rPr>
        <w:t>3(c)(14) of the Investment Company Act of 1940 (15 U.S.C. 80a-3);</w:t>
      </w:r>
    </w:p>
    <w:p>
      <w:pPr>
        <w:spacing w:after="0" w:line="80" w:lineRule="exact"/>
        <w:rPr>
          <w:rFonts w:ascii="Arial" w:cs="Arial" w:eastAsia="Arial" w:hAnsi="Arial"/>
          <w:sz w:val="22"/>
          <w:szCs w:val="22"/>
          <w:color w:val="auto"/>
        </w:rPr>
      </w:pPr>
    </w:p>
    <w:p>
      <w:pPr>
        <w:ind w:left="780" w:hanging="428"/>
        <w:spacing w:after="0"/>
        <w:tabs>
          <w:tab w:leader="none" w:pos="780" w:val="left"/>
        </w:tabs>
        <w:numPr>
          <w:ilvl w:val="0"/>
          <w:numId w:val="20"/>
        </w:numPr>
        <w:rPr>
          <w:rFonts w:ascii="Arial" w:cs="Arial" w:eastAsia="Arial" w:hAnsi="Arial"/>
          <w:sz w:val="22"/>
          <w:szCs w:val="22"/>
          <w:color w:val="auto"/>
        </w:rPr>
      </w:pPr>
      <w:r>
        <w:rPr>
          <w:rFonts w:ascii="Arial" w:cs="Arial" w:eastAsia="Arial" w:hAnsi="Arial"/>
          <w:sz w:val="22"/>
          <w:szCs w:val="22"/>
          <w:color w:val="auto"/>
        </w:rPr>
        <w:t>[ ]  A non-U.S.institution in accordance with 240.13d-1(b)(1)(ii)(J);</w:t>
      </w:r>
    </w:p>
    <w:p>
      <w:pPr>
        <w:spacing w:after="0" w:line="260" w:lineRule="exact"/>
        <w:rPr>
          <w:rFonts w:ascii="Arial" w:cs="Arial" w:eastAsia="Arial" w:hAnsi="Arial"/>
          <w:sz w:val="22"/>
          <w:szCs w:val="22"/>
          <w:color w:val="auto"/>
        </w:rPr>
      </w:pPr>
    </w:p>
    <w:p>
      <w:pPr>
        <w:ind w:left="780" w:hanging="476"/>
        <w:spacing w:after="0"/>
        <w:tabs>
          <w:tab w:leader="none" w:pos="780" w:val="left"/>
        </w:tabs>
        <w:numPr>
          <w:ilvl w:val="0"/>
          <w:numId w:val="20"/>
        </w:numPr>
        <w:rPr>
          <w:rFonts w:ascii="Arial" w:cs="Arial" w:eastAsia="Arial" w:hAnsi="Arial"/>
          <w:sz w:val="22"/>
          <w:szCs w:val="22"/>
          <w:color w:val="auto"/>
        </w:rPr>
      </w:pPr>
      <w:r>
        <w:rPr>
          <w:rFonts w:ascii="Arial" w:cs="Arial" w:eastAsia="Arial" w:hAnsi="Arial"/>
          <w:sz w:val="22"/>
          <w:szCs w:val="22"/>
          <w:color w:val="auto"/>
        </w:rPr>
        <w:t>[ ]  Group, in accordance with 240.13d-1(b)(1)(ii)(K).</w:t>
      </w:r>
    </w:p>
    <w:p>
      <w:pPr>
        <w:spacing w:after="0" w:line="260" w:lineRule="exact"/>
        <w:rPr>
          <w:sz w:val="20"/>
          <w:szCs w:val="20"/>
          <w:color w:val="auto"/>
        </w:rPr>
      </w:pPr>
    </w:p>
    <w:p>
      <w:pPr>
        <w:ind w:left="1120" w:right="1339"/>
        <w:spacing w:after="0" w:line="251" w:lineRule="auto"/>
        <w:rPr>
          <w:sz w:val="20"/>
          <w:szCs w:val="20"/>
          <w:color w:val="auto"/>
        </w:rPr>
      </w:pPr>
      <w:r>
        <w:rPr>
          <w:rFonts w:ascii="Arial" w:cs="Arial" w:eastAsia="Arial" w:hAnsi="Arial"/>
          <w:sz w:val="22"/>
          <w:szCs w:val="22"/>
          <w:color w:val="auto"/>
        </w:rPr>
        <w:t>If filing as a non-U.S.institution in accordance with 240.13d-1(b)(1)(ii)(J), please specify the type of institution: ______________</w:t>
      </w:r>
    </w:p>
    <w:p>
      <w:pPr>
        <w:sectPr>
          <w:pgSz w:w="11900" w:h="16838" w:orient="portrait"/>
          <w:cols w:equalWidth="0" w:num="1">
            <w:col w:w="10159"/>
          </w:cols>
          <w:pgMar w:left="300" w:top="361" w:right="1440" w:bottom="230" w:gutter="0" w:footer="0" w:header="0"/>
        </w:sectPr>
      </w:pPr>
    </w:p>
    <w:bookmarkStart w:id="4" w:name="page5"/>
    <w:bookmarkEnd w:id="4"/>
    <w:p>
      <w:pPr>
        <w:spacing w:after="0"/>
        <w:rPr>
          <w:sz w:val="20"/>
          <w:szCs w:val="20"/>
          <w:color w:val="auto"/>
        </w:rPr>
      </w:pPr>
      <w:r>
        <w:rPr>
          <w:rFonts w:ascii="Arial" w:cs="Arial" w:eastAsia="Arial" w:hAnsi="Arial"/>
          <w:sz w:val="22"/>
          <w:szCs w:val="22"/>
          <w:b w:val="1"/>
          <w:bCs w:val="1"/>
          <w:color w:val="auto"/>
        </w:rPr>
        <w:t>Item 4.  Ownership.</w:t>
      </w:r>
    </w:p>
    <w:p>
      <w:pPr>
        <w:spacing w:after="0" w:line="105" w:lineRule="exact"/>
        <w:rPr>
          <w:sz w:val="20"/>
          <w:szCs w:val="20"/>
          <w:color w:val="auto"/>
        </w:rPr>
      </w:pPr>
    </w:p>
    <w:p>
      <w:pPr>
        <w:ind w:right="1779"/>
        <w:spacing w:after="0" w:line="251" w:lineRule="auto"/>
        <w:rPr>
          <w:sz w:val="20"/>
          <w:szCs w:val="20"/>
          <w:color w:val="auto"/>
        </w:rPr>
      </w:pPr>
      <w:r>
        <w:rPr>
          <w:rFonts w:ascii="Arial" w:cs="Arial" w:eastAsia="Arial" w:hAnsi="Arial"/>
          <w:sz w:val="22"/>
          <w:szCs w:val="22"/>
          <w:color w:val="auto"/>
        </w:rPr>
        <w:t>Provide the following information regarding the aggregate number and percentage of the class of securities of the issuer identified in Item 1.</w:t>
      </w:r>
    </w:p>
    <w:p>
      <w:pPr>
        <w:spacing w:after="0" w:line="65" w:lineRule="exact"/>
        <w:rPr>
          <w:sz w:val="20"/>
          <w:szCs w:val="20"/>
          <w:color w:val="auto"/>
        </w:rPr>
      </w:pPr>
    </w:p>
    <w:p>
      <w:pPr>
        <w:ind w:left="800" w:hanging="433"/>
        <w:spacing w:after="0"/>
        <w:tabs>
          <w:tab w:leader="none" w:pos="800" w:val="left"/>
        </w:tabs>
        <w:numPr>
          <w:ilvl w:val="0"/>
          <w:numId w:val="21"/>
        </w:numPr>
        <w:rPr>
          <w:rFonts w:ascii="Arial" w:cs="Arial" w:eastAsia="Arial" w:hAnsi="Arial"/>
          <w:sz w:val="22"/>
          <w:szCs w:val="22"/>
          <w:color w:val="auto"/>
        </w:rPr>
      </w:pPr>
      <w:r>
        <w:rPr>
          <w:rFonts w:ascii="Arial" w:cs="Arial" w:eastAsia="Arial" w:hAnsi="Arial"/>
          <w:sz w:val="22"/>
          <w:szCs w:val="22"/>
          <w:color w:val="auto"/>
        </w:rPr>
        <w:t>Amount beneficially owned: 2,321,845</w:t>
      </w:r>
    </w:p>
    <w:p>
      <w:pPr>
        <w:spacing w:after="0" w:line="98" w:lineRule="exact"/>
        <w:rPr>
          <w:rFonts w:ascii="Arial" w:cs="Arial" w:eastAsia="Arial" w:hAnsi="Arial"/>
          <w:sz w:val="22"/>
          <w:szCs w:val="22"/>
          <w:color w:val="auto"/>
        </w:rPr>
      </w:pPr>
    </w:p>
    <w:p>
      <w:pPr>
        <w:ind w:left="800" w:hanging="433"/>
        <w:spacing w:after="0"/>
        <w:tabs>
          <w:tab w:leader="none" w:pos="800" w:val="left"/>
        </w:tabs>
        <w:numPr>
          <w:ilvl w:val="0"/>
          <w:numId w:val="21"/>
        </w:numPr>
        <w:rPr>
          <w:rFonts w:ascii="Arial" w:cs="Arial" w:eastAsia="Arial" w:hAnsi="Arial"/>
          <w:sz w:val="22"/>
          <w:szCs w:val="22"/>
          <w:color w:val="auto"/>
        </w:rPr>
      </w:pPr>
      <w:r>
        <w:rPr>
          <w:rFonts w:ascii="Arial" w:cs="Arial" w:eastAsia="Arial" w:hAnsi="Arial"/>
          <w:sz w:val="22"/>
          <w:szCs w:val="22"/>
          <w:color w:val="auto"/>
        </w:rPr>
        <w:t>Percent of class: 5.24%</w:t>
      </w:r>
    </w:p>
    <w:p>
      <w:pPr>
        <w:spacing w:after="0" w:line="98" w:lineRule="exact"/>
        <w:rPr>
          <w:rFonts w:ascii="Arial" w:cs="Arial" w:eastAsia="Arial" w:hAnsi="Arial"/>
          <w:sz w:val="22"/>
          <w:szCs w:val="22"/>
          <w:color w:val="auto"/>
        </w:rPr>
      </w:pPr>
    </w:p>
    <w:p>
      <w:pPr>
        <w:ind w:left="800" w:hanging="433"/>
        <w:spacing w:after="0"/>
        <w:tabs>
          <w:tab w:leader="none" w:pos="800" w:val="left"/>
        </w:tabs>
        <w:numPr>
          <w:ilvl w:val="0"/>
          <w:numId w:val="21"/>
        </w:numPr>
        <w:rPr>
          <w:rFonts w:ascii="Arial" w:cs="Arial" w:eastAsia="Arial" w:hAnsi="Arial"/>
          <w:sz w:val="22"/>
          <w:szCs w:val="22"/>
          <w:color w:val="auto"/>
        </w:rPr>
      </w:pPr>
      <w:r>
        <w:rPr>
          <w:rFonts w:ascii="Arial" w:cs="Arial" w:eastAsia="Arial" w:hAnsi="Arial"/>
          <w:sz w:val="22"/>
          <w:szCs w:val="22"/>
          <w:color w:val="auto"/>
        </w:rPr>
        <w:t>Number of shares as to which the person has:</w:t>
      </w:r>
    </w:p>
    <w:p>
      <w:pPr>
        <w:spacing w:after="0" w:line="98" w:lineRule="exact"/>
        <w:rPr>
          <w:rFonts w:ascii="Arial" w:cs="Arial" w:eastAsia="Arial" w:hAnsi="Arial"/>
          <w:sz w:val="22"/>
          <w:szCs w:val="22"/>
          <w:color w:val="auto"/>
        </w:rPr>
      </w:pPr>
    </w:p>
    <w:p>
      <w:pPr>
        <w:ind w:left="1260" w:hanging="461"/>
        <w:spacing w:after="0"/>
        <w:tabs>
          <w:tab w:leader="none" w:pos="1260" w:val="left"/>
        </w:tabs>
        <w:numPr>
          <w:ilvl w:val="1"/>
          <w:numId w:val="21"/>
        </w:numPr>
        <w:rPr>
          <w:rFonts w:ascii="Arial" w:cs="Arial" w:eastAsia="Arial" w:hAnsi="Arial"/>
          <w:sz w:val="22"/>
          <w:szCs w:val="22"/>
          <w:color w:val="auto"/>
        </w:rPr>
      </w:pPr>
      <w:r>
        <w:rPr>
          <w:rFonts w:ascii="Arial" w:cs="Arial" w:eastAsia="Arial" w:hAnsi="Arial"/>
          <w:sz w:val="22"/>
          <w:szCs w:val="22"/>
          <w:color w:val="auto"/>
        </w:rPr>
        <w:t>Sole power to vote or to direct the vote 305,655</w:t>
      </w:r>
    </w:p>
    <w:p>
      <w:pPr>
        <w:spacing w:after="0" w:line="98" w:lineRule="exact"/>
        <w:rPr>
          <w:rFonts w:ascii="Arial" w:cs="Arial" w:eastAsia="Arial" w:hAnsi="Arial"/>
          <w:sz w:val="22"/>
          <w:szCs w:val="22"/>
          <w:color w:val="auto"/>
        </w:rPr>
      </w:pPr>
    </w:p>
    <w:p>
      <w:pPr>
        <w:ind w:left="1260" w:hanging="461"/>
        <w:spacing w:after="0"/>
        <w:tabs>
          <w:tab w:leader="none" w:pos="1260" w:val="left"/>
        </w:tabs>
        <w:numPr>
          <w:ilvl w:val="1"/>
          <w:numId w:val="21"/>
        </w:numPr>
        <w:rPr>
          <w:rFonts w:ascii="Arial" w:cs="Arial" w:eastAsia="Arial" w:hAnsi="Arial"/>
          <w:sz w:val="22"/>
          <w:szCs w:val="22"/>
          <w:color w:val="auto"/>
        </w:rPr>
      </w:pPr>
      <w:r>
        <w:rPr>
          <w:rFonts w:ascii="Arial" w:cs="Arial" w:eastAsia="Arial" w:hAnsi="Arial"/>
          <w:sz w:val="22"/>
          <w:szCs w:val="22"/>
          <w:color w:val="auto"/>
        </w:rPr>
        <w:t>Shared power to vote or to direct the vote 0</w:t>
      </w:r>
    </w:p>
    <w:p>
      <w:pPr>
        <w:spacing w:after="0" w:line="98" w:lineRule="exact"/>
        <w:rPr>
          <w:rFonts w:ascii="Arial" w:cs="Arial" w:eastAsia="Arial" w:hAnsi="Arial"/>
          <w:sz w:val="22"/>
          <w:szCs w:val="22"/>
          <w:color w:val="auto"/>
        </w:rPr>
      </w:pPr>
    </w:p>
    <w:p>
      <w:pPr>
        <w:ind w:left="1260" w:hanging="461"/>
        <w:spacing w:after="0"/>
        <w:tabs>
          <w:tab w:leader="none" w:pos="1260" w:val="left"/>
        </w:tabs>
        <w:numPr>
          <w:ilvl w:val="1"/>
          <w:numId w:val="21"/>
        </w:numPr>
        <w:rPr>
          <w:rFonts w:ascii="Arial" w:cs="Arial" w:eastAsia="Arial" w:hAnsi="Arial"/>
          <w:sz w:val="22"/>
          <w:szCs w:val="22"/>
          <w:color w:val="auto"/>
        </w:rPr>
      </w:pPr>
      <w:r>
        <w:rPr>
          <w:rFonts w:ascii="Arial" w:cs="Arial" w:eastAsia="Arial" w:hAnsi="Arial"/>
          <w:sz w:val="22"/>
          <w:szCs w:val="22"/>
          <w:color w:val="auto"/>
        </w:rPr>
        <w:t>Sole power to dispose or to direct the disposition of 2,321,845</w:t>
      </w:r>
    </w:p>
    <w:p>
      <w:pPr>
        <w:spacing w:after="0" w:line="98" w:lineRule="exact"/>
        <w:rPr>
          <w:rFonts w:ascii="Arial" w:cs="Arial" w:eastAsia="Arial" w:hAnsi="Arial"/>
          <w:sz w:val="22"/>
          <w:szCs w:val="22"/>
          <w:color w:val="auto"/>
        </w:rPr>
      </w:pPr>
    </w:p>
    <w:p>
      <w:pPr>
        <w:ind w:left="1260" w:hanging="461"/>
        <w:spacing w:after="0"/>
        <w:tabs>
          <w:tab w:leader="none" w:pos="1260" w:val="left"/>
        </w:tabs>
        <w:numPr>
          <w:ilvl w:val="1"/>
          <w:numId w:val="21"/>
        </w:numPr>
        <w:rPr>
          <w:rFonts w:ascii="Arial" w:cs="Arial" w:eastAsia="Arial" w:hAnsi="Arial"/>
          <w:sz w:val="22"/>
          <w:szCs w:val="22"/>
          <w:color w:val="auto"/>
        </w:rPr>
      </w:pPr>
      <w:r>
        <w:rPr>
          <w:rFonts w:ascii="Arial" w:cs="Arial" w:eastAsia="Arial" w:hAnsi="Arial"/>
          <w:sz w:val="22"/>
          <w:szCs w:val="22"/>
          <w:color w:val="auto"/>
        </w:rPr>
        <w:t>Shared power to dispose or to direct the disposition of 0</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tabs>
          <w:tab w:leader="none" w:pos="980" w:val="left"/>
        </w:tabs>
        <w:rPr>
          <w:sz w:val="20"/>
          <w:szCs w:val="20"/>
          <w:color w:val="auto"/>
        </w:rPr>
      </w:pPr>
      <w:r>
        <w:rPr>
          <w:rFonts w:ascii="Arial" w:cs="Arial" w:eastAsia="Arial" w:hAnsi="Arial"/>
          <w:sz w:val="22"/>
          <w:szCs w:val="22"/>
          <w:b w:val="1"/>
          <w:bCs w:val="1"/>
          <w:color w:val="auto"/>
        </w:rPr>
        <w:t>Item 5.</w:t>
      </w:r>
      <w:r>
        <w:rPr>
          <w:sz w:val="20"/>
          <w:szCs w:val="20"/>
          <w:color w:val="auto"/>
        </w:rPr>
        <w:tab/>
      </w:r>
      <w:r>
        <w:rPr>
          <w:rFonts w:ascii="Arial" w:cs="Arial" w:eastAsia="Arial" w:hAnsi="Arial"/>
          <w:sz w:val="19"/>
          <w:szCs w:val="19"/>
          <w:b w:val="1"/>
          <w:bCs w:val="1"/>
          <w:color w:val="auto"/>
        </w:rPr>
        <w:t>Ownership of Five Percent or Less of a Class</w:t>
      </w:r>
    </w:p>
    <w:p>
      <w:pPr>
        <w:spacing w:after="0" w:line="104" w:lineRule="exact"/>
        <w:rPr>
          <w:sz w:val="20"/>
          <w:szCs w:val="20"/>
          <w:color w:val="auto"/>
        </w:rPr>
      </w:pPr>
    </w:p>
    <w:p>
      <w:pPr>
        <w:ind w:right="1779"/>
        <w:spacing w:after="0"/>
        <w:rPr>
          <w:sz w:val="20"/>
          <w:szCs w:val="20"/>
          <w:color w:val="auto"/>
        </w:rPr>
      </w:pPr>
      <w:r>
        <w:rPr>
          <w:rFonts w:ascii="Arial" w:cs="Arial" w:eastAsia="Arial" w:hAnsi="Arial"/>
          <w:sz w:val="22"/>
          <w:szCs w:val="22"/>
          <w:color w:val="auto"/>
        </w:rPr>
        <w:t>If this statement is being filed to report the fact that as of the date hereof the reporting person has ceased to be the beneficial owner of more than five percent of the class of securities, check the following.[ ].</w:t>
      </w:r>
    </w:p>
    <w:p>
      <w:pPr>
        <w:sectPr>
          <w:pgSz w:w="11900" w:h="16838" w:orient="portrait"/>
          <w:cols w:equalWidth="0" w:num="1">
            <w:col w:w="10159"/>
          </w:cols>
          <w:pgMar w:left="300" w:top="112" w:right="1440" w:bottom="0" w:gutter="0" w:footer="0" w:header="0"/>
        </w:sect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6.</w:t>
      </w:r>
    </w:p>
    <w:p>
      <w:pPr>
        <w:spacing w:after="0" w:line="104" w:lineRule="exact"/>
        <w:rPr>
          <w:sz w:val="20"/>
          <w:szCs w:val="20"/>
          <w:color w:val="auto"/>
        </w:rPr>
      </w:pPr>
    </w:p>
    <w:p>
      <w:pPr>
        <w:spacing w:after="0"/>
        <w:rPr>
          <w:sz w:val="20"/>
          <w:szCs w:val="20"/>
          <w:color w:val="auto"/>
        </w:rPr>
      </w:pPr>
      <w:r>
        <w:rPr>
          <w:rFonts w:ascii="Arial" w:cs="Arial" w:eastAsia="Arial" w:hAnsi="Arial"/>
          <w:sz w:val="22"/>
          <w:szCs w:val="22"/>
          <w:color w:val="auto"/>
        </w:rPr>
        <w:t>Not</w:t>
      </w:r>
    </w:p>
    <w:p>
      <w:pPr>
        <w:spacing w:after="0" w:line="8" w:lineRule="exact"/>
        <w:rPr>
          <w:sz w:val="20"/>
          <w:szCs w:val="20"/>
          <w:color w:val="auto"/>
        </w:rPr>
      </w:pPr>
    </w:p>
    <w:p>
      <w:pPr>
        <w:spacing w:after="0" w:line="207" w:lineRule="auto"/>
        <w:rPr>
          <w:sz w:val="20"/>
          <w:szCs w:val="20"/>
          <w:color w:val="auto"/>
        </w:rPr>
      </w:pPr>
      <w:r>
        <w:rPr>
          <w:rFonts w:ascii="Arial" w:cs="Arial" w:eastAsia="Arial" w:hAnsi="Arial"/>
          <w:sz w:val="19"/>
          <w:szCs w:val="19"/>
          <w:color w:val="auto"/>
        </w:rPr>
        <w:t xml:space="preserve">applicable </w:t>
      </w:r>
      <w:r>
        <w:rPr>
          <w:rFonts w:ascii="Arial" w:cs="Arial" w:eastAsia="Arial" w:hAnsi="Arial"/>
          <w:sz w:val="19"/>
          <w:szCs w:val="19"/>
          <w:b w:val="1"/>
          <w:bCs w:val="1"/>
          <w:color w:val="auto"/>
        </w:rPr>
        <w:t>Item 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Ownership of More than Five Percent on Behalf of Another Person.</w:t>
      </w:r>
    </w:p>
    <w:p>
      <w:pPr>
        <w:spacing w:after="0" w:line="200" w:lineRule="exact"/>
        <w:rPr>
          <w:sz w:val="20"/>
          <w:szCs w:val="20"/>
          <w:color w:val="auto"/>
        </w:rPr>
      </w:pPr>
    </w:p>
    <w:p>
      <w:pPr>
        <w:spacing w:after="0" w:line="263" w:lineRule="exact"/>
        <w:rPr>
          <w:sz w:val="20"/>
          <w:szCs w:val="20"/>
          <w:color w:val="auto"/>
        </w:rPr>
      </w:pPr>
    </w:p>
    <w:p>
      <w:pPr>
        <w:ind w:right="1839"/>
        <w:spacing w:after="0" w:line="329" w:lineRule="auto"/>
        <w:rPr>
          <w:sz w:val="20"/>
          <w:szCs w:val="20"/>
          <w:color w:val="auto"/>
        </w:rPr>
      </w:pPr>
      <w:r>
        <w:rPr>
          <w:rFonts w:ascii="Arial" w:cs="Arial" w:eastAsia="Arial" w:hAnsi="Arial"/>
          <w:sz w:val="19"/>
          <w:szCs w:val="19"/>
          <w:b w:val="1"/>
          <w:bCs w:val="1"/>
          <w:color w:val="auto"/>
        </w:rPr>
        <w:t>Identification and Classification of the Subsidiary Which Acquired the Security Being Reported on By the Parent Holding Company or Control Person.</w:t>
      </w:r>
    </w:p>
    <w:p>
      <w:pPr>
        <w:spacing w:after="0" w:line="1" w:lineRule="exact"/>
        <w:rPr>
          <w:sz w:val="20"/>
          <w:szCs w:val="20"/>
          <w:color w:val="auto"/>
        </w:rPr>
      </w:pPr>
    </w:p>
    <w:p>
      <w:pPr>
        <w:sectPr>
          <w:pgSz w:w="11900" w:h="16838" w:orient="portrait"/>
          <w:cols w:equalWidth="0" w:num="2">
            <w:col w:w="900" w:space="100"/>
            <w:col w:w="9159"/>
          </w:cols>
          <w:pgMar w:left="300" w:top="112" w:right="1440" w:bottom="0" w:gutter="0" w:footer="0" w:header="0"/>
          <w:type w:val="continuous"/>
        </w:sectPr>
      </w:pPr>
    </w:p>
    <w:p>
      <w:pPr>
        <w:spacing w:after="0"/>
        <w:rPr>
          <w:sz w:val="20"/>
          <w:szCs w:val="20"/>
          <w:color w:val="auto"/>
        </w:rPr>
      </w:pPr>
      <w:r>
        <w:rPr>
          <w:rFonts w:ascii="Arial" w:cs="Arial" w:eastAsia="Arial" w:hAnsi="Arial"/>
          <w:sz w:val="22"/>
          <w:szCs w:val="22"/>
          <w:color w:val="auto"/>
        </w:rPr>
        <w:t>See Exhibit B</w:t>
      </w:r>
    </w:p>
    <w:p>
      <w:pPr>
        <w:spacing w:after="0" w:line="92" w:lineRule="exact"/>
        <w:rPr>
          <w:sz w:val="20"/>
          <w:szCs w:val="20"/>
          <w:color w:val="auto"/>
        </w:rPr>
      </w:pPr>
    </w:p>
    <w:p>
      <w:pPr>
        <w:spacing w:after="0"/>
        <w:tabs>
          <w:tab w:leader="none" w:pos="980" w:val="left"/>
        </w:tabs>
        <w:rPr>
          <w:sz w:val="20"/>
          <w:szCs w:val="20"/>
          <w:color w:val="auto"/>
        </w:rPr>
      </w:pPr>
      <w:r>
        <w:rPr>
          <w:rFonts w:ascii="Arial" w:cs="Arial" w:eastAsia="Arial" w:hAnsi="Arial"/>
          <w:sz w:val="22"/>
          <w:szCs w:val="22"/>
          <w:b w:val="1"/>
          <w:bCs w:val="1"/>
          <w:color w:val="auto"/>
        </w:rPr>
        <w:t>Item 8.</w:t>
      </w:r>
      <w:r>
        <w:rPr>
          <w:sz w:val="20"/>
          <w:szCs w:val="20"/>
          <w:color w:val="auto"/>
        </w:rPr>
        <w:tab/>
      </w:r>
      <w:r>
        <w:rPr>
          <w:rFonts w:ascii="Arial" w:cs="Arial" w:eastAsia="Arial" w:hAnsi="Arial"/>
          <w:sz w:val="19"/>
          <w:szCs w:val="19"/>
          <w:b w:val="1"/>
          <w:bCs w:val="1"/>
          <w:color w:val="auto"/>
        </w:rPr>
        <w:t>Identification and Classification of Members of the Group</w:t>
      </w:r>
    </w:p>
    <w:p>
      <w:pPr>
        <w:spacing w:after="0" w:line="104"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pacing w:after="0" w:line="92" w:lineRule="exact"/>
        <w:rPr>
          <w:sz w:val="20"/>
          <w:szCs w:val="20"/>
          <w:color w:val="auto"/>
        </w:rPr>
      </w:pPr>
    </w:p>
    <w:p>
      <w:pPr>
        <w:spacing w:after="0"/>
        <w:tabs>
          <w:tab w:leader="none" w:pos="980" w:val="left"/>
        </w:tabs>
        <w:rPr>
          <w:sz w:val="20"/>
          <w:szCs w:val="20"/>
          <w:color w:val="auto"/>
        </w:rPr>
      </w:pPr>
      <w:r>
        <w:rPr>
          <w:rFonts w:ascii="Arial" w:cs="Arial" w:eastAsia="Arial" w:hAnsi="Arial"/>
          <w:sz w:val="22"/>
          <w:szCs w:val="22"/>
          <w:b w:val="1"/>
          <w:bCs w:val="1"/>
          <w:color w:val="auto"/>
        </w:rPr>
        <w:t>Item 9.</w:t>
      </w:r>
      <w:r>
        <w:rPr>
          <w:sz w:val="20"/>
          <w:szCs w:val="20"/>
          <w:color w:val="auto"/>
        </w:rPr>
        <w:tab/>
      </w:r>
      <w:r>
        <w:rPr>
          <w:rFonts w:ascii="Arial" w:cs="Arial" w:eastAsia="Arial" w:hAnsi="Arial"/>
          <w:sz w:val="19"/>
          <w:szCs w:val="19"/>
          <w:b w:val="1"/>
          <w:bCs w:val="1"/>
          <w:color w:val="auto"/>
        </w:rPr>
        <w:t>Notice of Dissolution of Group</w:t>
      </w:r>
    </w:p>
    <w:p>
      <w:pPr>
        <w:spacing w:after="0" w:line="104"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pacing w:after="0" w:line="92" w:lineRule="exact"/>
        <w:rPr>
          <w:sz w:val="20"/>
          <w:szCs w:val="20"/>
          <w:color w:val="auto"/>
        </w:rPr>
      </w:pPr>
    </w:p>
    <w:p>
      <w:pPr>
        <w:spacing w:after="0"/>
        <w:tabs>
          <w:tab w:leader="none" w:pos="980" w:val="left"/>
        </w:tabs>
        <w:rPr>
          <w:sz w:val="20"/>
          <w:szCs w:val="20"/>
          <w:color w:val="auto"/>
        </w:rPr>
      </w:pPr>
      <w:r>
        <w:rPr>
          <w:rFonts w:ascii="Arial" w:cs="Arial" w:eastAsia="Arial" w:hAnsi="Arial"/>
          <w:sz w:val="22"/>
          <w:szCs w:val="22"/>
          <w:b w:val="1"/>
          <w:bCs w:val="1"/>
          <w:color w:val="auto"/>
        </w:rPr>
        <w:t>Item 10.</w:t>
      </w:r>
      <w:r>
        <w:rPr>
          <w:sz w:val="20"/>
          <w:szCs w:val="20"/>
          <w:color w:val="auto"/>
        </w:rPr>
        <w:tab/>
      </w:r>
      <w:r>
        <w:rPr>
          <w:rFonts w:ascii="Arial" w:cs="Arial" w:eastAsia="Arial" w:hAnsi="Arial"/>
          <w:sz w:val="19"/>
          <w:szCs w:val="19"/>
          <w:b w:val="1"/>
          <w:bCs w:val="1"/>
          <w:color w:val="auto"/>
        </w:rPr>
        <w:t>Certification</w:t>
      </w:r>
    </w:p>
    <w:p>
      <w:pPr>
        <w:spacing w:after="0" w:line="50" w:lineRule="exact"/>
        <w:rPr>
          <w:sz w:val="20"/>
          <w:szCs w:val="20"/>
          <w:color w:val="auto"/>
        </w:rPr>
      </w:pPr>
    </w:p>
    <w:p>
      <w:pPr>
        <w:jc w:val="both"/>
        <w:ind w:left="480" w:right="1979"/>
        <w:spacing w:after="0" w:line="235" w:lineRule="auto"/>
        <w:rPr>
          <w:sz w:val="20"/>
          <w:szCs w:val="20"/>
          <w:color w:val="auto"/>
        </w:rPr>
      </w:pPr>
      <w:r>
        <w:rPr>
          <w:rFonts w:ascii="Arial" w:cs="Arial" w:eastAsia="Arial" w:hAnsi="Arial"/>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0" w:lineRule="exact"/>
        <w:rPr>
          <w:sz w:val="20"/>
          <w:szCs w:val="20"/>
          <w:color w:val="auto"/>
        </w:rPr>
      </w:pPr>
    </w:p>
    <w:p>
      <w:pPr>
        <w:spacing w:after="0" w:line="243" w:lineRule="exact"/>
        <w:rPr>
          <w:sz w:val="20"/>
          <w:szCs w:val="20"/>
          <w:color w:val="auto"/>
        </w:rPr>
      </w:pPr>
    </w:p>
    <w:p>
      <w:pPr>
        <w:jc w:val="center"/>
        <w:ind w:right="819"/>
        <w:spacing w:after="0"/>
        <w:rPr>
          <w:sz w:val="20"/>
          <w:szCs w:val="20"/>
          <w:color w:val="auto"/>
        </w:rPr>
      </w:pPr>
      <w:r>
        <w:rPr>
          <w:rFonts w:ascii="Arial" w:cs="Arial" w:eastAsia="Arial" w:hAnsi="Arial"/>
          <w:sz w:val="25"/>
          <w:szCs w:val="25"/>
          <w:b w:val="1"/>
          <w:bCs w:val="1"/>
          <w:color w:val="auto"/>
        </w:rPr>
        <w:t>SIGNATURE</w:t>
      </w:r>
    </w:p>
    <w:p>
      <w:pPr>
        <w:spacing w:after="0" w:line="322" w:lineRule="exact"/>
        <w:rPr>
          <w:sz w:val="20"/>
          <w:szCs w:val="20"/>
          <w:color w:val="auto"/>
        </w:rPr>
      </w:pPr>
    </w:p>
    <w:p>
      <w:pPr>
        <w:ind w:left="240" w:right="1159"/>
        <w:spacing w:after="0" w:line="251"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268" w:lineRule="exact"/>
        <w:rPr>
          <w:sz w:val="20"/>
          <w:szCs w:val="20"/>
          <w:color w:val="auto"/>
        </w:rPr>
      </w:pPr>
    </w:p>
    <w:p>
      <w:pPr>
        <w:jc w:val="center"/>
        <w:ind w:right="819"/>
        <w:spacing w:after="0"/>
        <w:rPr>
          <w:sz w:val="20"/>
          <w:szCs w:val="20"/>
          <w:color w:val="auto"/>
        </w:rPr>
      </w:pPr>
      <w:r>
        <w:rPr>
          <w:rFonts w:ascii="Arial" w:cs="Arial" w:eastAsia="Arial" w:hAnsi="Arial"/>
          <w:sz w:val="22"/>
          <w:szCs w:val="22"/>
          <w:color w:val="auto"/>
        </w:rPr>
        <w:t>January 20,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1270635</wp:posOffset>
            </wp:positionH>
            <wp:positionV relativeFrom="paragraph">
              <wp:posOffset>15875</wp:posOffset>
            </wp:positionV>
            <wp:extent cx="33959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38" w:lineRule="exact"/>
        <w:rPr>
          <w:sz w:val="20"/>
          <w:szCs w:val="20"/>
          <w:color w:val="auto"/>
        </w:rPr>
      </w:pPr>
    </w:p>
    <w:p>
      <w:pPr>
        <w:jc w:val="center"/>
        <w:ind w:right="819"/>
        <w:spacing w:after="0"/>
        <w:rPr>
          <w:sz w:val="20"/>
          <w:szCs w:val="20"/>
          <w:color w:val="auto"/>
        </w:rPr>
      </w:pPr>
      <w:r>
        <w:rPr>
          <w:rFonts w:ascii="Arial" w:cs="Arial" w:eastAsia="Arial" w:hAnsi="Arial"/>
          <w:sz w:val="22"/>
          <w:szCs w:val="22"/>
          <w:color w:val="auto"/>
        </w:rPr>
        <w:t>Date</w:t>
      </w:r>
    </w:p>
    <w:p>
      <w:pPr>
        <w:spacing w:after="0" w:line="44" w:lineRule="exact"/>
        <w:rPr>
          <w:sz w:val="20"/>
          <w:szCs w:val="20"/>
          <w:color w:val="auto"/>
        </w:rPr>
      </w:pPr>
    </w:p>
    <w:p>
      <w:pPr>
        <w:jc w:val="center"/>
        <w:ind w:right="819"/>
        <w:spacing w:after="0"/>
        <w:rPr>
          <w:sz w:val="20"/>
          <w:szCs w:val="20"/>
          <w:color w:val="auto"/>
        </w:rPr>
      </w:pPr>
      <w:r>
        <w:rPr>
          <w:rFonts w:ascii="Arial" w:cs="Arial" w:eastAsia="Arial" w:hAnsi="Arial"/>
          <w:sz w:val="22"/>
          <w:szCs w:val="22"/>
          <w:color w:val="auto"/>
        </w:rPr>
        <w:t>/s/ Jane E. Washington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1270635</wp:posOffset>
            </wp:positionH>
            <wp:positionV relativeFrom="paragraph">
              <wp:posOffset>15875</wp:posOffset>
            </wp:positionV>
            <wp:extent cx="33959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38" w:lineRule="exact"/>
        <w:rPr>
          <w:sz w:val="20"/>
          <w:szCs w:val="20"/>
          <w:color w:val="auto"/>
        </w:rPr>
      </w:pPr>
    </w:p>
    <w:p>
      <w:pPr>
        <w:jc w:val="center"/>
        <w:ind w:right="819"/>
        <w:spacing w:after="0"/>
        <w:rPr>
          <w:sz w:val="20"/>
          <w:szCs w:val="20"/>
          <w:color w:val="auto"/>
        </w:rPr>
      </w:pPr>
      <w:r>
        <w:rPr>
          <w:rFonts w:ascii="Arial" w:cs="Arial" w:eastAsia="Arial" w:hAnsi="Arial"/>
          <w:sz w:val="22"/>
          <w:szCs w:val="22"/>
          <w:color w:val="auto"/>
        </w:rPr>
        <w:t>Signature</w:t>
      </w:r>
    </w:p>
    <w:p>
      <w:pPr>
        <w:spacing w:after="0" w:line="44" w:lineRule="exact"/>
        <w:rPr>
          <w:sz w:val="20"/>
          <w:szCs w:val="20"/>
          <w:color w:val="auto"/>
        </w:rPr>
      </w:pPr>
    </w:p>
    <w:p>
      <w:pPr>
        <w:jc w:val="center"/>
        <w:ind w:right="819"/>
        <w:spacing w:after="0"/>
        <w:rPr>
          <w:sz w:val="20"/>
          <w:szCs w:val="20"/>
          <w:color w:val="auto"/>
        </w:rPr>
      </w:pPr>
      <w:r>
        <w:rPr>
          <w:rFonts w:ascii="Arial" w:cs="Arial" w:eastAsia="Arial" w:hAnsi="Arial"/>
          <w:sz w:val="22"/>
          <w:szCs w:val="22"/>
          <w:color w:val="auto"/>
        </w:rPr>
        <w:t>Jane E. Washington, VP Trust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1270635</wp:posOffset>
            </wp:positionH>
            <wp:positionV relativeFrom="paragraph">
              <wp:posOffset>15875</wp:posOffset>
            </wp:positionV>
            <wp:extent cx="33959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38" w:lineRule="exact"/>
        <w:rPr>
          <w:sz w:val="20"/>
          <w:szCs w:val="20"/>
          <w:color w:val="auto"/>
        </w:rPr>
      </w:pPr>
    </w:p>
    <w:p>
      <w:pPr>
        <w:jc w:val="center"/>
        <w:ind w:right="819"/>
        <w:spacing w:after="0"/>
        <w:rPr>
          <w:sz w:val="20"/>
          <w:szCs w:val="20"/>
          <w:color w:val="auto"/>
        </w:rPr>
      </w:pPr>
      <w:r>
        <w:rPr>
          <w:rFonts w:ascii="Arial" w:cs="Arial" w:eastAsia="Arial" w:hAnsi="Arial"/>
          <w:sz w:val="22"/>
          <w:szCs w:val="22"/>
          <w:color w:val="auto"/>
        </w:rPr>
        <w:t>Name/Title</w:t>
      </w:r>
    </w:p>
    <w:p>
      <w:pPr>
        <w:spacing w:after="0" w:line="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Exhibit A</w:t>
      </w:r>
    </w:p>
    <w:p>
      <w:pPr>
        <w:spacing w:after="0" w:line="104" w:lineRule="exact"/>
        <w:rPr>
          <w:sz w:val="20"/>
          <w:szCs w:val="20"/>
          <w:color w:val="auto"/>
        </w:rPr>
      </w:pPr>
    </w:p>
    <w:p>
      <w:pPr>
        <w:spacing w:after="0"/>
        <w:rPr>
          <w:sz w:val="20"/>
          <w:szCs w:val="20"/>
          <w:color w:val="auto"/>
        </w:rPr>
      </w:pPr>
      <w:r>
        <w:rPr>
          <w:rFonts w:ascii="Arial" w:cs="Arial" w:eastAsia="Arial" w:hAnsi="Arial"/>
          <w:sz w:val="22"/>
          <w:szCs w:val="22"/>
          <w:color w:val="auto"/>
        </w:rPr>
        <w:t>EXPLANATORY NOTE</w:t>
      </w:r>
    </w:p>
    <w:p>
      <w:pPr>
        <w:spacing w:after="0" w:line="233" w:lineRule="exact"/>
        <w:rPr>
          <w:sz w:val="20"/>
          <w:szCs w:val="20"/>
          <w:color w:val="auto"/>
        </w:rPr>
      </w:pPr>
    </w:p>
    <w:p>
      <w:pPr>
        <w:ind w:right="1379"/>
        <w:spacing w:after="0" w:line="238" w:lineRule="auto"/>
        <w:rPr>
          <w:sz w:val="20"/>
          <w:szCs w:val="20"/>
          <w:color w:val="auto"/>
        </w:rPr>
      </w:pPr>
      <w:r>
        <w:rPr>
          <w:rFonts w:ascii="Arial" w:cs="Arial" w:eastAsia="Arial" w:hAnsi="Arial"/>
          <w:sz w:val="22"/>
          <w:szCs w:val="22"/>
          <w:color w:val="auto"/>
        </w:rPr>
        <w:t>This Schedule 13G is filed by Wells Fargo &amp; Company on its own behalf and on behalf of any subsidiaries listed in Exhibit B. Aggregate beneficial ownership reported by Wells Fargo &amp; Company under Item 9 on page 2 is on a consolidated basis and includes any beneficial ownership separately reported herein by a subsidiary.</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Exhibit B</w:t>
      </w:r>
    </w:p>
    <w:p>
      <w:pPr>
        <w:sectPr>
          <w:pgSz w:w="11900" w:h="16838" w:orient="portrait"/>
          <w:cols w:equalWidth="0" w:num="1">
            <w:col w:w="10159"/>
          </w:cols>
          <w:pgMar w:left="300" w:top="112" w:right="1440" w:bottom="0" w:gutter="0" w:footer="0" w:header="0"/>
          <w:type w:val="continuous"/>
        </w:sectPr>
      </w:pPr>
    </w:p>
    <w:bookmarkStart w:id="5" w:name="page6"/>
    <w:bookmarkEnd w:id="5"/>
    <w:p>
      <w:pPr>
        <w:ind w:right="1299"/>
        <w:spacing w:after="0" w:line="251" w:lineRule="auto"/>
        <w:rPr>
          <w:sz w:val="20"/>
          <w:szCs w:val="20"/>
          <w:color w:val="auto"/>
        </w:rPr>
      </w:pPr>
      <w:r>
        <w:rPr>
          <w:rFonts w:ascii="Arial" w:cs="Arial" w:eastAsia="Arial" w:hAnsi="Arial"/>
          <w:sz w:val="22"/>
          <w:szCs w:val="22"/>
          <w:color w:val="auto"/>
        </w:rPr>
        <w:t>The Schedule 13G to which this attachment is appended is filed by Wells Fargo &amp; Company on behalf of the following subsidiaries:</w:t>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color w:val="auto"/>
        </w:rPr>
        <w:t>Wells Capital Management Incorporated (1)</w:t>
      </w:r>
    </w:p>
    <w:p>
      <w:pPr>
        <w:spacing w:after="0" w:line="238" w:lineRule="auto"/>
        <w:rPr>
          <w:sz w:val="20"/>
          <w:szCs w:val="20"/>
          <w:color w:val="auto"/>
        </w:rPr>
      </w:pPr>
      <w:r>
        <w:rPr>
          <w:rFonts w:ascii="Arial" w:cs="Arial" w:eastAsia="Arial" w:hAnsi="Arial"/>
          <w:sz w:val="22"/>
          <w:szCs w:val="22"/>
          <w:color w:val="auto"/>
        </w:rPr>
        <w:t>Wells Fargo Funds Management, LLC (1)</w:t>
      </w:r>
    </w:p>
    <w:p>
      <w:pPr>
        <w:spacing w:after="0"/>
        <w:rPr>
          <w:sz w:val="20"/>
          <w:szCs w:val="20"/>
          <w:color w:val="auto"/>
        </w:rPr>
      </w:pPr>
      <w:r>
        <w:rPr>
          <w:rFonts w:ascii="Arial" w:cs="Arial" w:eastAsia="Arial" w:hAnsi="Arial"/>
          <w:sz w:val="22"/>
          <w:szCs w:val="22"/>
          <w:color w:val="auto"/>
        </w:rPr>
        <w:t>Wells Fargo Bank, N.A. (2)</w:t>
      </w:r>
    </w:p>
    <w:p>
      <w:pPr>
        <w:spacing w:after="0" w:line="215" w:lineRule="exact"/>
        <w:rPr>
          <w:sz w:val="20"/>
          <w:szCs w:val="20"/>
          <w:color w:val="auto"/>
        </w:rPr>
      </w:pPr>
    </w:p>
    <w:p>
      <w:pPr>
        <w:ind w:left="300" w:hanging="298"/>
        <w:spacing w:after="0"/>
        <w:tabs>
          <w:tab w:leader="none" w:pos="300" w:val="left"/>
        </w:tabs>
        <w:numPr>
          <w:ilvl w:val="0"/>
          <w:numId w:val="22"/>
        </w:numPr>
        <w:rPr>
          <w:rFonts w:ascii="Arial" w:cs="Arial" w:eastAsia="Arial" w:hAnsi="Arial"/>
          <w:sz w:val="19"/>
          <w:szCs w:val="19"/>
          <w:color w:val="auto"/>
        </w:rPr>
      </w:pPr>
      <w:r>
        <w:rPr>
          <w:rFonts w:ascii="Arial" w:cs="Arial" w:eastAsia="Arial" w:hAnsi="Arial"/>
          <w:sz w:val="19"/>
          <w:szCs w:val="19"/>
          <w:color w:val="auto"/>
        </w:rPr>
        <w:t>Classified as a registered investment advisor in accordance with Regulation 13d-1(b)(1)(ii)(E).</w:t>
      </w:r>
    </w:p>
    <w:p>
      <w:pPr>
        <w:spacing w:after="0" w:line="42" w:lineRule="exact"/>
        <w:rPr>
          <w:rFonts w:ascii="Arial" w:cs="Arial" w:eastAsia="Arial" w:hAnsi="Arial"/>
          <w:sz w:val="19"/>
          <w:szCs w:val="19"/>
          <w:color w:val="auto"/>
        </w:rPr>
      </w:pPr>
    </w:p>
    <w:p>
      <w:pPr>
        <w:ind w:left="300" w:hanging="298"/>
        <w:spacing w:after="0"/>
        <w:tabs>
          <w:tab w:leader="none" w:pos="300" w:val="left"/>
        </w:tabs>
        <w:numPr>
          <w:ilvl w:val="0"/>
          <w:numId w:val="22"/>
        </w:numPr>
        <w:rPr>
          <w:rFonts w:ascii="Arial" w:cs="Arial" w:eastAsia="Arial" w:hAnsi="Arial"/>
          <w:sz w:val="22"/>
          <w:szCs w:val="22"/>
          <w:color w:val="auto"/>
        </w:rPr>
      </w:pPr>
      <w:r>
        <w:rPr>
          <w:rFonts w:ascii="Arial" w:cs="Arial" w:eastAsia="Arial" w:hAnsi="Arial"/>
          <w:sz w:val="22"/>
          <w:szCs w:val="22"/>
          <w:color w:val="auto"/>
        </w:rPr>
        <w:t>Classified as a bank in accordance with Regulation 13d-1(b)(1)(ii)(B).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060" w:right="1379" w:hanging="1079"/>
        <w:spacing w:after="0" w:line="256" w:lineRule="auto"/>
        <w:tabs>
          <w:tab w:leader="none" w:pos="1040" w:val="left"/>
        </w:tabs>
        <w:rPr>
          <w:sz w:val="20"/>
          <w:szCs w:val="20"/>
          <w:color w:val="auto"/>
        </w:rPr>
      </w:pPr>
      <w:r>
        <w:rPr>
          <w:rFonts w:ascii="Arial" w:cs="Arial" w:eastAsia="Arial" w:hAnsi="Arial"/>
          <w:sz w:val="22"/>
          <w:szCs w:val="22"/>
          <w:b w:val="1"/>
          <w:bCs w:val="1"/>
          <w:color w:val="auto"/>
        </w:rPr>
        <w:t>Attention:</w:t>
        <w:tab/>
        <w:t>Intentional misstatements or omissions of fact constitute Federal criminal violations (See 18 U.S.C. 1001)</w:t>
      </w:r>
    </w:p>
    <w:sectPr>
      <w:pgSz w:w="11900" w:h="16838" w:orient="portrait"/>
      <w:cols w:equalWidth="0" w:num="1">
        <w:col w:w="10159"/>
      </w:cols>
      <w:pgMar w:left="300" w:top="11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190CDE7"/>
    <w:multiLevelType w:val="hybridMultilevel"/>
    <w:lvl w:ilvl="0">
      <w:lvlJc w:val="left"/>
      <w:lvlText w:val="[%1]"/>
      <w:numFmt w:val="upperLetter"/>
      <w:start w:val="24"/>
    </w:lvl>
  </w:abstractNum>
  <w:abstractNum w:abstractNumId="1">
    <w:nsid w:val="66EF438D"/>
    <w:multiLevelType w:val="hybridMultilevel"/>
    <w:lvl w:ilvl="0">
      <w:lvlJc w:val="left"/>
      <w:lvlText w:val="%1."/>
      <w:numFmt w:val="decimal"/>
      <w:start w:val="1"/>
    </w:lvl>
  </w:abstractNum>
  <w:abstractNum w:abstractNumId="2">
    <w:nsid w:val="140E0F76"/>
    <w:multiLevelType w:val="hybridMultilevel"/>
    <w:lvl w:ilvl="0">
      <w:lvlJc w:val="left"/>
      <w:lvlText w:val="%1"/>
      <w:numFmt w:val="decimal"/>
      <w:start w:val="1"/>
    </w:lvl>
    <w:lvl w:ilvl="1">
      <w:lvlJc w:val="left"/>
      <w:lvlText w:val="(%2)"/>
      <w:numFmt w:val="lowerLetter"/>
      <w:start w:val="2"/>
    </w:lvl>
  </w:abstractNum>
  <w:abstractNum w:abstractNumId="3">
    <w:nsid w:val="3352255A"/>
    <w:multiLevelType w:val="hybridMultilevel"/>
    <w:lvl w:ilvl="0">
      <w:lvlJc w:val="left"/>
      <w:lvlText w:val="%1."/>
      <w:numFmt w:val="decimal"/>
      <w:start w:val="2"/>
    </w:lvl>
    <w:lvl w:ilvl="1">
      <w:lvlJc w:val="left"/>
      <w:lvlText w:val="(%2)"/>
      <w:numFmt w:val="lowerLetter"/>
      <w:start w:val="1"/>
    </w:lvl>
  </w:abstractNum>
  <w:abstractNum w:abstractNumId="4">
    <w:nsid w:val="109CF92E"/>
    <w:multiLevelType w:val="hybridMultilevel"/>
    <w:lvl w:ilvl="0">
      <w:lvlJc w:val="left"/>
      <w:lvlText w:val="%1."/>
      <w:numFmt w:val="decimal"/>
      <w:start w:val="3"/>
    </w:lvl>
  </w:abstractNum>
  <w:abstractNum w:abstractNumId="5">
    <w:nsid w:val="DED7263"/>
    <w:multiLevelType w:val="hybridMultilevel"/>
    <w:lvl w:ilvl="0">
      <w:lvlJc w:val="left"/>
      <w:lvlText w:val="%1"/>
      <w:numFmt w:val="decimal"/>
      <w:start w:val="1"/>
    </w:lvl>
    <w:lvl w:ilvl="1">
      <w:lvlJc w:val="left"/>
      <w:lvlText w:val="%2."/>
      <w:numFmt w:val="decimal"/>
      <w:start w:val="8"/>
    </w:lvl>
  </w:abstractNum>
  <w:abstractNum w:abstractNumId="6">
    <w:nsid w:val="7FDCC233"/>
    <w:multiLevelType w:val="hybridMultilevel"/>
    <w:lvl w:ilvl="0">
      <w:lvlJc w:val="left"/>
      <w:lvlText w:val="%1."/>
      <w:numFmt w:val="decimal"/>
      <w:start w:val="9"/>
    </w:lvl>
    <w:lvl w:ilvl="1">
      <w:lvlJc w:val="left"/>
      <w:lvlText w:val="%2"/>
      <w:numFmt w:val="decimal"/>
      <w:start w:val="1"/>
    </w:lvl>
  </w:abstractNum>
  <w:abstractNum w:abstractNumId="7">
    <w:nsid w:val="1BEFD79F"/>
    <w:multiLevelType w:val="hybridMultilevel"/>
    <w:lvl w:ilvl="0">
      <w:lvlJc w:val="left"/>
      <w:lvlText w:val="(%1)"/>
      <w:numFmt w:val="lowerLetter"/>
      <w:start w:val="1"/>
    </w:lvl>
  </w:abstractNum>
  <w:abstractNum w:abstractNumId="8">
    <w:nsid w:val="41A7C4C9"/>
    <w:multiLevelType w:val="hybridMultilevel"/>
    <w:lvl w:ilvl="0">
      <w:lvlJc w:val="left"/>
      <w:lvlText w:val="(%1)"/>
      <w:numFmt w:val="lowerLetter"/>
      <w:start w:val="1"/>
    </w:lvl>
  </w:abstractNum>
  <w:abstractNum w:abstractNumId="9">
    <w:nsid w:val="6B68079A"/>
    <w:multiLevelType w:val="hybridMultilevel"/>
    <w:lvl w:ilvl="0">
      <w:lvlJc w:val="left"/>
      <w:lvlText w:val="(%1)"/>
      <w:numFmt w:val="lowerLetter"/>
      <w:start w:val="1"/>
    </w:lvl>
  </w:abstractNum>
  <w:abstractNum w:abstractNumId="10">
    <w:nsid w:val="4E6AFB66"/>
    <w:multiLevelType w:val="hybridMultilevel"/>
    <w:lvl w:ilvl="0">
      <w:lvlJc w:val="left"/>
      <w:lvlText w:val="(%1)"/>
      <w:numFmt w:val="lowerLetter"/>
      <w:start w:val="6"/>
    </w:lvl>
  </w:abstractNum>
  <w:abstractNum w:abstractNumId="11">
    <w:nsid w:val="25E45D32"/>
    <w:multiLevelType w:val="hybridMultilevel"/>
    <w:lvl w:ilvl="0">
      <w:lvlJc w:val="left"/>
      <w:lvlText w:val="(%1)"/>
      <w:numFmt w:val="lowerLetter"/>
      <w:start w:val="1"/>
    </w:lvl>
    <w:lvl w:ilvl="1">
      <w:lvlJc w:val="left"/>
      <w:lvlText w:val="(%2)"/>
      <w:numFmt w:val="lowerRoman"/>
      <w:start w:val="1"/>
    </w:lvl>
  </w:abstractNum>
  <w:abstractNum w:abstractNumId="12">
    <w:nsid w:val="519B500D"/>
    <w:multiLevelType w:val="hybridMultilevel"/>
    <w:lvl w:ilvl="0">
      <w:lvlJc w:val="left"/>
      <w:lvlText w:val="%1."/>
      <w:numFmt w:val="decimal"/>
      <w:start w:val="1"/>
    </w:lvl>
  </w:abstractNum>
  <w:abstractNum w:abstractNumId="13">
    <w:nsid w:val="431BD7B7"/>
    <w:multiLevelType w:val="hybridMultilevel"/>
    <w:lvl w:ilvl="0">
      <w:lvlJc w:val="left"/>
      <w:lvlText w:val="%1"/>
      <w:numFmt w:val="decimal"/>
      <w:start w:val="1"/>
    </w:lvl>
    <w:lvl w:ilvl="1">
      <w:lvlJc w:val="left"/>
      <w:lvlText w:val="(%2)"/>
      <w:numFmt w:val="lowerLetter"/>
      <w:start w:val="2"/>
    </w:lvl>
  </w:abstractNum>
  <w:abstractNum w:abstractNumId="14">
    <w:nsid w:val="3F2DBA31"/>
    <w:multiLevelType w:val="hybridMultilevel"/>
    <w:lvl w:ilvl="0">
      <w:lvlJc w:val="left"/>
      <w:lvlText w:val="%1."/>
      <w:numFmt w:val="decimal"/>
      <w:start w:val="2"/>
    </w:lvl>
    <w:lvl w:ilvl="1">
      <w:lvlJc w:val="left"/>
      <w:lvlText w:val="(%2)"/>
      <w:numFmt w:val="lowerLetter"/>
      <w:start w:val="1"/>
    </w:lvl>
  </w:abstractNum>
  <w:abstractNum w:abstractNumId="15">
    <w:nsid w:val="7C83E458"/>
    <w:multiLevelType w:val="hybridMultilevel"/>
    <w:lvl w:ilvl="0">
      <w:lvlJc w:val="left"/>
      <w:lvlText w:val="%1."/>
      <w:numFmt w:val="decimal"/>
      <w:start w:val="9"/>
    </w:lvl>
  </w:abstractNum>
  <w:abstractNum w:abstractNumId="16">
    <w:nsid w:val="257130A3"/>
    <w:multiLevelType w:val="hybridMultilevel"/>
    <w:lvl w:ilvl="0">
      <w:lvlJc w:val="left"/>
      <w:lvlText w:val="%1."/>
      <w:numFmt w:val="decimal"/>
      <w:start w:val="10"/>
    </w:lvl>
  </w:abstractNum>
  <w:abstractNum w:abstractNumId="17">
    <w:nsid w:val="62BBD95A"/>
    <w:multiLevelType w:val="hybridMultilevel"/>
    <w:lvl w:ilvl="0">
      <w:lvlJc w:val="left"/>
      <w:lvlText w:val="(%1)"/>
      <w:numFmt w:val="lowerLetter"/>
      <w:start w:val="1"/>
    </w:lvl>
  </w:abstractNum>
  <w:abstractNum w:abstractNumId="18">
    <w:nsid w:val="436C6125"/>
    <w:multiLevelType w:val="hybridMultilevel"/>
    <w:lvl w:ilvl="0">
      <w:lvlJc w:val="left"/>
      <w:lvlText w:val="(%1)"/>
      <w:numFmt w:val="lowerLetter"/>
      <w:start w:val="1"/>
    </w:lvl>
  </w:abstractNum>
  <w:abstractNum w:abstractNumId="19">
    <w:nsid w:val="628C895D"/>
    <w:multiLevelType w:val="hybridMultilevel"/>
    <w:lvl w:ilvl="0">
      <w:lvlJc w:val="left"/>
      <w:lvlText w:val="(%1)"/>
      <w:numFmt w:val="lowerLetter"/>
      <w:start w:val="1"/>
    </w:lvl>
  </w:abstractNum>
  <w:abstractNum w:abstractNumId="20">
    <w:nsid w:val="333AB105"/>
    <w:multiLevelType w:val="hybridMultilevel"/>
    <w:lvl w:ilvl="0">
      <w:lvlJc w:val="left"/>
      <w:lvlText w:val="(%1)"/>
      <w:numFmt w:val="lowerLetter"/>
      <w:start w:val="1"/>
    </w:lvl>
    <w:lvl w:ilvl="1">
      <w:lvlJc w:val="left"/>
      <w:lvlText w:val="(%2)"/>
      <w:numFmt w:val="lowerRoman"/>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2019-12-09T19:13:23Z</dcterms:created>
  <dcterms:modified xsi:type="dcterms:W3CDTF">2019-12-09T19:13:23Z</dcterms:modified>
</cp:coreProperties>
</file>