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#38526M106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2,022,433</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5,027,690</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5,027,690</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10.410%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#38526M106</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5,027,690</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5,027,690</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10.410%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GRAND CANYON EDUCATION INC</w:t>
            </w: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330 W Camelback Rd</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Phoenix, AZ 85017</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38526M106</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5,027,690</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10.410%</w:t>
            </w:r>
          </w:p>
        </w:tc>
        <w:tc>
          <w:tcPr>
            <w:tcW w:w="226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2,022,433</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5,027,690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sale of, the COMMON STOCK of GRAND CANYON EDUCATION INC. No one other person's interest in the COMMON STOCK of GRAND CANYON EDUCATION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April 9,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2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33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(Canada) Asset Management ULC</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33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Institutional Asset Management</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33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MANAGEMENT &amp; RESEARCH COMPANY</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2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739" w:firstLine="1685"/>
        <w:spacing w:after="0" w:line="237" w:lineRule="auto"/>
        <w:rPr>
          <w:sz w:val="20"/>
          <w:szCs w:val="20"/>
          <w:color w:val="auto"/>
        </w:rPr>
      </w:pPr>
      <w:r>
        <w:rPr>
          <w:rFonts w:ascii="Courier New" w:cs="Courier New" w:eastAsia="Courier New" w:hAnsi="Courier New"/>
          <w:sz w:val="18"/>
          <w:szCs w:val="18"/>
          <w:color w:val="auto"/>
        </w:rPr>
        <w:t>The undersigned persons, on April 9, 2018, agree and consent to the joint filing on their behalf of this Schedule 13G in connection with their beneficial ownership of the COMMON STOCK of GRAND CANYON EDUCATION INC at March 29, 2018.</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36" w:right="1440" w:bottom="0" w:gutter="0" w:footer="0" w:header="0"/>
        </w:sectPr>
      </w:pPr>
    </w:p>
    <w:bookmarkStart w:id="3" w:name="page4"/>
    <w:bookmarkEnd w:id="3"/>
    <w:p>
      <w:pPr>
        <w:ind w:left="-8" w:right="2419" w:firstLine="8"/>
        <w:spacing w:after="0" w:line="236" w:lineRule="auto"/>
        <w:tabs>
          <w:tab w:leader="none" w:pos="2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2019-12-07T12:23:49Z</dcterms:created>
  <dcterms:modified xsi:type="dcterms:W3CDTF">2019-12-07T12:23:49Z</dcterms:modified>
</cp:coreProperties>
</file>