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480"/>
        <w:ind w:left="0" w:right="0" w:hanging="0"/>
        <w:rPr/>
      </w:pPr>
      <w:hyperlink w:anchor="TOC">
        <w:bookmarkStart w:id="0" w:name="lope-20230331x10q.htm"/>
        <w:bookmarkStart w:id="1" w:name="kslope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8"/>
        </w:rPr>
      </w:pPr>
      <w:bookmarkStart w:id="2" w:name="_d0292717_7581_4a12_9c3e_7ca17f1bba22"/>
      <w:bookmarkEnd w:id="2"/>
      <w:r>
        <w:rPr>
          <w:rFonts w:ascii="Times New Roman;Times;serif" w:hAnsi="Times New Roman;Times;serif"/>
          <w:b/>
          <w:sz w:val="28"/>
        </w:rPr>
        <w:t>UNITED STATES</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240"/>
        <w:ind w:left="0" w:right="0" w:hanging="0"/>
        <w:jc w:val="center"/>
        <w:rPr/>
      </w:pPr>
      <w:r>
        <w:rPr/>
        <w:t>​</w:t>
      </w:r>
    </w:p>
    <w:p>
      <w:pPr>
        <w:pStyle w:val="TextBody"/>
        <w:pBdr>
          <w:top w:val="single" w:sz="2" w:space="1" w:color="000000"/>
        </w:pBdr>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(Mark One)</w:t>
      </w:r>
    </w:p>
    <w:p>
      <w:pPr>
        <w:pStyle w:val="Normal"/>
        <w:spacing w:before="0" w:after="0"/>
        <w:rPr>
          <w:sz w:val="4"/>
          <w:szCs w:val="4"/>
        </w:rPr>
      </w:pPr>
      <w:r>
        <w:rPr>
          <w:sz w:val="4"/>
          <w:szCs w:val="4"/>
        </w:rPr>
      </w:r>
      <w:bookmarkStart w:id="3" w:name="Tc_wjBaUAuN1k-5kqgbPRnBjg_2_1"/>
      <w:bookmarkStart w:id="4" w:name="Tc_2uHZTXm-AUq3V6cl3VYd3w_0_1"/>
      <w:bookmarkStart w:id="5" w:name="_3686098e_700e_402f_aca5_708f1036acad"/>
      <w:bookmarkStart w:id="6" w:name="Tc_wjBaUAuN1k-5kqgbPRnBjg_2_1"/>
      <w:bookmarkStart w:id="7" w:name="Tc_2uHZTXm-AUq3V6cl3VYd3w_0_1"/>
      <w:bookmarkStart w:id="8" w:name="_3686098e_700e_402f_aca5_708f1036acad"/>
      <w:bookmarkEnd w:id="6"/>
      <w:bookmarkEnd w:id="7"/>
      <w:bookmarkEnd w:id="8"/>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QUARTERLY REPORT PURSUANT TO SECTION 13 OR 15(d) OF THE SECURITIES AND EXCHANGE ACT OF 1934</w:t>
            </w:r>
          </w:p>
        </w:tc>
      </w:tr>
      <w:tr>
        <w:trPr/>
        <w:tc>
          <w:tcPr>
            <w:tcW w:w="331" w:type="dxa"/>
            <w:tcBorders/>
            <w:shd w:fill="auto" w:val="clear"/>
            <w:vAlign w:val="center"/>
          </w:tcPr>
          <w:p>
            <w:pPr>
              <w:pStyle w:val="TableContents"/>
              <w:spacing w:before="0" w:after="240"/>
              <w:ind w:left="0" w:right="0" w:hanging="0"/>
              <w:rPr/>
            </w:pPr>
            <w:r>
              <w:rPr/>
              <w:t>​</w:t>
            </w:r>
          </w:p>
        </w:tc>
        <w:tc>
          <w:tcPr>
            <w:tcW w:w="9874" w:type="dxa"/>
            <w:tcBorders/>
            <w:shd w:fill="auto" w:val="clear"/>
            <w:vAlign w:val="center"/>
          </w:tcPr>
          <w:p>
            <w:pPr>
              <w:pStyle w:val="TableContents"/>
              <w:spacing w:before="0" w:after="240"/>
              <w:ind w:left="0" w:right="0" w:hanging="0"/>
              <w:rPr/>
            </w:pPr>
            <w:r>
              <w:rPr/>
              <w:t>​</w:t>
            </w:r>
          </w:p>
        </w:tc>
      </w:tr>
      <w:tr>
        <w:trPr/>
        <w:tc>
          <w:tcPr>
            <w:tcW w:w="331" w:type="dxa"/>
            <w:tcBorders/>
            <w:shd w:fill="auto" w:val="clear"/>
            <w:vAlign w:val="center"/>
          </w:tcPr>
          <w:p>
            <w:pPr>
              <w:pStyle w:val="TableContents"/>
              <w:spacing w:before="0" w:after="240"/>
              <w:ind w:left="0" w:right="0" w:hanging="0"/>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For the quarterly period ended March 31, 2023</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9" w:name="Tc_VBR4yx6CUE6ozTZb5JsoqQ_3_1"/>
      <w:bookmarkStart w:id="10" w:name="Tc_IpdIO5UTekyAekSqcJ6kWA_1_1"/>
      <w:bookmarkStart w:id="11" w:name="_2e915763_74e6_4785_9417_f193d4dd04bc"/>
      <w:bookmarkStart w:id="12" w:name="Tc_VBR4yx6CUE6ozTZb5JsoqQ_3_1"/>
      <w:bookmarkStart w:id="13" w:name="Tc_IpdIO5UTekyAekSqcJ6kWA_1_1"/>
      <w:bookmarkStart w:id="14" w:name="_2e915763_74e6_4785_9417_f193d4dd04bc"/>
      <w:bookmarkEnd w:id="12"/>
      <w:bookmarkEnd w:id="13"/>
      <w:bookmarkEnd w:id="14"/>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shd w:fill="auto" w:val="clear"/>
            <w:vAlign w:val="center"/>
          </w:tcPr>
          <w:p>
            <w:pPr>
              <w:pStyle w:val="TableContents"/>
              <w:spacing w:before="0" w:after="240"/>
              <w:ind w:left="0" w:right="0" w:hanging="0"/>
              <w:rPr/>
            </w:pPr>
            <w:r>
              <w:rPr/>
              <w:t>​</w:t>
            </w:r>
          </w:p>
        </w:tc>
        <w:tc>
          <w:tcPr>
            <w:tcW w:w="9874" w:type="dxa"/>
            <w:tcBorders/>
            <w:shd w:fill="auto" w:val="clear"/>
            <w:vAlign w:val="center"/>
          </w:tcPr>
          <w:p>
            <w:pPr>
              <w:pStyle w:val="TableContents"/>
              <w:spacing w:before="0" w:after="240"/>
              <w:ind w:left="0" w:right="0" w:hanging="0"/>
              <w:rPr/>
            </w:pPr>
            <w:r>
              <w:rPr/>
              <w:t>​</w:t>
            </w:r>
          </w:p>
        </w:tc>
      </w:tr>
      <w:tr>
        <w:trPr/>
        <w:tc>
          <w:tcPr>
            <w:tcW w:w="331" w:type="dxa"/>
            <w:tcBorders/>
            <w:shd w:fill="auto" w:val="clear"/>
            <w:vAlign w:val="center"/>
          </w:tcPr>
          <w:p>
            <w:pPr>
              <w:pStyle w:val="TableContents"/>
              <w:spacing w:before="0" w:after="240"/>
              <w:ind w:left="0" w:right="0" w:hanging="0"/>
              <w:rPr/>
            </w:pPr>
            <w:r>
              <w:rPr/>
              <w:t>​</w:t>
            </w:r>
          </w:p>
        </w:tc>
        <w:tc>
          <w:tcPr>
            <w:tcW w:w="9874"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spacing w:before="0" w:after="240"/>
        <w:ind w:left="0" w:right="0" w:hanging="0"/>
        <w:jc w:val="center"/>
        <w:rPr/>
      </w:pPr>
      <w:r>
        <w:rPr/>
        <w:t>​</w:t>
      </w:r>
    </w:p>
    <w:p>
      <w:pPr>
        <w:pStyle w:val="TextBody"/>
        <w:pBdr>
          <w:top w:val="single" w:sz="2" w:space="1" w:color="000000"/>
        </w:pBdr>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spacing w:before="0" w:after="240"/>
        <w:ind w:left="0" w:right="0" w:hanging="0"/>
        <w:jc w:val="center"/>
        <w:rPr/>
      </w:pPr>
      <w:r>
        <w:rPr/>
        <w:t>​</w:t>
      </w:r>
    </w:p>
    <w:p>
      <w:pPr>
        <w:pStyle w:val="TextBody"/>
        <w:pBdr>
          <w:top w:val="single" w:sz="2" w:space="1" w:color="000000"/>
        </w:pBdr>
        <w:spacing w:before="0" w:after="240"/>
        <w:ind w:left="0" w:right="0" w:hanging="0"/>
        <w:jc w:val="center"/>
        <w:rPr/>
      </w:pPr>
      <w:r>
        <w:rPr/>
        <w:t>​</w:t>
      </w:r>
    </w:p>
    <w:p>
      <w:pPr>
        <w:pStyle w:val="Normal"/>
        <w:spacing w:before="0" w:after="0"/>
        <w:rPr>
          <w:sz w:val="4"/>
          <w:szCs w:val="4"/>
        </w:rPr>
      </w:pPr>
      <w:r>
        <w:rPr>
          <w:sz w:val="4"/>
          <w:szCs w:val="4"/>
        </w:rPr>
      </w:r>
      <w:bookmarkStart w:id="15" w:name="Tc_pltz-994a0C-ywtro5opdg_2_2"/>
      <w:bookmarkStart w:id="16" w:name="Tc_J6SdfDc5G0uhvmZUrRnTwQ_2_0"/>
      <w:bookmarkStart w:id="17" w:name="_ab6b0fdd_ca48_4162_a11d_9c80f8b48fcb"/>
      <w:bookmarkStart w:id="18" w:name="Tc_pltz-994a0C-ywtro5opdg_2_2"/>
      <w:bookmarkStart w:id="19" w:name="Tc_J6SdfDc5G0uhvmZUrRnTwQ_2_0"/>
      <w:bookmarkStart w:id="20" w:name="_ab6b0fdd_ca48_4162_a11d_9c80f8b48fcb"/>
      <w:bookmarkEnd w:id="18"/>
      <w:bookmarkEnd w:id="19"/>
      <w:bookmarkEnd w:id="20"/>
    </w:p>
    <w:tbl>
      <w:tblPr>
        <w:tblW w:w="4693" w:type="dxa"/>
        <w:jc w:val="left"/>
        <w:tblInd w:w="0" w:type="dxa"/>
        <w:tblCellMar>
          <w:top w:w="0" w:type="dxa"/>
          <w:left w:w="0" w:type="dxa"/>
          <w:bottom w:w="0" w:type="dxa"/>
          <w:right w:w="0" w:type="dxa"/>
        </w:tblCellMar>
      </w:tblPr>
      <w:tblGrid>
        <w:gridCol w:w="2686"/>
        <w:gridCol w:w="326"/>
        <w:gridCol w:w="1681"/>
      </w:tblGrid>
      <w:tr>
        <w:trPr/>
        <w:tc>
          <w:tcPr>
            <w:tcW w:w="2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81" w:type="dxa"/>
            <w:tcBorders/>
            <w:shd w:fill="auto" w:val="clear"/>
            <w:vAlign w:val="center"/>
          </w:tcPr>
          <w:p>
            <w:pPr>
              <w:pStyle w:val="TableContents"/>
              <w:spacing w:before="0" w:after="0"/>
              <w:ind w:left="0" w:right="0" w:hanging="0"/>
              <w:rPr/>
            </w:pPr>
            <w:r>
              <w:rPr/>
              <w:t>​</w:t>
            </w:r>
          </w:p>
        </w:tc>
      </w:tr>
      <w:tr>
        <w:trPr/>
        <w:tc>
          <w:tcPr>
            <w:tcW w:w="268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shd w:fill="auto" w:val="clear"/>
            <w:vAlign w:val="center"/>
          </w:tcPr>
          <w:p>
            <w:pPr>
              <w:pStyle w:val="TableContents"/>
              <w:spacing w:before="0" w:after="0"/>
              <w:ind w:left="0" w:right="0" w:hanging="0"/>
              <w:rPr/>
            </w:pPr>
            <w:r>
              <w:rPr/>
              <w:t>    </w:t>
            </w:r>
          </w:p>
        </w:tc>
        <w:tc>
          <w:tcPr>
            <w:tcW w:w="168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686" w:type="dxa"/>
            <w:tcBorders/>
            <w:shd w:fill="auto" w:val="clear"/>
            <w:vAlign w:val="center"/>
          </w:tcPr>
          <w:p>
            <w:pPr>
              <w:pStyle w:val="TableContents"/>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26" w:type="dxa"/>
            <w:tcBorders/>
            <w:shd w:fill="auto" w:val="clear"/>
            <w:vAlign w:val="center"/>
          </w:tcPr>
          <w:p>
            <w:pPr>
              <w:pStyle w:val="TableContents"/>
              <w:spacing w:before="0" w:after="240"/>
              <w:ind w:left="0" w:right="0" w:hanging="0"/>
              <w:rPr/>
            </w:pPr>
            <w:r>
              <w:rPr/>
              <w:t>​</w:t>
            </w:r>
          </w:p>
        </w:tc>
        <w:tc>
          <w:tcPr>
            <w:tcW w:w="1681" w:type="dxa"/>
            <w:tcBorders/>
            <w:shd w:fill="auto" w:val="clear"/>
            <w:vAlign w:val="center"/>
          </w:tcPr>
          <w:p>
            <w:pPr>
              <w:pStyle w:val="TableContents"/>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240"/>
        <w:ind w:left="0" w:right="0" w:firstLine="720"/>
        <w:rPr/>
      </w:pPr>
      <w:r>
        <w:rPr/>
        <w:t>​</w:t>
      </w:r>
    </w:p>
    <w:p>
      <w:pPr>
        <w:pStyle w:val="Normal"/>
        <w:spacing w:before="0" w:after="0"/>
        <w:rPr>
          <w:sz w:val="4"/>
          <w:szCs w:val="4"/>
        </w:rPr>
      </w:pPr>
      <w:r>
        <w:rPr>
          <w:sz w:val="4"/>
          <w:szCs w:val="4"/>
        </w:rPr>
      </w:r>
      <w:bookmarkStart w:id="21" w:name="Tc_7JZ-_yrzDkOYBllYYFi8TQ_0_2"/>
      <w:bookmarkStart w:id="22" w:name="Tc_Wcwl3i7EgkmTMEIga_DLVQ_0_1"/>
      <w:bookmarkStart w:id="23" w:name="Tc_LrKyZSc_5kiSYFUMKn47QA_0_0"/>
      <w:bookmarkStart w:id="24" w:name="_e7d5e65e_9e52_4cbe_be02_5582863c8dcf"/>
      <w:bookmarkStart w:id="25" w:name="Tc_7JZ-_yrzDkOYBllYYFi8TQ_0_2"/>
      <w:bookmarkStart w:id="26" w:name="Tc_Wcwl3i7EgkmTMEIga_DLVQ_0_1"/>
      <w:bookmarkStart w:id="27" w:name="Tc_LrKyZSc_5kiSYFUMKn47QA_0_0"/>
      <w:bookmarkStart w:id="28" w:name="_e7d5e65e_9e52_4cbe_be02_5582863c8dcf"/>
      <w:bookmarkEnd w:id="25"/>
      <w:bookmarkEnd w:id="26"/>
      <w:bookmarkEnd w:id="27"/>
      <w:bookmarkEnd w:id="28"/>
    </w:p>
    <w:tbl>
      <w:tblPr>
        <w:tblW w:w="6168" w:type="dxa"/>
        <w:jc w:val="left"/>
        <w:tblInd w:w="0" w:type="dxa"/>
        <w:tblCellMar>
          <w:top w:w="28" w:type="dxa"/>
          <w:left w:w="28" w:type="dxa"/>
          <w:bottom w:w="28" w:type="dxa"/>
          <w:right w:w="28" w:type="dxa"/>
        </w:tblCellMar>
      </w:tblPr>
      <w:tblGrid>
        <w:gridCol w:w="1396"/>
        <w:gridCol w:w="1456"/>
        <w:gridCol w:w="3316"/>
      </w:tblGrid>
      <w:tr>
        <w:trPr/>
        <w:tc>
          <w:tcPr>
            <w:tcW w:w="139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spacing w:before="0" w:after="240"/>
        <w:ind w:left="0" w:right="0" w:firstLine="720"/>
        <w:rPr/>
      </w:pPr>
      <w:r>
        <w:rPr/>
        <w:t>​</w:t>
      </w:r>
    </w:p>
    <w:p>
      <w:pPr>
        <w:pStyle w:val="TextBody"/>
        <w:spacing w:before="0" w:after="240"/>
        <w:ind w:left="0" w:right="0" w:hanging="0"/>
        <w:jc w:val="center"/>
        <w:rPr/>
      </w:pPr>
      <w:r>
        <w:rPr/>
        <w:t>​</w:t>
      </w:r>
    </w:p>
    <w:p>
      <w:pPr>
        <w:pStyle w:val="TextBody"/>
        <w:spacing w:before="0" w:after="0"/>
        <w:ind w:left="0" w:right="0" w:hanging="0"/>
        <w:jc w:val="both"/>
        <w:rPr/>
      </w:pPr>
      <w:bookmarkStart w:id="29" w:name="_cp_table_9_2"/>
      <w:bookmarkEnd w:id="29"/>
      <w:r>
        <w:rPr>
          <w:u w:val="single"/>
        </w:rPr>
        <w:t>​ ​​ ​</w:t>
      </w: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spacing w:before="0" w:after="240"/>
        <w:ind w:left="0" w:right="0" w:firstLine="720"/>
        <w:rPr/>
      </w:pPr>
      <w:r>
        <w:rPr/>
        <w:t>​</w:t>
      </w:r>
    </w:p>
    <w:tbl>
      <w:tblPr>
        <w:tblW w:w="5623" w:type="dxa"/>
        <w:jc w:val="left"/>
        <w:tblInd w:w="0" w:type="dxa"/>
        <w:tblCellMar>
          <w:top w:w="0" w:type="dxa"/>
          <w:left w:w="0" w:type="dxa"/>
          <w:bottom w:w="0" w:type="dxa"/>
          <w:right w:w="0" w:type="dxa"/>
        </w:tblCellMar>
      </w:tblPr>
      <w:tblGrid>
        <w:gridCol w:w="2416"/>
        <w:gridCol w:w="326"/>
        <w:gridCol w:w="2881"/>
      </w:tblGrid>
      <w:tr>
        <w:trPr/>
        <w:tc>
          <w:tcPr>
            <w:tcW w:w="2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81" w:type="dxa"/>
            <w:tcBorders/>
            <w:shd w:fill="auto" w:val="clear"/>
            <w:vAlign w:val="center"/>
          </w:tcPr>
          <w:p>
            <w:pPr>
              <w:pStyle w:val="TableContents"/>
              <w:spacing w:before="0" w:after="0"/>
              <w:ind w:left="0" w:right="0" w:hanging="0"/>
              <w:rPr/>
            </w:pPr>
            <w:r>
              <w:rPr/>
              <w:t>​</w:t>
            </w:r>
          </w:p>
        </w:tc>
      </w:tr>
      <w:tr>
        <w:trPr/>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Large Accelerated Filer     ☒</w:t>
            </w:r>
          </w:p>
        </w:tc>
        <w:tc>
          <w:tcPr>
            <w:tcW w:w="326" w:type="dxa"/>
            <w:tcBorders/>
            <w:shd w:fill="auto" w:val="clear"/>
            <w:vAlign w:val="center"/>
          </w:tcPr>
          <w:p>
            <w:pPr>
              <w:pStyle w:val="TableContents"/>
              <w:spacing w:before="0" w:after="0"/>
              <w:ind w:left="0" w:right="0" w:hanging="0"/>
              <w:rPr/>
            </w:pPr>
            <w:r>
              <w:rPr/>
              <w:t>    </w:t>
            </w:r>
          </w:p>
        </w:tc>
        <w:tc>
          <w:tcPr>
            <w:tcW w:w="28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Non-accelerated Filer       ☐</w:t>
            </w:r>
          </w:p>
        </w:tc>
        <w:tc>
          <w:tcPr>
            <w:tcW w:w="326" w:type="dxa"/>
            <w:tcBorders/>
            <w:shd w:fill="auto" w:val="clear"/>
            <w:vAlign w:val="center"/>
          </w:tcPr>
          <w:p>
            <w:pPr>
              <w:pStyle w:val="TableContents"/>
              <w:spacing w:before="0" w:after="240"/>
              <w:ind w:left="0" w:right="0" w:hanging="0"/>
              <w:rPr/>
            </w:pPr>
            <w:r>
              <w:rPr/>
              <w:t>​</w:t>
            </w:r>
          </w:p>
        </w:tc>
        <w:tc>
          <w:tcPr>
            <w:tcW w:w="28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416" w:type="dxa"/>
            <w:tcBorders/>
            <w:shd w:fill="auto" w:val="clear"/>
            <w:vAlign w:val="center"/>
          </w:tcPr>
          <w:p>
            <w:pPr>
              <w:pStyle w:val="TableContents"/>
              <w:spacing w:before="0" w:after="240"/>
              <w:ind w:left="0" w:right="0" w:hanging="0"/>
              <w:rPr/>
            </w:pPr>
            <w:r>
              <w:rPr/>
              <w:t>​</w:t>
            </w:r>
          </w:p>
        </w:tc>
        <w:tc>
          <w:tcPr>
            <w:tcW w:w="326" w:type="dxa"/>
            <w:tcBorders/>
            <w:shd w:fill="auto" w:val="clear"/>
            <w:vAlign w:val="center"/>
          </w:tcPr>
          <w:p>
            <w:pPr>
              <w:pStyle w:val="TableContents"/>
              <w:spacing w:before="0" w:after="240"/>
              <w:ind w:left="0" w:right="0" w:hanging="0"/>
              <w:rPr/>
            </w:pPr>
            <w:r>
              <w:rPr/>
              <w:t>​</w:t>
            </w:r>
          </w:p>
        </w:tc>
        <w:tc>
          <w:tcPr>
            <w:tcW w:w="28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total number of shares of common stock outstanding as of May 1, 2023, was 30,726,036.</w:t>
      </w:r>
    </w:p>
    <w:p>
      <w:pPr>
        <w:pStyle w:val="TextBody"/>
        <w:spacing w:before="0" w:after="0"/>
        <w:ind w:left="0" w:right="0" w:hanging="0"/>
        <w:rPr/>
      </w:pPr>
      <w:r>
        <w:rPr/>
        <w:t>​</w:t>
      </w:r>
    </w:p>
    <w:p>
      <w:pPr>
        <w:pStyle w:val="TextBody"/>
        <w:pBdr>
          <w:top w:val="single" w:sz="8"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0" w:name="_3452c33b_2f1a_4adc_bcc4_13f480dac33e"/>
      <w:bookmarkEnd w:id="30"/>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CellMar>
          <w:top w:w="0" w:type="dxa"/>
          <w:left w:w="0" w:type="dxa"/>
          <w:bottom w:w="0" w:type="dxa"/>
          <w:right w:w="0" w:type="dxa"/>
        </w:tblCellMar>
      </w:tblPr>
      <w:tblGrid>
        <w:gridCol w:w="7936"/>
        <w:gridCol w:w="511"/>
      </w:tblGrid>
      <w:tr>
        <w:trPr/>
        <w:tc>
          <w:tcPr>
            <w:tcW w:w="7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0"/>
              <w:ind w:left="0" w:right="0" w:hanging="0"/>
              <w:rPr/>
            </w:pPr>
            <w:r>
              <w:rPr/>
              <w:t>​</w:t>
            </w:r>
          </w:p>
        </w:tc>
      </w:tr>
      <w:tr>
        <w:trPr/>
        <w:tc>
          <w:tcPr>
            <w:tcW w:w="7936" w:type="dxa"/>
            <w:tcBorders/>
            <w:shd w:fill="auto" w:val="cle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36" w:type="dxa"/>
            <w:tcBorders/>
            <w:shd w:fill="auto" w:val="clear"/>
            <w:vAlign w:val="center"/>
          </w:tcPr>
          <w:p>
            <w:pPr>
              <w:pStyle w:val="TableContents"/>
              <w:spacing w:before="0" w:after="0"/>
              <w:ind w:left="0" w:right="0" w:hanging="0"/>
              <w:rPr/>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9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40"/>
              <w:ind w:left="0" w:right="0" w:hanging="0"/>
              <w:jc w:val="right"/>
              <w:rPr/>
            </w:pPr>
            <w:r>
              <w:rPr/>
              <w:t>​</w:t>
            </w:r>
          </w:p>
        </w:tc>
      </w:tr>
      <w:tr>
        <w:trPr/>
        <w:tc>
          <w:tcPr>
            <w:tcW w:w="7936" w:type="dxa"/>
            <w:tcBorders/>
            <w:shd w:fill="auto" w:val="clear"/>
            <w:vAlign w:val="center"/>
          </w:tcPr>
          <w:p>
            <w:pPr>
              <w:pStyle w:val="TableContents"/>
              <w:spacing w:before="0" w:after="0"/>
              <w:ind w:left="0" w:right="0" w:hanging="0"/>
              <w:rPr/>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36" w:type="dxa"/>
            <w:tcBorders/>
            <w:shd w:fill="auto"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7936" w:type="dxa"/>
            <w:tcBorders/>
            <w:shd w:fill="auto"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shd w:fill="auto" w:val="clear"/>
            <w:vAlign w:val="center"/>
          </w:tcPr>
          <w:p>
            <w:pPr>
              <w:pStyle w:val="TableContents"/>
              <w:spacing w:before="0" w:after="0"/>
              <w:ind w:left="0" w:right="0" w:hanging="0"/>
              <w:rPr/>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40"/>
              <w:ind w:left="0" w:right="0" w:hanging="0"/>
              <w:jc w:val="right"/>
              <w:rPr/>
            </w:pPr>
            <w:r>
              <w:rPr/>
              <w:t>​</w:t>
            </w:r>
          </w:p>
        </w:tc>
      </w:tr>
      <w:tr>
        <w:trPr/>
        <w:tc>
          <w:tcPr>
            <w:tcW w:w="7936" w:type="dxa"/>
            <w:tcBorders/>
            <w:shd w:fill="auto" w:val="clear"/>
            <w:vAlign w:val="center"/>
          </w:tcPr>
          <w:p>
            <w:pPr>
              <w:pStyle w:val="TableContents"/>
              <w:spacing w:before="0" w:after="0"/>
              <w:ind w:left="0" w:right="0" w:hanging="0"/>
              <w:rPr/>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79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40"/>
              <w:ind w:left="0" w:right="0" w:hanging="0"/>
              <w:jc w:val="right"/>
              <w:rPr/>
            </w:pPr>
            <w:r>
              <w:rPr/>
              <w:t>​</w:t>
            </w:r>
          </w:p>
        </w:tc>
      </w:tr>
      <w:tr>
        <w:trPr/>
        <w:tc>
          <w:tcPr>
            <w:tcW w:w="7936" w:type="dxa"/>
            <w:tcBorders/>
            <w:shd w:fill="auto" w:val="clear"/>
            <w:vAlign w:val="center"/>
          </w:tcPr>
          <w:p>
            <w:pPr>
              <w:pStyle w:val="TableContents"/>
              <w:spacing w:before="0" w:after="0"/>
              <w:ind w:left="0" w:right="0" w:hanging="0"/>
              <w:rPr/>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shd w:fill="auto" w:val="clear"/>
            <w:vAlign w:val="center"/>
          </w:tcPr>
          <w:p>
            <w:pPr>
              <w:pStyle w:val="TableContents"/>
              <w:spacing w:before="0" w:after="0"/>
              <w:ind w:left="0" w:right="0" w:hanging="0"/>
              <w:rPr/>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7936" w:type="dxa"/>
            <w:tcBorders/>
            <w:shd w:fill="auto"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shd w:fill="auto" w:val="clear"/>
            <w:vAlign w:val="center"/>
          </w:tcPr>
          <w:p>
            <w:pPr>
              <w:pStyle w:val="TableContents"/>
              <w:spacing w:before="0" w:after="0"/>
              <w:ind w:left="0" w:right="0" w:hanging="0"/>
              <w:rPr/>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shd w:fill="auto" w:val="clear"/>
            <w:vAlign w:val="center"/>
          </w:tcPr>
          <w:p>
            <w:pPr>
              <w:pStyle w:val="TableContents"/>
              <w:spacing w:before="0" w:after="0"/>
              <w:ind w:left="0" w:right="0" w:hanging="0"/>
              <w:rPr/>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shd w:fill="auto" w:val="clear"/>
            <w:vAlign w:val="center"/>
          </w:tcPr>
          <w:p>
            <w:pPr>
              <w:pStyle w:val="TableContents"/>
              <w:spacing w:before="0" w:after="0"/>
              <w:ind w:left="0" w:right="0" w:hanging="0"/>
              <w:rPr/>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936" w:type="dxa"/>
            <w:tcBorders/>
            <w:shd w:fill="auto" w:val="clear"/>
            <w:vAlign w:val="center"/>
          </w:tcPr>
          <w:p>
            <w:pPr>
              <w:pStyle w:val="TableContents"/>
              <w:spacing w:before="0" w:after="0"/>
              <w:ind w:left="0" w:right="0" w:hanging="0"/>
              <w:rPr/>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7936" w:type="dxa"/>
            <w:tcBorders/>
            <w:shd w:fill="auto" w:val="clear"/>
            <w:vAlign w:val="center"/>
          </w:tcPr>
          <w:p>
            <w:pPr>
              <w:pStyle w:val="TableContents"/>
              <w:spacing w:before="0" w:after="0"/>
              <w:ind w:left="0" w:right="0" w:hanging="0"/>
              <w:rPr/>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40"/>
              <w:ind w:left="0" w:right="0" w:hanging="0"/>
              <w:jc w:val="right"/>
              <w:rPr/>
            </w:pPr>
            <w:r>
              <w:rPr/>
              <w:t>​</w:t>
            </w:r>
          </w:p>
        </w:tc>
      </w:tr>
      <w:tr>
        <w:trPr/>
        <w:tc>
          <w:tcPr>
            <w:tcW w:w="79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40"/>
              <w:ind w:left="0" w:right="0" w:hanging="0"/>
              <w:jc w:val="right"/>
              <w:rPr/>
            </w:pPr>
            <w:r>
              <w:rPr/>
              <w:t>​</w:t>
            </w:r>
          </w:p>
        </w:tc>
      </w:tr>
      <w:tr>
        <w:trPr/>
        <w:tc>
          <w:tcPr>
            <w:tcW w:w="79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40"/>
              <w:ind w:left="0" w:right="0" w:hanging="0"/>
              <w:jc w:val="right"/>
              <w:rPr/>
            </w:pPr>
            <w:r>
              <w:rPr/>
              <w:t>​</w:t>
            </w:r>
          </w:p>
        </w:tc>
      </w:tr>
      <w:tr>
        <w:trPr/>
        <w:tc>
          <w:tcPr>
            <w:tcW w:w="79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40"/>
              <w:ind w:left="0" w:right="0" w:hanging="0"/>
              <w:jc w:val="right"/>
              <w:rPr/>
            </w:pPr>
            <w:r>
              <w:rPr/>
              <w:t>​</w:t>
            </w:r>
          </w:p>
        </w:tc>
      </w:tr>
      <w:tr>
        <w:trPr/>
        <w:tc>
          <w:tcPr>
            <w:tcW w:w="79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40"/>
              <w:ind w:left="0" w:right="0" w:hanging="0"/>
              <w:jc w:val="right"/>
              <w:rPr/>
            </w:pPr>
            <w:r>
              <w:rPr/>
              <w:t>​</w:t>
            </w:r>
          </w:p>
        </w:tc>
      </w:tr>
      <w:tr>
        <w:trPr/>
        <w:tc>
          <w:tcPr>
            <w:tcW w:w="79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4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2" w:name="PARTIFINANCIALINFORMATION_228034"/>
      <w:bookmarkStart w:id="33" w:name="_bef2f7d8_4eec_4967_adf1_41c50c911ce8"/>
      <w:bookmarkEnd w:id="32"/>
      <w:bookmarkEnd w:id="33"/>
      <w:r>
        <w:rPr>
          <w:rFonts w:ascii="Times New Roman;Times;serif" w:hAnsi="Times New Roman;Times;serif"/>
          <w:b/>
          <w:sz w:val="20"/>
        </w:rPr>
        <w:t>PART I – FINANCIAL INFORMATION</w:t>
      </w:r>
    </w:p>
    <w:p>
      <w:pPr>
        <w:pStyle w:val="TextBody"/>
        <w:spacing w:before="0" w:after="240"/>
        <w:ind w:left="0" w:right="0" w:hanging="0"/>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spacing w:before="0" w:after="0"/>
        <w:rPr>
          <w:sz w:val="4"/>
          <w:szCs w:val="4"/>
        </w:rPr>
      </w:pPr>
      <w:r>
        <w:rPr>
          <w:sz w:val="4"/>
          <w:szCs w:val="4"/>
        </w:rPr>
      </w:r>
      <w:bookmarkStart w:id="35" w:name="Tc_EJ6HhIEjPk68W64RtLNllg_22_0"/>
      <w:bookmarkStart w:id="36" w:name="Tc_12ryYgZc6kKFAkFRuCPrIg_21_0"/>
      <w:bookmarkStart w:id="37" w:name="Tc_Y9K-goW29Um6g-5SEBk_Sw_20_5"/>
      <w:bookmarkStart w:id="38" w:name="Tc_pSQQSZn_QE6s3lmiIbv1hA_20_2"/>
      <w:bookmarkStart w:id="39" w:name="Tc_NaQAv1XUQEW5ECvsPoB1nw_20_0"/>
      <w:bookmarkStart w:id="40" w:name="Tc_rRmPhR09GE-fYMOMyVvTRA_19_5"/>
      <w:bookmarkStart w:id="41" w:name="Tc_mnvbz-RzuEi5Xuz3b93ytg_19_2"/>
      <w:bookmarkStart w:id="42" w:name="Tc_STxmNnErgEOvVSa_O2h5qw_19_0"/>
      <w:bookmarkStart w:id="43" w:name="Tc_J_4Tqkwc6UiMOgbJWxGXXw_18_0"/>
      <w:bookmarkStart w:id="44" w:name="Tc_5VDvz81agEunPF1Om96AXg_17_5"/>
      <w:bookmarkStart w:id="45" w:name="Tc_0FISm11PzUqp4d8WVBHnhA_17_2"/>
      <w:bookmarkStart w:id="46" w:name="Tc_JR7UGzey4kqQZABMwc1miA_17_0"/>
      <w:bookmarkStart w:id="47" w:name="Tc_-KGZGQDGMkGFWEKU3iVrEQ_16_0"/>
      <w:bookmarkStart w:id="48" w:name="Tc_ALkpF83qyUKUuO4LamIxoQ_15_0"/>
      <w:bookmarkStart w:id="49" w:name="Tc_tqDMxf8TTUmRpwGbyeVtRw_14_0"/>
      <w:bookmarkStart w:id="50" w:name="Tc_y_mIlykD8UaSYUSB2uyy-g_13_6"/>
      <w:bookmarkStart w:id="51" w:name="Tc_SLJZkE2lBkOrTat5fkAiVQ_13_0"/>
      <w:bookmarkStart w:id="52" w:name="Tc_NaKgiKnzTUqh4ZZXqDmBMg_12_0"/>
      <w:bookmarkStart w:id="53" w:name="Tc_qvah_bk_-0O8GoASdOy7Hw_11_0"/>
      <w:bookmarkStart w:id="54" w:name="Tc_qpLbd-T2zEGuITikFhvibQ_10_0"/>
      <w:bookmarkStart w:id="55" w:name="Tc_1VSxjIwC_kevdMu1wYFosQ_9_0"/>
      <w:bookmarkStart w:id="56" w:name="Tc_I3Zgfe_0CE6FQmLSgkdgAw_8_0"/>
      <w:bookmarkStart w:id="57" w:name="Tc_2naBtZDMY0m0kHW3DzCO4g_7_0"/>
      <w:bookmarkStart w:id="58" w:name="Tc_ssuFLeYi3UuyQvJGs6j7pg_6_0"/>
      <w:bookmarkStart w:id="59" w:name="Tc_nPeLulSy2EKTbTPYOspflw_5_0"/>
      <w:bookmarkStart w:id="60" w:name="Tc_E7Zgm7EgGUmeoMnkncYXyw_4_5"/>
      <w:bookmarkStart w:id="61" w:name="Tc_1sZ_m4a7B0ujZXHlXeI2fA_4_2"/>
      <w:bookmarkStart w:id="62" w:name="Tc_HaxfTOe5xEiY-LK6-NeIqg_4_0"/>
      <w:bookmarkStart w:id="63" w:name="Tc_XbYPotmhikGAZWO6bV06yw_3_5"/>
      <w:bookmarkStart w:id="64" w:name="Tc_kI_PpCUF1U-wexEaDOH1CA_3_2"/>
      <w:bookmarkStart w:id="65" w:name="Tc_PIBpPR1EykSa-S1kaurd1Q_3_0"/>
      <w:bookmarkStart w:id="66" w:name="Tc_nKIxRed3NUKecxN6R-r3lg_2_2"/>
      <w:bookmarkStart w:id="67" w:name="Tc_7x00mAtd80WYcifoEDVxJQ_1_2"/>
      <w:bookmarkStart w:id="68" w:name="_3eb421a5_33df_466a_80ca_91955d2e906a"/>
      <w:bookmarkStart w:id="69" w:name="Tc_EJ6HhIEjPk68W64RtLNllg_22_0"/>
      <w:bookmarkStart w:id="70" w:name="Tc_12ryYgZc6kKFAkFRuCPrIg_21_0"/>
      <w:bookmarkStart w:id="71" w:name="Tc_Y9K-goW29Um6g-5SEBk_Sw_20_5"/>
      <w:bookmarkStart w:id="72" w:name="Tc_pSQQSZn_QE6s3lmiIbv1hA_20_2"/>
      <w:bookmarkStart w:id="73" w:name="Tc_NaQAv1XUQEW5ECvsPoB1nw_20_0"/>
      <w:bookmarkStart w:id="74" w:name="Tc_rRmPhR09GE-fYMOMyVvTRA_19_5"/>
      <w:bookmarkStart w:id="75" w:name="Tc_mnvbz-RzuEi5Xuz3b93ytg_19_2"/>
      <w:bookmarkStart w:id="76" w:name="Tc_STxmNnErgEOvVSa_O2h5qw_19_0"/>
      <w:bookmarkStart w:id="77" w:name="Tc_J_4Tqkwc6UiMOgbJWxGXXw_18_0"/>
      <w:bookmarkStart w:id="78" w:name="Tc_5VDvz81agEunPF1Om96AXg_17_5"/>
      <w:bookmarkStart w:id="79" w:name="Tc_0FISm11PzUqp4d8WVBHnhA_17_2"/>
      <w:bookmarkStart w:id="80" w:name="Tc_JR7UGzey4kqQZABMwc1miA_17_0"/>
      <w:bookmarkStart w:id="81" w:name="Tc_-KGZGQDGMkGFWEKU3iVrEQ_16_0"/>
      <w:bookmarkStart w:id="82" w:name="Tc_ALkpF83qyUKUuO4LamIxoQ_15_0"/>
      <w:bookmarkStart w:id="83" w:name="Tc_tqDMxf8TTUmRpwGbyeVtRw_14_0"/>
      <w:bookmarkStart w:id="84" w:name="Tc_y_mIlykD8UaSYUSB2uyy-g_13_6"/>
      <w:bookmarkStart w:id="85" w:name="Tc_SLJZkE2lBkOrTat5fkAiVQ_13_0"/>
      <w:bookmarkStart w:id="86" w:name="Tc_NaKgiKnzTUqh4ZZXqDmBMg_12_0"/>
      <w:bookmarkStart w:id="87" w:name="Tc_qvah_bk_-0O8GoASdOy7Hw_11_0"/>
      <w:bookmarkStart w:id="88" w:name="Tc_qpLbd-T2zEGuITikFhvibQ_10_0"/>
      <w:bookmarkStart w:id="89" w:name="Tc_1VSxjIwC_kevdMu1wYFosQ_9_0"/>
      <w:bookmarkStart w:id="90" w:name="Tc_I3Zgfe_0CE6FQmLSgkdgAw_8_0"/>
      <w:bookmarkStart w:id="91" w:name="Tc_2naBtZDMY0m0kHW3DzCO4g_7_0"/>
      <w:bookmarkStart w:id="92" w:name="Tc_ssuFLeYi3UuyQvJGs6j7pg_6_0"/>
      <w:bookmarkStart w:id="93" w:name="Tc_nPeLulSy2EKTbTPYOspflw_5_0"/>
      <w:bookmarkStart w:id="94" w:name="Tc_E7Zgm7EgGUmeoMnkncYXyw_4_5"/>
      <w:bookmarkStart w:id="95" w:name="Tc_1sZ_m4a7B0ujZXHlXeI2fA_4_2"/>
      <w:bookmarkStart w:id="96" w:name="Tc_HaxfTOe5xEiY-LK6-NeIqg_4_0"/>
      <w:bookmarkStart w:id="97" w:name="Tc_XbYPotmhikGAZWO6bV06yw_3_5"/>
      <w:bookmarkStart w:id="98" w:name="Tc_kI_PpCUF1U-wexEaDOH1CA_3_2"/>
      <w:bookmarkStart w:id="99" w:name="Tc_PIBpPR1EykSa-S1kaurd1Q_3_0"/>
      <w:bookmarkStart w:id="100" w:name="Tc_nKIxRed3NUKecxN6R-r3lg_2_2"/>
      <w:bookmarkStart w:id="101" w:name="Tc_7x00mAtd80WYcifoEDVxJQ_1_2"/>
      <w:bookmarkStart w:id="102" w:name="_3eb421a5_33df_466a_80ca_91955d2e906a"/>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tbl>
      <w:tblPr>
        <w:tblW w:w="6713" w:type="dxa"/>
        <w:jc w:val="left"/>
        <w:tblInd w:w="0" w:type="dxa"/>
        <w:tblCellMar>
          <w:top w:w="0" w:type="dxa"/>
          <w:left w:w="0" w:type="dxa"/>
          <w:bottom w:w="0" w:type="dxa"/>
          <w:right w:w="0" w:type="dxa"/>
        </w:tblCellMar>
      </w:tblPr>
      <w:tblGrid>
        <w:gridCol w:w="3886"/>
        <w:gridCol w:w="146"/>
        <w:gridCol w:w="211"/>
        <w:gridCol w:w="781"/>
        <w:gridCol w:w="326"/>
        <w:gridCol w:w="211"/>
        <w:gridCol w:w="781"/>
        <w:gridCol w:w="371"/>
      </w:tblGrid>
      <w:tr>
        <w:trPr/>
        <w:tc>
          <w:tcPr>
            <w:tcW w:w="388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5935" cy="175260"/>
                      <wp:effectExtent l="0" t="0" r="0" b="0"/>
                      <wp:wrapNone/>
                      <wp:docPr id="7" name="Frame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35585" cy="175260"/>
                      <wp:effectExtent l="0" t="0" r="0" b="0"/>
                      <wp:wrapNone/>
                      <wp:docPr id="8" name="Frame8"/>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8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231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shd w:fill="auto" w:val="clear"/>
            <w:vAlign w:val="center"/>
          </w:tcPr>
          <w:p>
            <w:pPr>
              <w:pStyle w:val="TableContents"/>
              <w:spacing w:before="0" w:after="1"/>
              <w:ind w:left="0" w:right="0" w:hanging="0"/>
              <w:jc w:val="center"/>
              <w:rPr/>
            </w:pPr>
            <w:r>
              <w:rPr/>
              <w:t>​</w:t>
            </w:r>
          </w:p>
        </w:tc>
      </w:tr>
      <w:tr>
        <w:trPr/>
        <w:tc>
          <w:tcPr>
            <w:tcW w:w="388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shd w:fill="auto" w:val="clear"/>
            <w:vAlign w:val="center"/>
          </w:tcPr>
          <w:p>
            <w:pPr>
              <w:pStyle w:val="TableContents"/>
              <w:spacing w:before="0" w:after="1"/>
              <w:ind w:left="0" w:right="0" w:hanging="0"/>
              <w:jc w:val="center"/>
              <w:rPr/>
            </w:pPr>
            <w:r>
              <w:rPr/>
              <w:t>​</w:t>
            </w:r>
          </w:p>
        </w:tc>
      </w:tr>
      <w:tr>
        <w:trPr/>
        <w:tc>
          <w:tcPr>
            <w:tcW w:w="388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except per share data)</w:t>
            </w:r>
          </w:p>
        </w:tc>
        <w:tc>
          <w:tcPr>
            <w:tcW w:w="14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1"/>
              <w:ind w:left="0" w:right="0" w:hanging="0"/>
              <w:jc w:val="center"/>
              <w:rPr/>
            </w:pPr>
            <w:r>
              <w:rPr/>
              <w:t>    </w:t>
            </w:r>
          </w:p>
        </w:tc>
      </w:tr>
      <w:tr>
        <w:trPr/>
        <w:tc>
          <w:tcPr>
            <w:tcW w:w="388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Service revenue</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250,125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244,133</w:t>
            </w:r>
          </w:p>
        </w:tc>
        <w:tc>
          <w:tcPr>
            <w:tcW w:w="371" w:type="dxa"/>
            <w:tcBorders/>
            <w:shd w:fill="CCEEFF" w:val="clear"/>
            <w:vAlign w:val="center"/>
          </w:tcPr>
          <w:p>
            <w:pPr>
              <w:pStyle w:val="TableContents"/>
              <w:spacing w:before="0" w:after="1"/>
              <w:ind w:left="0" w:right="0" w:hanging="0"/>
              <w:rPr/>
            </w:pPr>
            <w:r>
              <w:rPr/>
              <w:t>​</w:t>
            </w:r>
          </w:p>
        </w:tc>
      </w:tr>
      <w:tr>
        <w:trPr/>
        <w:tc>
          <w:tcPr>
            <w:tcW w:w="388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Costs and expenses: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  </w:t>
            </w:r>
          </w:p>
        </w:tc>
        <w:tc>
          <w:tcPr>
            <w:tcW w:w="371" w:type="dxa"/>
            <w:tcBorders/>
            <w:shd w:fill="auto" w:val="clear"/>
            <w:vAlign w:val="center"/>
          </w:tcPr>
          <w:p>
            <w:pPr>
              <w:pStyle w:val="TableContents"/>
              <w:spacing w:before="0" w:after="1"/>
              <w:ind w:left="0" w:right="0" w:hanging="0"/>
              <w:rPr/>
            </w:pPr>
            <w:r>
              <w:rPr/>
              <w:t>​</w:t>
            </w:r>
          </w:p>
        </w:tc>
      </w:tr>
      <w:tr>
        <w:trPr/>
        <w:tc>
          <w:tcPr>
            <w:tcW w:w="38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37,512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36,306</w:t>
            </w:r>
          </w:p>
        </w:tc>
        <w:tc>
          <w:tcPr>
            <w:tcW w:w="371" w:type="dxa"/>
            <w:tcBorders/>
            <w:shd w:fill="CCEEFF" w:val="clear"/>
            <w:vAlign w:val="center"/>
          </w:tcPr>
          <w:p>
            <w:pPr>
              <w:pStyle w:val="TableContents"/>
              <w:spacing w:before="0" w:after="1"/>
              <w:ind w:left="0" w:right="0" w:hanging="0"/>
              <w:rPr/>
            </w:pPr>
            <w:r>
              <w:rPr/>
              <w:t>​</w:t>
            </w:r>
          </w:p>
        </w:tc>
      </w:tr>
      <w:tr>
        <w:trPr/>
        <w:tc>
          <w:tcPr>
            <w:tcW w:w="38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73,349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67,513</w:t>
            </w:r>
          </w:p>
        </w:tc>
        <w:tc>
          <w:tcPr>
            <w:tcW w:w="371" w:type="dxa"/>
            <w:tcBorders/>
            <w:shd w:fill="auto" w:val="clear"/>
            <w:vAlign w:val="center"/>
          </w:tcPr>
          <w:p>
            <w:pPr>
              <w:pStyle w:val="TableContents"/>
              <w:spacing w:before="0" w:after="1"/>
              <w:ind w:left="0" w:right="0" w:hanging="0"/>
              <w:rPr/>
            </w:pPr>
            <w:r>
              <w:rPr/>
              <w:t>​</w:t>
            </w:r>
          </w:p>
        </w:tc>
      </w:tr>
      <w:tr>
        <w:trPr/>
        <w:tc>
          <w:tcPr>
            <w:tcW w:w="38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52,894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50,851</w:t>
            </w:r>
          </w:p>
        </w:tc>
        <w:tc>
          <w:tcPr>
            <w:tcW w:w="371" w:type="dxa"/>
            <w:tcBorders/>
            <w:shd w:fill="CCEEFF" w:val="clear"/>
            <w:vAlign w:val="center"/>
          </w:tcPr>
          <w:p>
            <w:pPr>
              <w:pStyle w:val="TableContents"/>
              <w:spacing w:before="0" w:after="1"/>
              <w:ind w:left="0" w:right="0" w:hanging="0"/>
              <w:rPr/>
            </w:pPr>
            <w:r>
              <w:rPr/>
              <w:t>​</w:t>
            </w:r>
          </w:p>
        </w:tc>
      </w:tr>
      <w:tr>
        <w:trPr/>
        <w:tc>
          <w:tcPr>
            <w:tcW w:w="38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9,788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9,893</w:t>
            </w:r>
          </w:p>
        </w:tc>
        <w:tc>
          <w:tcPr>
            <w:tcW w:w="371" w:type="dxa"/>
            <w:tcBorders/>
            <w:shd w:fill="auto" w:val="clear"/>
            <w:vAlign w:val="center"/>
          </w:tcPr>
          <w:p>
            <w:pPr>
              <w:pStyle w:val="TableContents"/>
              <w:spacing w:before="0" w:after="1"/>
              <w:ind w:left="0" w:right="0" w:hanging="0"/>
              <w:rPr/>
            </w:pPr>
            <w:r>
              <w:rPr/>
              <w:t>​</w:t>
            </w:r>
          </w:p>
        </w:tc>
      </w:tr>
      <w:tr>
        <w:trPr/>
        <w:tc>
          <w:tcPr>
            <w:tcW w:w="38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intangible assets</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71" w:type="dxa"/>
            <w:tcBorders/>
            <w:shd w:fill="CCEEFF" w:val="clear"/>
            <w:vAlign w:val="center"/>
          </w:tcPr>
          <w:p>
            <w:pPr>
              <w:pStyle w:val="TableContents"/>
              <w:spacing w:before="0" w:after="1"/>
              <w:ind w:left="0" w:right="0" w:hanging="0"/>
              <w:rPr/>
            </w:pPr>
            <w:r>
              <w:rPr/>
              <w:t>​</w:t>
            </w:r>
          </w:p>
        </w:tc>
      </w:tr>
      <w:tr>
        <w:trPr/>
        <w:tc>
          <w:tcPr>
            <w:tcW w:w="388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costs and expenses</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175,648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166,668</w:t>
            </w:r>
          </w:p>
        </w:tc>
        <w:tc>
          <w:tcPr>
            <w:tcW w:w="371" w:type="dxa"/>
            <w:tcBorders/>
            <w:shd w:fill="auto" w:val="clear"/>
            <w:vAlign w:val="center"/>
          </w:tcPr>
          <w:p>
            <w:pPr>
              <w:pStyle w:val="TableContents"/>
              <w:spacing w:before="0" w:after="1"/>
              <w:ind w:left="0" w:right="0" w:hanging="0"/>
              <w:rPr/>
            </w:pPr>
            <w:r>
              <w:rPr/>
              <w:t>​</w:t>
            </w:r>
          </w:p>
        </w:tc>
      </w:tr>
      <w:tr>
        <w:trPr/>
        <w:tc>
          <w:tcPr>
            <w:tcW w:w="388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Operating income</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74,477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77,465</w:t>
            </w:r>
          </w:p>
        </w:tc>
        <w:tc>
          <w:tcPr>
            <w:tcW w:w="371" w:type="dxa"/>
            <w:tcBorders/>
            <w:shd w:fill="CCEEFF" w:val="clear"/>
            <w:vAlign w:val="center"/>
          </w:tcPr>
          <w:p>
            <w:pPr>
              <w:pStyle w:val="TableContents"/>
              <w:spacing w:before="0" w:after="1"/>
              <w:ind w:left="0" w:right="0" w:hanging="0"/>
              <w:rPr/>
            </w:pPr>
            <w:r>
              <w:rPr/>
              <w:t>​</w:t>
            </w:r>
          </w:p>
        </w:tc>
      </w:tr>
      <w:tr>
        <w:trPr/>
        <w:tc>
          <w:tcPr>
            <w:tcW w:w="38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c>
          <w:tcPr>
            <w:tcW w:w="371" w:type="dxa"/>
            <w:tcBorders/>
            <w:shd w:fill="auto" w:val="clear"/>
            <w:vAlign w:val="center"/>
          </w:tcPr>
          <w:p>
            <w:pPr>
              <w:pStyle w:val="TableContents"/>
              <w:spacing w:before="0" w:after="1"/>
              <w:ind w:left="0" w:right="0" w:hanging="0"/>
              <w:rPr/>
            </w:pPr>
            <w:r>
              <w:rPr/>
              <w:t>​</w:t>
            </w:r>
          </w:p>
        </w:tc>
      </w:tr>
      <w:tr>
        <w:trPr/>
        <w:tc>
          <w:tcPr>
            <w:tcW w:w="38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Investment interest and other</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71" w:type="dxa"/>
            <w:tcBorders/>
            <w:shd w:fill="CCEEFF" w:val="clear"/>
            <w:vAlign w:val="center"/>
          </w:tcPr>
          <w:p>
            <w:pPr>
              <w:pStyle w:val="TableContents"/>
              <w:spacing w:before="0" w:after="1"/>
              <w:ind w:left="0" w:right="0" w:hanging="0"/>
              <w:rPr/>
            </w:pPr>
            <w:r>
              <w:rPr/>
              <w:t>​</w:t>
            </w:r>
          </w:p>
        </w:tc>
      </w:tr>
      <w:tr>
        <w:trPr/>
        <w:tc>
          <w:tcPr>
            <w:tcW w:w="388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Income before income taxes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76,611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77,670</w:t>
            </w:r>
          </w:p>
        </w:tc>
        <w:tc>
          <w:tcPr>
            <w:tcW w:w="371" w:type="dxa"/>
            <w:tcBorders/>
            <w:shd w:fill="auto" w:val="clear"/>
            <w:vAlign w:val="center"/>
          </w:tcPr>
          <w:p>
            <w:pPr>
              <w:pStyle w:val="TableContents"/>
              <w:spacing w:before="0" w:after="1"/>
              <w:ind w:left="0" w:right="0" w:hanging="0"/>
              <w:rPr/>
            </w:pPr>
            <w:r>
              <w:rPr/>
              <w:t>​</w:t>
            </w:r>
          </w:p>
        </w:tc>
      </w:tr>
      <w:tr>
        <w:trPr/>
        <w:tc>
          <w:tcPr>
            <w:tcW w:w="38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17,047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19,592</w:t>
            </w:r>
          </w:p>
        </w:tc>
        <w:tc>
          <w:tcPr>
            <w:tcW w:w="371" w:type="dxa"/>
            <w:tcBorders/>
            <w:shd w:fill="CCEEFF" w:val="clear"/>
            <w:vAlign w:val="center"/>
          </w:tcPr>
          <w:p>
            <w:pPr>
              <w:pStyle w:val="TableContents"/>
              <w:spacing w:before="0" w:after="1"/>
              <w:ind w:left="0" w:right="0" w:hanging="0"/>
              <w:rPr/>
            </w:pPr>
            <w:r>
              <w:rPr/>
              <w:t>​</w:t>
            </w:r>
          </w:p>
        </w:tc>
      </w:tr>
      <w:tr>
        <w:trPr/>
        <w:tc>
          <w:tcPr>
            <w:tcW w:w="388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income</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59,564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58,078</w:t>
            </w:r>
          </w:p>
        </w:tc>
        <w:tc>
          <w:tcPr>
            <w:tcW w:w="371" w:type="dxa"/>
            <w:tcBorders/>
            <w:shd w:fill="auto" w:val="clear"/>
            <w:vAlign w:val="center"/>
          </w:tcPr>
          <w:p>
            <w:pPr>
              <w:pStyle w:val="TableContents"/>
              <w:spacing w:before="0" w:after="1"/>
              <w:ind w:left="0" w:right="0" w:hanging="0"/>
              <w:rPr/>
            </w:pPr>
            <w:r>
              <w:rPr/>
              <w:t>​</w:t>
            </w:r>
          </w:p>
        </w:tc>
      </w:tr>
      <w:tr>
        <w:trPr/>
        <w:tc>
          <w:tcPr>
            <w:tcW w:w="388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Earnings per share:</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71" w:type="dxa"/>
            <w:tcBorders/>
            <w:shd w:fill="CCEEFF" w:val="clear"/>
            <w:vAlign w:val="center"/>
          </w:tcPr>
          <w:p>
            <w:pPr>
              <w:pStyle w:val="TableContents"/>
              <w:spacing w:before="0" w:after="1"/>
              <w:ind w:left="0" w:right="0" w:hanging="0"/>
              <w:rPr/>
            </w:pPr>
            <w:r>
              <w:rPr/>
              <w:t>​</w:t>
            </w:r>
          </w:p>
        </w:tc>
      </w:tr>
      <w:tr>
        <w:trPr/>
        <w:tc>
          <w:tcPr>
            <w:tcW w:w="388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Basic income per share</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71" w:type="dxa"/>
            <w:tcBorders/>
            <w:shd w:fill="auto" w:val="clear"/>
            <w:vAlign w:val="center"/>
          </w:tcPr>
          <w:p>
            <w:pPr>
              <w:pStyle w:val="TableContents"/>
              <w:spacing w:before="0" w:after="1"/>
              <w:ind w:left="0" w:right="0" w:hanging="0"/>
              <w:rPr/>
            </w:pPr>
            <w:r>
              <w:rPr/>
              <w:t>​</w:t>
            </w:r>
          </w:p>
        </w:tc>
      </w:tr>
      <w:tr>
        <w:trPr/>
        <w:tc>
          <w:tcPr>
            <w:tcW w:w="388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Diluted income per share</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71" w:type="dxa"/>
            <w:tcBorders/>
            <w:shd w:fill="CCEEFF" w:val="clear"/>
            <w:vAlign w:val="center"/>
          </w:tcPr>
          <w:p>
            <w:pPr>
              <w:pStyle w:val="TableContents"/>
              <w:spacing w:before="0" w:after="1"/>
              <w:ind w:left="0" w:right="0" w:hanging="0"/>
              <w:rPr/>
            </w:pPr>
            <w:r>
              <w:rPr/>
              <w:t>​</w:t>
            </w:r>
          </w:p>
        </w:tc>
      </w:tr>
      <w:tr>
        <w:trPr/>
        <w:tc>
          <w:tcPr>
            <w:tcW w:w="388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Basic weighted average shares outstanding</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30,461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34,806</w:t>
            </w:r>
          </w:p>
        </w:tc>
        <w:tc>
          <w:tcPr>
            <w:tcW w:w="371" w:type="dxa"/>
            <w:tcBorders/>
            <w:shd w:fill="auto" w:val="clear"/>
            <w:vAlign w:val="center"/>
          </w:tcPr>
          <w:p>
            <w:pPr>
              <w:pStyle w:val="TableContents"/>
              <w:spacing w:before="0" w:after="1"/>
              <w:ind w:left="0" w:right="0" w:hanging="0"/>
              <w:rPr/>
            </w:pPr>
            <w:r>
              <w:rPr/>
              <w:t>​</w:t>
            </w:r>
          </w:p>
        </w:tc>
      </w:tr>
      <w:tr>
        <w:trPr/>
        <w:tc>
          <w:tcPr>
            <w:tcW w:w="388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Diluted weighted average shares outstanding</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30,638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34,901</w:t>
            </w:r>
          </w:p>
        </w:tc>
        <w:tc>
          <w:tcPr>
            <w:tcW w:w="371"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03" w:name="_d900b1ee_f5c4_4b50_8f90_da022db08351"/>
      <w:bookmarkEnd w:id="103"/>
      <w:r>
        <w:rPr>
          <w:rFonts w:ascii="Times New Roman;Times;serif" w:hAnsi="Times New Roman;Times;serif"/>
          <w:b/>
          <w:sz w:val="20"/>
        </w:rPr>
        <w:t>GRAND CANYON EDUCATION, INC.</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spacing w:before="0" w:after="0"/>
        <w:rPr>
          <w:sz w:val="4"/>
          <w:szCs w:val="4"/>
        </w:rPr>
      </w:pPr>
      <w:r>
        <w:rPr>
          <w:sz w:val="4"/>
          <w:szCs w:val="4"/>
        </w:rPr>
      </w:r>
      <w:bookmarkStart w:id="104" w:name="Tc_9AAjljFRfkKyDrTrdrEXBg_40_5"/>
      <w:bookmarkStart w:id="105" w:name="Tc_g6fHxZ-rnUydKcabDsCWVQ_40_2"/>
      <w:bookmarkStart w:id="106" w:name="Tc_KUyYIJ2udkWQ48rcxPhnxw_40_0"/>
      <w:bookmarkStart w:id="107" w:name="Tc_FlHJkf39VEaTjY3SFCCYgw_39_0"/>
      <w:bookmarkStart w:id="108" w:name="Tc_JCalgwVFLUqclIIaOR2-XA_38_0"/>
      <w:bookmarkStart w:id="109" w:name="Tc_YTA_9J4A_UW_2BlkPpUzGQ_37_0"/>
      <w:bookmarkStart w:id="110" w:name="Tc_PRHPlwlEz0iX2uadVdBrTg_36_0"/>
      <w:bookmarkStart w:id="111" w:name="Tc_Kc9sg8PKgkag6XZM06ULMw_35_0"/>
      <w:bookmarkStart w:id="112" w:name="Tc_8uxdgZQ2SkOEq0OnU_vQZQ_34_0"/>
      <w:bookmarkStart w:id="113" w:name="Tc_9pjH5uKA-kywsWwObM_TlA_33_6"/>
      <w:bookmarkStart w:id="114" w:name="Tc_UUx0Uv7M7Uax1ODqsbQ1dA_33_3"/>
      <w:bookmarkStart w:id="115" w:name="_3e1205f2_cf66_4f9a_a8cf_44970069bf54_3"/>
      <w:bookmarkStart w:id="116" w:name="_3e1205f2_cf66_4f9a_a8cf_44970069bf54_2"/>
      <w:bookmarkStart w:id="117" w:name="_3e1205f2_cf66_4f9a_a8cf_44970069bf54"/>
      <w:bookmarkStart w:id="118" w:name="Tc_S5uIMwwxjkecw9P1aIDEtw_33_0"/>
      <w:bookmarkStart w:id="119" w:name="Tc_ee5M95xkZkqVzJlHluPWkA_32_0"/>
      <w:bookmarkStart w:id="120" w:name="Tc_yz5iYeGOfEO-Q8RxjVs59Q_31_0"/>
      <w:bookmarkStart w:id="121" w:name="Tc_2w8RSF11YUORSQ47oQqblA_30_0"/>
      <w:bookmarkStart w:id="122" w:name="Tc_ZK3gxbG55Ea6Sa5q5g3usQ_29_0"/>
      <w:bookmarkStart w:id="123" w:name="Tc_cxT2-fMc1k2FOk38d3j32A_28_0"/>
      <w:bookmarkStart w:id="124" w:name="Tc_9uNY8_SO7Eye1dpFrEZRVg_27_0"/>
      <w:bookmarkStart w:id="125" w:name="Tc_vvZoNww2G0mo21xcnne2qw_26_0"/>
      <w:bookmarkStart w:id="126" w:name="Tc_EHAOGdtSaUeCGZQTt93Ukw_25_0"/>
      <w:bookmarkStart w:id="127" w:name="Tc_MyoT7kEF3Ui0rV2qPybKsw_24_6"/>
      <w:bookmarkStart w:id="128" w:name="Tc_EJTEsymrPkyqR0c301aYRA_24_0"/>
      <w:bookmarkStart w:id="129" w:name="Tc__Q2YDB7cUEWs456tetmqag_23_0"/>
      <w:bookmarkStart w:id="130" w:name="Tc_msAoRugG90ulLaPCL1EwNQ_22_0"/>
      <w:bookmarkStart w:id="131" w:name="Tc_Ly2tI-Avy06Ied292TR9Iw_21_0"/>
      <w:bookmarkStart w:id="132" w:name="Tc_yWKcEO3p9kOyVQ9n_xqtug_20_5"/>
      <w:bookmarkStart w:id="133" w:name="Tc_JZ1q3W5w8kuSkVc1MOKrqg_20_2"/>
      <w:bookmarkStart w:id="134" w:name="Tc_rn_G5iUPNE6iNM-3eMo-vA_20_0"/>
      <w:bookmarkStart w:id="135" w:name="Tc_Of7ZqKvhK0G1gx2lTsHTcg_19_0"/>
      <w:bookmarkStart w:id="136" w:name="Tc_U6FcfBn8GE2XcqKhdGN17g_18_0"/>
      <w:bookmarkStart w:id="137" w:name="Tc__q2W_cTJdkeZqiITnaWC9Q_17_5"/>
      <w:bookmarkStart w:id="138" w:name="Tc_8vZXlElygUmIKqcDMbS2pg_17_2"/>
      <w:bookmarkStart w:id="139" w:name="Tc_ZTHRZ-v8t0K_twGJrA_4gQ_17_0"/>
      <w:bookmarkStart w:id="140" w:name="Tc_3MCK5UoQv0GCdcjQi_P87Q_16_0"/>
      <w:bookmarkStart w:id="141" w:name="Tc_84LmLGezWkabnrWeCKUFcg_15_0"/>
      <w:bookmarkStart w:id="142" w:name="Tc_fzfFFIZqfUGDnsqC_7QbDg_14_0"/>
      <w:bookmarkStart w:id="143" w:name="Tc_jJLYSmdznkemmn35OF6z6g_13_0"/>
      <w:bookmarkStart w:id="144" w:name="Tc_gLYzC0_dUEygDfKDi62wCA_12_0"/>
      <w:bookmarkStart w:id="145" w:name="Tc_501ZOc9Ebkad8ObnTAdMwg_11_0"/>
      <w:bookmarkStart w:id="146" w:name="Tc_Lh-QszihcUe9vuD1j2VrdA_10_0"/>
      <w:bookmarkStart w:id="147" w:name="Tc_sPfxdt61xE-SFMvGbHX-wQ_9_0"/>
      <w:bookmarkStart w:id="148" w:name="Tc_B62B67b-GkCuKUk9nFMxSw_8_0"/>
      <w:bookmarkStart w:id="149" w:name="Tc_BVJHI8TASkmZudct6caDeg_7_0"/>
      <w:bookmarkStart w:id="150" w:name="Tc_mFh5RxEMjk60eBCR5VzT8A_6_5"/>
      <w:bookmarkStart w:id="151" w:name="Tc_hCpxUwkuE02eKAxLhCRb6Q_6_2"/>
      <w:bookmarkStart w:id="152" w:name="Tc_mAnaNy8IB02yF4jQ2vx0Qw_6_0"/>
      <w:bookmarkStart w:id="153" w:name="Tc_KR2L-dQJH0GiSslOzTnakA_5_0"/>
      <w:bookmarkStart w:id="154" w:name="Tc_p9LSehIr4EKyFZQWq0HArg_4_0"/>
      <w:bookmarkStart w:id="155" w:name="Tc_ANjTyPtXB0-fudp12WbSYg_3_2"/>
      <w:bookmarkStart w:id="156" w:name="Tc_nQ-NE8Kfn0mzWOsrZE7rlQ_2_5"/>
      <w:bookmarkStart w:id="157" w:name="Tc_ne-0i3DaOUW_8McdL2anEA_2_2"/>
      <w:bookmarkStart w:id="158" w:name="Tc_W6atqO-D7ECFc83Es4OHyg_2_0"/>
      <w:bookmarkStart w:id="159" w:name="Tc_7eGnLd3HS0-7FK_tm3IEYg_1_5"/>
      <w:bookmarkStart w:id="160" w:name="Tc_XZcuExg-3UeBEax0IlHxCg_1_2"/>
      <w:bookmarkStart w:id="161" w:name="_6c3c0cba_dd8e_483d_ae5e_303dce73d637"/>
      <w:bookmarkStart w:id="162" w:name="Tc_9AAjljFRfkKyDrTrdrEXBg_40_5"/>
      <w:bookmarkStart w:id="163" w:name="Tc_g6fHxZ-rnUydKcabDsCWVQ_40_2"/>
      <w:bookmarkStart w:id="164" w:name="Tc_KUyYIJ2udkWQ48rcxPhnxw_40_0"/>
      <w:bookmarkStart w:id="165" w:name="Tc_FlHJkf39VEaTjY3SFCCYgw_39_0"/>
      <w:bookmarkStart w:id="166" w:name="Tc_JCalgwVFLUqclIIaOR2-XA_38_0"/>
      <w:bookmarkStart w:id="167" w:name="Tc_YTA_9J4A_UW_2BlkPpUzGQ_37_0"/>
      <w:bookmarkStart w:id="168" w:name="Tc_PRHPlwlEz0iX2uadVdBrTg_36_0"/>
      <w:bookmarkStart w:id="169" w:name="Tc_Kc9sg8PKgkag6XZM06ULMw_35_0"/>
      <w:bookmarkStart w:id="170" w:name="Tc_8uxdgZQ2SkOEq0OnU_vQZQ_34_0"/>
      <w:bookmarkStart w:id="171" w:name="Tc_9pjH5uKA-kywsWwObM_TlA_33_6"/>
      <w:bookmarkStart w:id="172" w:name="Tc_UUx0Uv7M7Uax1ODqsbQ1dA_33_3"/>
      <w:bookmarkStart w:id="173" w:name="_3e1205f2_cf66_4f9a_a8cf_44970069bf54_3"/>
      <w:bookmarkStart w:id="174" w:name="_3e1205f2_cf66_4f9a_a8cf_44970069bf54_2"/>
      <w:bookmarkStart w:id="175" w:name="_3e1205f2_cf66_4f9a_a8cf_44970069bf54"/>
      <w:bookmarkStart w:id="176" w:name="Tc_S5uIMwwxjkecw9P1aIDEtw_33_0"/>
      <w:bookmarkStart w:id="177" w:name="Tc_ee5M95xkZkqVzJlHluPWkA_32_0"/>
      <w:bookmarkStart w:id="178" w:name="Tc_yz5iYeGOfEO-Q8RxjVs59Q_31_0"/>
      <w:bookmarkStart w:id="179" w:name="Tc_2w8RSF11YUORSQ47oQqblA_30_0"/>
      <w:bookmarkStart w:id="180" w:name="Tc_ZK3gxbG55Ea6Sa5q5g3usQ_29_0"/>
      <w:bookmarkStart w:id="181" w:name="Tc_cxT2-fMc1k2FOk38d3j32A_28_0"/>
      <w:bookmarkStart w:id="182" w:name="Tc_9uNY8_SO7Eye1dpFrEZRVg_27_0"/>
      <w:bookmarkStart w:id="183" w:name="Tc_vvZoNww2G0mo21xcnne2qw_26_0"/>
      <w:bookmarkStart w:id="184" w:name="Tc_EHAOGdtSaUeCGZQTt93Ukw_25_0"/>
      <w:bookmarkStart w:id="185" w:name="Tc_MyoT7kEF3Ui0rV2qPybKsw_24_6"/>
      <w:bookmarkStart w:id="186" w:name="Tc_EJTEsymrPkyqR0c301aYRA_24_0"/>
      <w:bookmarkStart w:id="187" w:name="Tc__Q2YDB7cUEWs456tetmqag_23_0"/>
      <w:bookmarkStart w:id="188" w:name="Tc_msAoRugG90ulLaPCL1EwNQ_22_0"/>
      <w:bookmarkStart w:id="189" w:name="Tc_Ly2tI-Avy06Ied292TR9Iw_21_0"/>
      <w:bookmarkStart w:id="190" w:name="Tc_yWKcEO3p9kOyVQ9n_xqtug_20_5"/>
      <w:bookmarkStart w:id="191" w:name="Tc_JZ1q3W5w8kuSkVc1MOKrqg_20_2"/>
      <w:bookmarkStart w:id="192" w:name="Tc_rn_G5iUPNE6iNM-3eMo-vA_20_0"/>
      <w:bookmarkStart w:id="193" w:name="Tc_Of7ZqKvhK0G1gx2lTsHTcg_19_0"/>
      <w:bookmarkStart w:id="194" w:name="Tc_U6FcfBn8GE2XcqKhdGN17g_18_0"/>
      <w:bookmarkStart w:id="195" w:name="Tc__q2W_cTJdkeZqiITnaWC9Q_17_5"/>
      <w:bookmarkStart w:id="196" w:name="Tc_8vZXlElygUmIKqcDMbS2pg_17_2"/>
      <w:bookmarkStart w:id="197" w:name="Tc_ZTHRZ-v8t0K_twGJrA_4gQ_17_0"/>
      <w:bookmarkStart w:id="198" w:name="Tc_3MCK5UoQv0GCdcjQi_P87Q_16_0"/>
      <w:bookmarkStart w:id="199" w:name="Tc_84LmLGezWkabnrWeCKUFcg_15_0"/>
      <w:bookmarkStart w:id="200" w:name="Tc_fzfFFIZqfUGDnsqC_7QbDg_14_0"/>
      <w:bookmarkStart w:id="201" w:name="Tc_jJLYSmdznkemmn35OF6z6g_13_0"/>
      <w:bookmarkStart w:id="202" w:name="Tc_gLYzC0_dUEygDfKDi62wCA_12_0"/>
      <w:bookmarkStart w:id="203" w:name="Tc_501ZOc9Ebkad8ObnTAdMwg_11_0"/>
      <w:bookmarkStart w:id="204" w:name="Tc_Lh-QszihcUe9vuD1j2VrdA_10_0"/>
      <w:bookmarkStart w:id="205" w:name="Tc_sPfxdt61xE-SFMvGbHX-wQ_9_0"/>
      <w:bookmarkStart w:id="206" w:name="Tc_B62B67b-GkCuKUk9nFMxSw_8_0"/>
      <w:bookmarkStart w:id="207" w:name="Tc_BVJHI8TASkmZudct6caDeg_7_0"/>
      <w:bookmarkStart w:id="208" w:name="Tc_mFh5RxEMjk60eBCR5VzT8A_6_5"/>
      <w:bookmarkStart w:id="209" w:name="Tc_hCpxUwkuE02eKAxLhCRb6Q_6_2"/>
      <w:bookmarkStart w:id="210" w:name="Tc_mAnaNy8IB02yF4jQ2vx0Qw_6_0"/>
      <w:bookmarkStart w:id="211" w:name="Tc_KR2L-dQJH0GiSslOzTnakA_5_0"/>
      <w:bookmarkStart w:id="212" w:name="Tc_p9LSehIr4EKyFZQWq0HArg_4_0"/>
      <w:bookmarkStart w:id="213" w:name="Tc_ANjTyPtXB0-fudp12WbSYg_3_2"/>
      <w:bookmarkStart w:id="214" w:name="Tc_nQ-NE8Kfn0mzWOsrZE7rlQ_2_5"/>
      <w:bookmarkStart w:id="215" w:name="Tc_ne-0i3DaOUW_8McdL2anEA_2_2"/>
      <w:bookmarkStart w:id="216" w:name="Tc_W6atqO-D7ECFc83Es4OHyg_2_0"/>
      <w:bookmarkStart w:id="217" w:name="Tc_7eGnLd3HS0-7FK_tm3IEYg_1_5"/>
      <w:bookmarkStart w:id="218" w:name="Tc_XZcuExg-3UeBEax0IlHxCg_1_2"/>
      <w:bookmarkStart w:id="219" w:name="_6c3c0cba_dd8e_483d_ae5e_303dce73d637"/>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tbl>
      <w:tblPr>
        <w:tblW w:w="10205" w:type="dxa"/>
        <w:jc w:val="left"/>
        <w:tblInd w:w="0" w:type="dxa"/>
        <w:tblCellMar>
          <w:top w:w="0" w:type="dxa"/>
          <w:left w:w="0" w:type="dxa"/>
          <w:bottom w:w="0" w:type="dxa"/>
          <w:right w:w="0" w:type="dxa"/>
        </w:tblCellMar>
      </w:tblPr>
      <w:tblGrid>
        <w:gridCol w:w="7237"/>
        <w:gridCol w:w="146"/>
        <w:gridCol w:w="211"/>
        <w:gridCol w:w="1014"/>
        <w:gridCol w:w="326"/>
        <w:gridCol w:w="211"/>
        <w:gridCol w:w="1060"/>
      </w:tblGrid>
      <w:tr>
        <w:trPr/>
        <w:tc>
          <w:tcPr>
            <w:tcW w:w="7237"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1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60" w:type="dxa"/>
            <w:tcBorders/>
            <w:shd w:fill="auto" w:val="clear"/>
            <w:vAlign w:val="center"/>
          </w:tcPr>
          <w:p>
            <w:pPr>
              <w:pStyle w:val="TableContents"/>
              <w:spacing w:before="0" w:after="1"/>
              <w:ind w:left="0" w:right="0" w:hanging="0"/>
              <w:rPr/>
            </w:pPr>
            <w:r>
              <w:rPr/>
              <w:t>​</w:t>
            </w:r>
          </w:p>
        </w:tc>
      </w:tr>
      <w:tr>
        <w:trPr/>
        <w:tc>
          <w:tcPr>
            <w:tcW w:w="7237" w:type="dxa"/>
            <w:tcBorders/>
            <w:shd w:fill="auto" w:val="clear"/>
            <w:vAlign w:val="center"/>
          </w:tcPr>
          <w:p>
            <w:pPr>
              <w:pStyle w:val="TableContents"/>
              <w:spacing w:before="0" w:after="1"/>
              <w:ind w:left="0" w:right="0" w:hanging="0"/>
              <w:jc w:val="center"/>
              <w:rPr/>
            </w:pPr>
            <w:r>
              <w:rPr/>
              <w:t>​</w:t>
            </w:r>
          </w:p>
        </w:tc>
        <w:tc>
          <w:tcPr>
            <w:tcW w:w="146" w:type="dxa"/>
            <w:tcBorders/>
            <w:shd w:fill="auto" w:val="clear"/>
            <w:vAlign w:val="center"/>
          </w:tcPr>
          <w:p>
            <w:pPr>
              <w:pStyle w:val="TableContents"/>
              <w:spacing w:before="0" w:after="1"/>
              <w:ind w:left="0" w:right="0" w:hanging="0"/>
              <w:rPr/>
            </w:pPr>
            <w:r>
              <w:rPr/>
              <w:t>​</w:t>
            </w:r>
          </w:p>
        </w:tc>
        <w:tc>
          <w:tcPr>
            <w:tcW w:w="122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jc w:val="center"/>
              <w:rPr/>
            </w:pPr>
            <w:r>
              <w:rPr/>
              <w:t>    </w:t>
            </w:r>
          </w:p>
        </w:tc>
        <w:tc>
          <w:tcPr>
            <w:tcW w:w="12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3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shd w:fill="auto" w:val="clear"/>
            <w:vAlign w:val="center"/>
          </w:tcPr>
          <w:p>
            <w:pPr>
              <w:pStyle w:val="TableContents"/>
              <w:spacing w:before="0" w:after="1"/>
              <w:ind w:left="0" w:right="0" w:hanging="0"/>
              <w:rPr/>
            </w:pPr>
            <w:r>
              <w:rPr/>
              <w:t> </w:t>
            </w:r>
          </w:p>
        </w:tc>
        <w:tc>
          <w:tcPr>
            <w:tcW w:w="122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w:t>
            </w:r>
          </w:p>
        </w:tc>
        <w:tc>
          <w:tcPr>
            <w:tcW w:w="12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37"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22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1060" w:type="dxa"/>
            <w:tcBorders/>
            <w:shd w:fill="auto" w:val="clear"/>
            <w:vAlign w:val="center"/>
          </w:tcPr>
          <w:p>
            <w:pPr>
              <w:pStyle w:val="TableContents"/>
              <w:spacing w:before="0" w:after="1"/>
              <w:ind w:left="0" w:right="0" w:hanging="0"/>
              <w:jc w:val="center"/>
              <w:rPr/>
            </w:pPr>
            <w:r>
              <w:rPr/>
              <w:t>​</w:t>
            </w:r>
          </w:p>
        </w:tc>
      </w:tr>
      <w:tr>
        <w:trPr/>
        <w:tc>
          <w:tcPr>
            <w:tcW w:w="7237" w:type="dxa"/>
            <w:tcBorders/>
            <w:shd w:fill="CCEEFF"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1014"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1060" w:type="dxa"/>
            <w:tcBorders/>
            <w:shd w:fill="CCEEFF" w:val="clear"/>
            <w:vAlign w:val="center"/>
          </w:tcPr>
          <w:p>
            <w:pPr>
              <w:pStyle w:val="TableContents"/>
              <w:spacing w:before="0" w:after="1"/>
              <w:ind w:left="0" w:right="0" w:hanging="0"/>
              <w:jc w:val="center"/>
              <w:rPr/>
            </w:pPr>
            <w:r>
              <w:rPr/>
              <w:t>​</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Current assets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1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1060" w:type="dxa"/>
            <w:tcBorders/>
            <w:shd w:fill="auto" w:val="clear"/>
            <w:vAlign w:val="center"/>
          </w:tcPr>
          <w:p>
            <w:pPr>
              <w:pStyle w:val="TableContents"/>
              <w:spacing w:before="0" w:after="1"/>
              <w:ind w:left="0" w:right="0" w:hanging="0"/>
              <w:jc w:val="right"/>
              <w:rPr/>
            </w:pPr>
            <w:r>
              <w:rPr/>
              <w:t>  </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105,040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120,409</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Investments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89,483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61,295</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102,571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77,413</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receivable</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2,788</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1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15,828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11,368</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current assets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315,886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273,273</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150,391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147,504</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Right-of-use assets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70,320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72,719</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174,695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176,800</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1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1,687</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assets</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874,021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832,749</w:t>
            </w:r>
          </w:p>
        </w:tc>
      </w:tr>
      <w:tr>
        <w:trPr/>
        <w:tc>
          <w:tcPr>
            <w:tcW w:w="7237" w:type="dxa"/>
            <w:tcBorders/>
            <w:shd w:fill="CCEEFF"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1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60" w:type="dxa"/>
            <w:tcBorders/>
            <w:shd w:fill="CCEEFF" w:val="clear"/>
            <w:vAlign w:val="center"/>
          </w:tcPr>
          <w:p>
            <w:pPr>
              <w:pStyle w:val="TableContents"/>
              <w:spacing w:before="0" w:after="1"/>
              <w:ind w:left="0" w:right="0" w:hanging="0"/>
              <w:jc w:val="right"/>
              <w:rPr/>
            </w:pPr>
            <w:r>
              <w:rPr/>
              <w:t>  </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Current liabilities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pPr>
            <w:r>
              <w:rPr/>
              <w:t>  </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21,801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20,006</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36,412</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31,661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22,473</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taxes payable</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26,568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12,167</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9,678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60" w:type="dxa"/>
            <w:tcBorders/>
            <w:shd w:fill="CCEEFF" w:val="clear"/>
            <w:vAlign w:val="center"/>
          </w:tcPr>
          <w:p>
            <w:pPr>
              <w:pStyle w:val="TableContents"/>
              <w:spacing w:before="0" w:after="1"/>
              <w:ind w:left="0" w:right="0" w:hanging="0"/>
              <w:jc w:val="right"/>
              <w:rPr/>
            </w:pPr>
            <w:r>
              <w:rPr/>
              <w:t>—</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8,818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8,648</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119,650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99,706</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28,049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26,195</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long-term liability</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66,643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68,793</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1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214,771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195,130</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pPr>
            <w:r>
              <w:rPr/>
              <w:t>  </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Stockholders’ equity</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14"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60" w:type="dxa"/>
            <w:tcBorders/>
            <w:shd w:fill="CCEEFF" w:val="clear"/>
            <w:vAlign w:val="center"/>
          </w:tcPr>
          <w:p>
            <w:pPr>
              <w:pStyle w:val="TableContents"/>
              <w:spacing w:before="0" w:after="1"/>
              <w:ind w:left="0" w:right="0" w:hanging="0"/>
              <w:jc w:val="right"/>
              <w:rPr/>
            </w:pPr>
            <w:r>
              <w:rPr/>
              <w:t>  </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March 31, 2023 and December 31, 2022</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pPr>
            <w:r>
              <w:rPr/>
              <w:t>—</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Common stock, $0.01 par value, 100,000 shares authorized; 53,966 and 53,830 shares issued and 30,823 and 31,058 shares outstanding at March 31, 2023 and December 31, 2022, respectively</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Treasury stock, at cost, 23,143 and 22,772 shares of common stock at March 31, 2023 and December 31, 2022, respectively </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(1,752,844)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(1,711,423)</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1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312,677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309,310</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Accumulated other comprehensive loss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1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1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2,099,291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2,039,727</w:t>
            </w:r>
          </w:p>
        </w:tc>
      </w:tr>
      <w:tr>
        <w:trPr/>
        <w:tc>
          <w:tcPr>
            <w:tcW w:w="7237"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659,250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637,619</w:t>
            </w:r>
          </w:p>
        </w:tc>
      </w:tr>
      <w:tr>
        <w:trPr/>
        <w:tc>
          <w:tcPr>
            <w:tcW w:w="7237"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874,021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832,749</w:t>
            </w:r>
          </w:p>
        </w:tc>
      </w:tr>
    </w:tbl>
    <w:p>
      <w:pPr>
        <w:pStyle w:val="TextBody"/>
        <w:spacing w:before="0" w:after="0"/>
        <w:ind w:left="0" w:right="0" w:hanging="0"/>
        <w:rPr/>
      </w:pPr>
      <w:r>
        <w:rPr/>
        <w:t>​</w:t>
      </w:r>
    </w:p>
    <w:p>
      <w:pPr>
        <w:pStyle w:val="TextBody"/>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spacing w:before="0" w:after="240"/>
        <w:ind w:left="0" w:right="0" w:hanging="0"/>
        <w:jc w:val="center"/>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20" w:name="_804c3ccc_b2d4_4e1e_bf75_fbef014f310b"/>
      <w:bookmarkEnd w:id="220"/>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spacing w:before="0" w:after="0"/>
        <w:rPr>
          <w:sz w:val="4"/>
          <w:szCs w:val="4"/>
        </w:rPr>
      </w:pPr>
      <w:r>
        <w:rPr>
          <w:sz w:val="4"/>
          <w:szCs w:val="4"/>
        </w:rPr>
      </w:r>
      <w:bookmarkStart w:id="221" w:name="Tc_zHRYU9czzEW3bfbHbpSv3g_7_5"/>
      <w:bookmarkStart w:id="222" w:name="Tc_rUA-yHOkkk2gkm3a3PApgw_7_2"/>
      <w:bookmarkStart w:id="223" w:name="Tc_elNPp4E9u0mZmt0M2C692Q_7_0"/>
      <w:bookmarkStart w:id="224" w:name="Tc_-K-ka5Batk-_GE1-X5lNSQ_6_0"/>
      <w:bookmarkStart w:id="225" w:name="Tc_gMcnQE9pQkynDucXqZGhkw_5_0"/>
      <w:bookmarkStart w:id="226" w:name="Tc_RlB7MFDyDEy8cgInyL6Vkw_4_5"/>
      <w:bookmarkStart w:id="227" w:name="Tc_mCDmsZ_nqU2SEbuiZkRrDw_4_2"/>
      <w:bookmarkStart w:id="228" w:name="Tc_MX42ueCwokqnSXxKKymZiw_4_0"/>
      <w:bookmarkStart w:id="229" w:name="Tc_wvDGEoYItkeBe6Q8aa1aQA_3_5"/>
      <w:bookmarkStart w:id="230" w:name="Tc_syHnscsIqUaCS1Lbgb3FlA_3_2"/>
      <w:bookmarkStart w:id="231" w:name="Tc_i37drp6_g0W-Vs6JUKyVVg_3_0"/>
      <w:bookmarkStart w:id="232" w:name="Tc_A1oketmmBkqZaE8-2xZz3w_2_2"/>
      <w:bookmarkStart w:id="233" w:name="Tc_iLiRKfvJm0Ov5Y72XT5RGw_1_2"/>
      <w:bookmarkStart w:id="234" w:name="_743169c8_3c37_4d4a_98c4_685ccd32df4d"/>
      <w:bookmarkStart w:id="235" w:name="Tc_zHRYU9czzEW3bfbHbpSv3g_7_5"/>
      <w:bookmarkStart w:id="236" w:name="Tc_rUA-yHOkkk2gkm3a3PApgw_7_2"/>
      <w:bookmarkStart w:id="237" w:name="Tc_elNPp4E9u0mZmt0M2C692Q_7_0"/>
      <w:bookmarkStart w:id="238" w:name="Tc_-K-ka5Batk-_GE1-X5lNSQ_6_0"/>
      <w:bookmarkStart w:id="239" w:name="Tc_gMcnQE9pQkynDucXqZGhkw_5_0"/>
      <w:bookmarkStart w:id="240" w:name="Tc_RlB7MFDyDEy8cgInyL6Vkw_4_5"/>
      <w:bookmarkStart w:id="241" w:name="Tc_mCDmsZ_nqU2SEbuiZkRrDw_4_2"/>
      <w:bookmarkStart w:id="242" w:name="Tc_MX42ueCwokqnSXxKKymZiw_4_0"/>
      <w:bookmarkStart w:id="243" w:name="Tc_wvDGEoYItkeBe6Q8aa1aQA_3_5"/>
      <w:bookmarkStart w:id="244" w:name="Tc_syHnscsIqUaCS1Lbgb3FlA_3_2"/>
      <w:bookmarkStart w:id="245" w:name="Tc_i37drp6_g0W-Vs6JUKyVVg_3_0"/>
      <w:bookmarkStart w:id="246" w:name="Tc_A1oketmmBkqZaE8-2xZz3w_2_2"/>
      <w:bookmarkStart w:id="247" w:name="Tc_iLiRKfvJm0Ov5Y72XT5RGw_1_2"/>
      <w:bookmarkStart w:id="248" w:name="_743169c8_3c37_4d4a_98c4_685ccd32df4d"/>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tbl>
      <w:tblPr>
        <w:tblW w:w="10205" w:type="dxa"/>
        <w:jc w:val="left"/>
        <w:tblInd w:w="0" w:type="dxa"/>
        <w:tblCellMar>
          <w:top w:w="0" w:type="dxa"/>
          <w:left w:w="0" w:type="dxa"/>
          <w:bottom w:w="0" w:type="dxa"/>
          <w:right w:w="0" w:type="dxa"/>
        </w:tblCellMar>
      </w:tblPr>
      <w:tblGrid>
        <w:gridCol w:w="7588"/>
        <w:gridCol w:w="146"/>
        <w:gridCol w:w="211"/>
        <w:gridCol w:w="676"/>
        <w:gridCol w:w="326"/>
        <w:gridCol w:w="211"/>
        <w:gridCol w:w="676"/>
        <w:gridCol w:w="371"/>
      </w:tblGrid>
      <w:tr>
        <w:trPr/>
        <w:tc>
          <w:tcPr>
            <w:tcW w:w="7588"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2710" cy="175260"/>
                      <wp:effectExtent l="0" t="0" r="0" b="0"/>
                      <wp:wrapNone/>
                      <wp:docPr id="9" name="Frame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29260" cy="175260"/>
                      <wp:effectExtent l="0" t="0" r="0" b="0"/>
                      <wp:wrapNone/>
                      <wp:docPr id="11" name="Frame1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29260" cy="175260"/>
                      <wp:effectExtent l="0" t="0" r="0" b="0"/>
                      <wp:wrapNone/>
                      <wp:docPr id="14" name="Frame1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35585" cy="175260"/>
                      <wp:effectExtent l="0" t="0" r="0" b="0"/>
                      <wp:wrapNone/>
                      <wp:docPr id="15" name="Frame15"/>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88"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shd w:fill="auto" w:val="clear"/>
            <w:vAlign w:val="center"/>
          </w:tcPr>
          <w:p>
            <w:pPr>
              <w:pStyle w:val="TableContents"/>
              <w:spacing w:before="0" w:after="0"/>
              <w:ind w:left="0" w:right="0" w:hanging="0"/>
              <w:jc w:val="center"/>
              <w:rPr/>
            </w:pPr>
            <w:r>
              <w:rPr/>
              <w:t>​</w:t>
            </w:r>
          </w:p>
        </w:tc>
      </w:tr>
      <w:tr>
        <w:trPr/>
        <w:tc>
          <w:tcPr>
            <w:tcW w:w="7588"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shd w:fill="auto" w:val="clear"/>
            <w:vAlign w:val="center"/>
          </w:tcPr>
          <w:p>
            <w:pPr>
              <w:pStyle w:val="TableContents"/>
              <w:spacing w:before="0" w:after="0"/>
              <w:ind w:left="0" w:right="0" w:hanging="0"/>
              <w:jc w:val="center"/>
              <w:rPr/>
            </w:pPr>
            <w:r>
              <w:rPr/>
              <w:t>​</w:t>
            </w:r>
          </w:p>
        </w:tc>
      </w:tr>
      <w:tr>
        <w:trPr/>
        <w:tc>
          <w:tcPr>
            <w:tcW w:w="758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14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0"/>
              <w:ind w:left="0" w:right="0" w:hanging="0"/>
              <w:jc w:val="center"/>
              <w:rPr/>
            </w:pPr>
            <w:r>
              <w:rPr/>
              <w:t>    </w:t>
            </w:r>
          </w:p>
        </w:tc>
      </w:tr>
      <w:tr>
        <w:trPr/>
        <w:tc>
          <w:tcPr>
            <w:tcW w:w="7588"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58,078</w:t>
            </w:r>
          </w:p>
        </w:tc>
        <w:tc>
          <w:tcPr>
            <w:tcW w:w="371" w:type="dxa"/>
            <w:tcBorders/>
            <w:shd w:fill="CCEEFF" w:val="clear"/>
            <w:vAlign w:val="center"/>
          </w:tcPr>
          <w:p>
            <w:pPr>
              <w:pStyle w:val="TableContents"/>
              <w:spacing w:before="0" w:after="0"/>
              <w:ind w:left="0" w:right="0" w:hanging="0"/>
              <w:rPr/>
            </w:pPr>
            <w:r>
              <w:rPr/>
              <w:t>​</w:t>
            </w:r>
          </w:p>
        </w:tc>
      </w:tr>
      <w:tr>
        <w:trPr/>
        <w:tc>
          <w:tcPr>
            <w:tcW w:w="758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comprehensive income, net of tax:</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75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gains (losses) on available-for-sale securities, net of taxes of $37 and $99 for the three months ended March 31, 2023 and 2022, respectively</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71" w:type="dxa"/>
            <w:tcBorders/>
            <w:shd w:fill="CCEEFF" w:val="clear"/>
            <w:vAlign w:val="center"/>
          </w:tcPr>
          <w:p>
            <w:pPr>
              <w:pStyle w:val="TableContents"/>
              <w:spacing w:before="0" w:after="0"/>
              <w:ind w:left="0" w:right="0" w:hanging="0"/>
              <w:rPr/>
            </w:pPr>
            <w:r>
              <w:rPr/>
              <w:t>​</w:t>
            </w:r>
          </w:p>
        </w:tc>
      </w:tr>
      <w:tr>
        <w:trPr/>
        <w:tc>
          <w:tcPr>
            <w:tcW w:w="758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Comprehensive income</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59,683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57,755</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49" w:name="_4734145d_bfa0_4dfa_8c83_74037c08920b"/>
      <w:bookmarkEnd w:id="249"/>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spacing w:before="0" w:after="0"/>
        <w:rPr>
          <w:sz w:val="4"/>
          <w:szCs w:val="4"/>
        </w:rPr>
      </w:pPr>
      <w:r>
        <w:rPr>
          <w:sz w:val="4"/>
          <w:szCs w:val="4"/>
        </w:rPr>
      </w:r>
      <w:bookmarkStart w:id="250" w:name="Tc_B4a7tGs6kEGbbaJ8yE6qag_11_21"/>
      <w:bookmarkStart w:id="251" w:name="Tc_6oBv220mXkigsHJqCNd-Pg_11_18"/>
      <w:bookmarkStart w:id="252" w:name="Tc_NJccA8-CGUm-FvEQV2KGMg_11_15"/>
      <w:bookmarkStart w:id="253" w:name="Tc_sCnTLXFgvUeJR2U4QMTmPQ_11_12"/>
      <w:bookmarkStart w:id="254" w:name="Tc_Y_OGf7RML0W9CI4sIRvw7A_11_9"/>
      <w:bookmarkStart w:id="255" w:name="Tc_LudssQVhyEqOEunqAgmr_g_11_4"/>
      <w:bookmarkStart w:id="256" w:name="Tc_g_AUdPyAU0GAaNVdm9HN-w_11_0"/>
      <w:bookmarkStart w:id="257" w:name="Tc_dLGsqD6jO0SdOL0cScg3AQ_10_19"/>
      <w:bookmarkStart w:id="258" w:name="Tc_1OrMB1ZuyECB3NmwjDkrtg_10_16"/>
      <w:bookmarkStart w:id="259" w:name="Tc_sKEkJTgJKkalBGQjIcLFiA_10_0"/>
      <w:bookmarkStart w:id="260" w:name="Tc_PkusHbE8KEGBgLhG5al3sQ_9_22"/>
      <w:bookmarkStart w:id="261" w:name="Tc_fQYXvcCWrkKZi1VBEdxWMA_9_19"/>
      <w:bookmarkStart w:id="262" w:name="Tc_BC3Q2sY4kkqBAGiYR7bUUA_9_16"/>
      <w:bookmarkStart w:id="263" w:name="Tc_t-sY6VPaFk6ZSeaUEoq70Q_9_13"/>
      <w:bookmarkStart w:id="264" w:name="Tc_TX_OoFAOR0G3ERU9PBHTlQ_9_10"/>
      <w:bookmarkStart w:id="265" w:name="Tc_DDgCl9fsPE-3SdZpTLGVyg_9_5"/>
      <w:bookmarkStart w:id="266" w:name="Tc_LhH0O8SLeUCsW6g-UCP8VA_9_2"/>
      <w:bookmarkStart w:id="267" w:name="Tc_JJ0gf1RqI0SluXHIJ64OMg_9_0"/>
      <w:bookmarkStart w:id="268" w:name="Tc_OuzmjDrN3km56YhMt1Kayw_8_19"/>
      <w:bookmarkStart w:id="269" w:name="Tc_GKFUXSUYYUSuFUWjLzK9Xw_8_16"/>
      <w:bookmarkStart w:id="270" w:name="Tc_XSdTuJk-jkic1ewTdzjDIg_8_13"/>
      <w:bookmarkStart w:id="271" w:name="Tc_KYRQDBskO0K1lWCGmk5OrA_8_5"/>
      <w:bookmarkStart w:id="272" w:name="Tc__-8hCU_b8UaPOxW_OI8JfQ_8_2"/>
      <w:bookmarkStart w:id="273" w:name="Tc_v0ki82p88kObgwWZIwEczA_8_0"/>
      <w:bookmarkStart w:id="274" w:name="Tc_f1VLPTbXOkSBHNpzFNhZbA_7_13"/>
      <w:bookmarkStart w:id="275" w:name="Tc_5UNHk2hB2kilMDXFt-INmg_7_10"/>
      <w:bookmarkStart w:id="276" w:name="Tc_gEpKNsQ9d02GsF8AB2CDpg_7_7"/>
      <w:bookmarkStart w:id="277" w:name="Tc_oXIrN39dhUem-PI2qYT4kg_7_5"/>
      <w:bookmarkStart w:id="278" w:name="Tc_BgfVg0GQTkCRIWQEtG7kUg_7_2"/>
      <w:bookmarkStart w:id="279" w:name="Tc_iEpUX5Huykiwgn1ESVBNRA_7_0"/>
      <w:bookmarkStart w:id="280" w:name="Tc_TF3AXYff3Ea2Rd0lhwfufA_6_21"/>
      <w:bookmarkStart w:id="281" w:name="Tc_jnN5tEHgoEiTK1m5w-0YJw_6_18"/>
      <w:bookmarkStart w:id="282" w:name="Tc_MKcW4GJbzU2RV4XBRGHGCQ_6_15"/>
      <w:bookmarkStart w:id="283" w:name="Tc_2Fk1rQ-MtU-ujXxM-kenjQ_6_12"/>
      <w:bookmarkStart w:id="284" w:name="Tc_OOVuGAI9x025z7H9W79aVQ_6_9"/>
      <w:bookmarkStart w:id="285" w:name="Tc_5PChZGtBk02Vkfwy0WmDHA_6_4"/>
      <w:bookmarkStart w:id="286" w:name="Tc_9fphdPSNRkaPqcPrTrSyeg_6_0"/>
      <w:bookmarkStart w:id="287" w:name="Tc_TCLp5mm_S0qZqD1P_XKpRg_5_21"/>
      <w:bookmarkStart w:id="288" w:name="Tc_0i2OocJnwUmhVCi60sdaHg_5_18"/>
      <w:bookmarkStart w:id="289" w:name="Tc_kQyWdtD7bEmyzqVPh3TXYQ_5_15"/>
      <w:bookmarkStart w:id="290" w:name="Tc_PNAVj0OLgki5eVrv64MGHg_5_12"/>
      <w:bookmarkStart w:id="291" w:name="Tc_0kR7slFSbECp38UJozlYHA_5_9"/>
      <w:bookmarkStart w:id="292" w:name="Tc_Sjw_tlSa8EODuIjWSWOnaA_5_7"/>
      <w:bookmarkStart w:id="293" w:name="Tc_QHHNMn3dH02lE7E_0gLy3Q_5_4"/>
      <w:bookmarkStart w:id="294" w:name="Tc_p0gqWosxwkKmv2eZyJ3lTw_5_2"/>
      <w:bookmarkStart w:id="295" w:name="Tc_qY1ukf2P4kiILJIPtg0SIQ_4_18"/>
      <w:bookmarkStart w:id="296" w:name="Tc_sFKQMwUxcEm5eNzJ-5GOyg_4_15"/>
      <w:bookmarkStart w:id="297" w:name="Tc_D1fGYQ94IEC8QTg-4z-UEg_4_12"/>
      <w:bookmarkStart w:id="298" w:name="Tc_GFLZurQPz0q-AjVYV5l7XA_4_7"/>
      <w:bookmarkStart w:id="299" w:name="Tc_HJrgdD3y4UCCjBrjstH_Mw_4_2"/>
      <w:bookmarkStart w:id="300" w:name="Tc_kcRiwX_Mtk2-Jru4Ib0oLA_3_15"/>
      <w:bookmarkStart w:id="301" w:name="Tc_1UJuxuN90kiUEblWuBTxkA_3_12"/>
      <w:bookmarkStart w:id="302" w:name="Tc_1rtl5nhhF0ikxPRgaZI5aw_2_15"/>
      <w:bookmarkStart w:id="303" w:name="Tc_NNQlF8rsjk-jwcoWMMLCiQ_1_2"/>
      <w:bookmarkStart w:id="304" w:name="_6c2148fc_67e0_4c26_b347_3f3814c45b99"/>
      <w:bookmarkStart w:id="305" w:name="Tc_B4a7tGs6kEGbbaJ8yE6qag_11_21"/>
      <w:bookmarkStart w:id="306" w:name="Tc_6oBv220mXkigsHJqCNd-Pg_11_18"/>
      <w:bookmarkStart w:id="307" w:name="Tc_NJccA8-CGUm-FvEQV2KGMg_11_15"/>
      <w:bookmarkStart w:id="308" w:name="Tc_sCnTLXFgvUeJR2U4QMTmPQ_11_12"/>
      <w:bookmarkStart w:id="309" w:name="Tc_Y_OGf7RML0W9CI4sIRvw7A_11_9"/>
      <w:bookmarkStart w:id="310" w:name="Tc_LudssQVhyEqOEunqAgmr_g_11_4"/>
      <w:bookmarkStart w:id="311" w:name="Tc_g_AUdPyAU0GAaNVdm9HN-w_11_0"/>
      <w:bookmarkStart w:id="312" w:name="Tc_dLGsqD6jO0SdOL0cScg3AQ_10_19"/>
      <w:bookmarkStart w:id="313" w:name="Tc_1OrMB1ZuyECB3NmwjDkrtg_10_16"/>
      <w:bookmarkStart w:id="314" w:name="Tc_sKEkJTgJKkalBGQjIcLFiA_10_0"/>
      <w:bookmarkStart w:id="315" w:name="Tc_PkusHbE8KEGBgLhG5al3sQ_9_22"/>
      <w:bookmarkStart w:id="316" w:name="Tc_fQYXvcCWrkKZi1VBEdxWMA_9_19"/>
      <w:bookmarkStart w:id="317" w:name="Tc_BC3Q2sY4kkqBAGiYR7bUUA_9_16"/>
      <w:bookmarkStart w:id="318" w:name="Tc_t-sY6VPaFk6ZSeaUEoq70Q_9_13"/>
      <w:bookmarkStart w:id="319" w:name="Tc_TX_OoFAOR0G3ERU9PBHTlQ_9_10"/>
      <w:bookmarkStart w:id="320" w:name="Tc_DDgCl9fsPE-3SdZpTLGVyg_9_5"/>
      <w:bookmarkStart w:id="321" w:name="Tc_LhH0O8SLeUCsW6g-UCP8VA_9_2"/>
      <w:bookmarkStart w:id="322" w:name="Tc_JJ0gf1RqI0SluXHIJ64OMg_9_0"/>
      <w:bookmarkStart w:id="323" w:name="Tc_OuzmjDrN3km56YhMt1Kayw_8_19"/>
      <w:bookmarkStart w:id="324" w:name="Tc_GKFUXSUYYUSuFUWjLzK9Xw_8_16"/>
      <w:bookmarkStart w:id="325" w:name="Tc_XSdTuJk-jkic1ewTdzjDIg_8_13"/>
      <w:bookmarkStart w:id="326" w:name="Tc_KYRQDBskO0K1lWCGmk5OrA_8_5"/>
      <w:bookmarkStart w:id="327" w:name="Tc__-8hCU_b8UaPOxW_OI8JfQ_8_2"/>
      <w:bookmarkStart w:id="328" w:name="Tc_v0ki82p88kObgwWZIwEczA_8_0"/>
      <w:bookmarkStart w:id="329" w:name="Tc_f1VLPTbXOkSBHNpzFNhZbA_7_13"/>
      <w:bookmarkStart w:id="330" w:name="Tc_5UNHk2hB2kilMDXFt-INmg_7_10"/>
      <w:bookmarkStart w:id="331" w:name="Tc_gEpKNsQ9d02GsF8AB2CDpg_7_7"/>
      <w:bookmarkStart w:id="332" w:name="Tc_oXIrN39dhUem-PI2qYT4kg_7_5"/>
      <w:bookmarkStart w:id="333" w:name="Tc_BgfVg0GQTkCRIWQEtG7kUg_7_2"/>
      <w:bookmarkStart w:id="334" w:name="Tc_iEpUX5Huykiwgn1ESVBNRA_7_0"/>
      <w:bookmarkStart w:id="335" w:name="Tc_TF3AXYff3Ea2Rd0lhwfufA_6_21"/>
      <w:bookmarkStart w:id="336" w:name="Tc_jnN5tEHgoEiTK1m5w-0YJw_6_18"/>
      <w:bookmarkStart w:id="337" w:name="Tc_MKcW4GJbzU2RV4XBRGHGCQ_6_15"/>
      <w:bookmarkStart w:id="338" w:name="Tc_2Fk1rQ-MtU-ujXxM-kenjQ_6_12"/>
      <w:bookmarkStart w:id="339" w:name="Tc_OOVuGAI9x025z7H9W79aVQ_6_9"/>
      <w:bookmarkStart w:id="340" w:name="Tc_5PChZGtBk02Vkfwy0WmDHA_6_4"/>
      <w:bookmarkStart w:id="341" w:name="Tc_9fphdPSNRkaPqcPrTrSyeg_6_0"/>
      <w:bookmarkStart w:id="342" w:name="Tc_TCLp5mm_S0qZqD1P_XKpRg_5_21"/>
      <w:bookmarkStart w:id="343" w:name="Tc_0i2OocJnwUmhVCi60sdaHg_5_18"/>
      <w:bookmarkStart w:id="344" w:name="Tc_kQyWdtD7bEmyzqVPh3TXYQ_5_15"/>
      <w:bookmarkStart w:id="345" w:name="Tc_PNAVj0OLgki5eVrv64MGHg_5_12"/>
      <w:bookmarkStart w:id="346" w:name="Tc_0kR7slFSbECp38UJozlYHA_5_9"/>
      <w:bookmarkStart w:id="347" w:name="Tc_Sjw_tlSa8EODuIjWSWOnaA_5_7"/>
      <w:bookmarkStart w:id="348" w:name="Tc_QHHNMn3dH02lE7E_0gLy3Q_5_4"/>
      <w:bookmarkStart w:id="349" w:name="Tc_p0gqWosxwkKmv2eZyJ3lTw_5_2"/>
      <w:bookmarkStart w:id="350" w:name="Tc_qY1ukf2P4kiILJIPtg0SIQ_4_18"/>
      <w:bookmarkStart w:id="351" w:name="Tc_sFKQMwUxcEm5eNzJ-5GOyg_4_15"/>
      <w:bookmarkStart w:id="352" w:name="Tc_D1fGYQ94IEC8QTg-4z-UEg_4_12"/>
      <w:bookmarkStart w:id="353" w:name="Tc_GFLZurQPz0q-AjVYV5l7XA_4_7"/>
      <w:bookmarkStart w:id="354" w:name="Tc_HJrgdD3y4UCCjBrjstH_Mw_4_2"/>
      <w:bookmarkStart w:id="355" w:name="Tc_kcRiwX_Mtk2-Jru4Ib0oLA_3_15"/>
      <w:bookmarkStart w:id="356" w:name="Tc_1UJuxuN90kiUEblWuBTxkA_3_12"/>
      <w:bookmarkStart w:id="357" w:name="Tc_1rtl5nhhF0ikxPRgaZI5aw_2_15"/>
      <w:bookmarkStart w:id="358" w:name="Tc_NNQlF8rsjk-jwcoWMMLCiQ_1_2"/>
      <w:bookmarkStart w:id="359" w:name="_6c2148fc_67e0_4c26_b347_3f3814c45b99"/>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tbl>
      <w:tblPr>
        <w:tblW w:w="10886" w:type="dxa"/>
        <w:jc w:val="left"/>
        <w:tblInd w:w="0" w:type="dxa"/>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0810" cy="175260"/>
                      <wp:effectExtent l="0" t="0" r="0" b="0"/>
                      <wp:wrapNone/>
                      <wp:docPr id="16" name="Frame1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9260" cy="175260"/>
                      <wp:effectExtent l="0" t="0" r="0" b="0"/>
                      <wp:wrapNone/>
                      <wp:docPr id="17" name="Frame1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0810" cy="175260"/>
                      <wp:effectExtent l="0" t="0" r="0" b="0"/>
                      <wp:wrapNone/>
                      <wp:docPr id="18" name="Frame1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77800" cy="175260"/>
                      <wp:effectExtent l="0" t="0" r="0" b="0"/>
                      <wp:wrapNone/>
                      <wp:docPr id="19" name="Frame19"/>
                      <a:graphic xmlns:a="http://schemas.openxmlformats.org/drawingml/2006/main">
                        <a:graphicData uri="http://schemas.microsoft.com/office/word/2010/wordprocessingShape">
                          <wps:wsp>
                            <wps:cNvSpPr txBox="1"/>
                            <wps:spPr>
                              <a:xfrm>
                                <a:off x="0" y="0"/>
                                <a:ext cx="1778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56235" cy="175260"/>
                      <wp:effectExtent l="0" t="0" r="0" b="0"/>
                      <wp:wrapNone/>
                      <wp:docPr id="20" name="Frame20"/>
                      <a:graphic xmlns:a="http://schemas.openxmlformats.org/drawingml/2006/main">
                        <a:graphicData uri="http://schemas.microsoft.com/office/word/2010/wordprocessingShape">
                          <wps:wsp>
                            <wps:cNvSpPr txBox="1"/>
                            <wps:spPr>
                              <a:xfrm>
                                <a:off x="0" y="0"/>
                                <a:ext cx="356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0810" cy="175260"/>
                      <wp:effectExtent l="0" t="0" r="0" b="0"/>
                      <wp:wrapNone/>
                      <wp:docPr id="21" name="Frame2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0810" cy="175260"/>
                      <wp:effectExtent l="0" t="0" r="0" b="0"/>
                      <wp:wrapNone/>
                      <wp:docPr id="23" name="Frame2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29285" cy="175260"/>
                      <wp:effectExtent l="0" t="0" r="0" b="0"/>
                      <wp:wrapNone/>
                      <wp:docPr id="25" name="Frame25"/>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0810" cy="175260"/>
                      <wp:effectExtent l="0" t="0" r="0" b="0"/>
                      <wp:wrapNone/>
                      <wp:docPr id="26" name="Frame2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95935" cy="175260"/>
                      <wp:effectExtent l="0" t="0" r="0" b="0"/>
                      <wp:wrapNone/>
                      <wp:docPr id="28" name="Frame2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0810" cy="175260"/>
                      <wp:effectExtent l="0" t="0" r="0" b="0"/>
                      <wp:wrapNone/>
                      <wp:docPr id="29" name="Frame2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34950" cy="175260"/>
                      <wp:effectExtent l="0" t="0" r="0" b="0"/>
                      <wp:wrapNone/>
                      <wp:docPr id="30" name="Frame30"/>
                      <a:graphic xmlns:a="http://schemas.openxmlformats.org/drawingml/2006/main">
                        <a:graphicData uri="http://schemas.microsoft.com/office/word/2010/wordprocessingShape">
                          <wps:wsp>
                            <wps:cNvSpPr txBox="1"/>
                            <wps:spPr>
                              <a:xfrm>
                                <a:off x="0" y="0"/>
                                <a:ext cx="234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37210" cy="175260"/>
                      <wp:effectExtent l="0" t="0" r="0" b="0"/>
                      <wp:wrapNone/>
                      <wp:docPr id="31" name="Frame31"/>
                      <a:graphic xmlns:a="http://schemas.openxmlformats.org/drawingml/2006/main">
                        <a:graphicData uri="http://schemas.microsoft.com/office/word/2010/wordprocessingShape">
                          <wps:wsp>
                            <wps:cNvSpPr txBox="1"/>
                            <wps:spPr>
                              <a:xfrm>
                                <a:off x="0" y="0"/>
                                <a:ext cx="537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0810" cy="175260"/>
                      <wp:effectExtent l="0" t="0" r="0" b="0"/>
                      <wp:wrapNone/>
                      <wp:docPr id="32" name="Frame3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1185" cy="175260"/>
                      <wp:effectExtent l="0" t="0" r="0" b="0"/>
                      <wp:wrapNone/>
                      <wp:docPr id="34" name="Frame3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0810" cy="175260"/>
                      <wp:effectExtent l="0" t="0" r="0" b="0"/>
                      <wp:wrapNone/>
                      <wp:docPr id="35" name="Frame3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62610" cy="175260"/>
                      <wp:effectExtent l="0" t="0" r="0" b="0"/>
                      <wp:wrapNone/>
                      <wp:docPr id="37" name="Frame3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5211" w:type="dxa"/>
            <w:gridSpan w:val="1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c>
          <w:tcPr>
            <w:tcW w:w="206" w:type="dxa"/>
            <w:tcBorders/>
            <w:shd w:fill="auto" w:val="clear"/>
            <w:vAlign w:val="center"/>
          </w:tcPr>
          <w:p>
            <w:pPr>
              <w:pStyle w:val="TableContents"/>
              <w:spacing w:before="0" w:after="1"/>
              <w:ind w:left="0" w:right="0" w:hanging="0"/>
              <w:rPr/>
            </w:pPr>
            <w:r>
              <w:rPr/>
              <w:t>​</w:t>
            </w:r>
          </w:p>
        </w:tc>
        <w:tc>
          <w:tcPr>
            <w:tcW w:w="370" w:type="dxa"/>
            <w:tcBorders/>
            <w:shd w:fill="auto" w:val="clear"/>
            <w:vAlign w:val="center"/>
          </w:tcPr>
          <w:p>
            <w:pPr>
              <w:pStyle w:val="TableContents"/>
              <w:spacing w:before="0" w:after="1"/>
              <w:ind w:left="0" w:right="0" w:hanging="0"/>
              <w:rPr/>
            </w:pPr>
            <w:r>
              <w:rPr/>
              <w:t>​</w:t>
            </w:r>
          </w:p>
        </w:tc>
        <w:tc>
          <w:tcPr>
            <w:tcW w:w="84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r>
      <w:tr>
        <w:trPr/>
        <w:tc>
          <w:tcPr>
            <w:tcW w:w="13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80" w:type="dxa"/>
            <w:tcBorders/>
            <w:shd w:fill="auto" w:val="clear"/>
            <w:vAlign w:val="center"/>
          </w:tcPr>
          <w:p>
            <w:pPr>
              <w:pStyle w:val="TableContents"/>
              <w:spacing w:before="0" w:after="1"/>
              <w:ind w:left="0" w:right="0" w:hanging="0"/>
              <w:rPr/>
            </w:pPr>
            <w:r>
              <w:rPr/>
              <w:t>​</w:t>
            </w:r>
          </w:p>
        </w:tc>
        <w:tc>
          <w:tcPr>
            <w:tcW w:w="56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r>
      <w:tr>
        <w:trPr/>
        <w:tc>
          <w:tcPr>
            <w:tcW w:w="13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80" w:type="dxa"/>
            <w:tcBorders/>
            <w:shd w:fill="auto" w:val="clear"/>
            <w:vAlign w:val="center"/>
          </w:tcPr>
          <w:p>
            <w:pPr>
              <w:pStyle w:val="TableContents"/>
              <w:spacing w:before="0" w:after="1"/>
              <w:ind w:left="0" w:right="0" w:hanging="0"/>
              <w:rPr/>
            </w:pPr>
            <w:r>
              <w:rPr/>
              <w:t>​</w:t>
            </w:r>
          </w:p>
        </w:tc>
        <w:tc>
          <w:tcPr>
            <w:tcW w:w="56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shd w:fill="auto" w:val="clear"/>
            <w:vAlign w:val="center"/>
          </w:tcPr>
          <w:p>
            <w:pPr>
              <w:pStyle w:val="TableContents"/>
              <w:spacing w:before="0" w:after="1"/>
              <w:ind w:left="0" w:right="0" w:hanging="0"/>
              <w:jc w:val="center"/>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r>
      <w:tr>
        <w:trPr/>
        <w:tc>
          <w:tcPr>
            <w:tcW w:w="13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172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shd w:fill="auto" w:val="clear"/>
            <w:vAlign w:val="center"/>
          </w:tcPr>
          <w:p>
            <w:pPr>
              <w:pStyle w:val="TableContents"/>
              <w:spacing w:before="0" w:after="1"/>
              <w:ind w:left="0" w:right="0" w:hanging="0"/>
              <w:jc w:val="center"/>
              <w:rPr/>
            </w:pPr>
            <w:r>
              <w:rPr/>
              <w:t>​</w:t>
            </w:r>
          </w:p>
        </w:tc>
        <w:tc>
          <w:tcPr>
            <w:tcW w:w="2084"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shd w:fill="auto" w:val="clear"/>
            <w:vAlign w:val="center"/>
          </w:tcPr>
          <w:p>
            <w:pPr>
              <w:pStyle w:val="TableContents"/>
              <w:spacing w:before="0" w:after="1"/>
              <w:ind w:left="0" w:right="0" w:hanging="0"/>
              <w:jc w:val="center"/>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shd w:fill="auto" w:val="clear"/>
            <w:vAlign w:val="center"/>
          </w:tcPr>
          <w:p>
            <w:pPr>
              <w:pStyle w:val="TableContents"/>
              <w:spacing w:before="0" w:after="1"/>
              <w:ind w:left="0" w:right="0" w:hanging="0"/>
              <w:jc w:val="center"/>
              <w:rPr/>
            </w:pPr>
            <w:r>
              <w:rPr/>
              <w:t>​</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r>
      <w:tr>
        <w:trPr/>
        <w:tc>
          <w:tcPr>
            <w:tcW w:w="139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1"/>
              <w:ind w:left="0" w:right="0" w:hanging="0"/>
              <w:jc w:val="center"/>
              <w:rPr/>
            </w:pPr>
            <w:r>
              <w:rPr/>
              <w:t>  </w:t>
            </w:r>
          </w:p>
        </w:tc>
        <w:tc>
          <w:tcPr>
            <w:tcW w:w="8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1"/>
              <w:ind w:left="0" w:right="0" w:hanging="0"/>
              <w:jc w:val="center"/>
              <w:rPr/>
            </w:pPr>
            <w:r>
              <w:rPr/>
              <w:t>  </w:t>
            </w:r>
          </w:p>
        </w:tc>
        <w:tc>
          <w:tcPr>
            <w:tcW w:w="12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shd w:fill="auto" w:val="clear"/>
            <w:vAlign w:val="center"/>
          </w:tcPr>
          <w:p>
            <w:pPr>
              <w:pStyle w:val="TableContents"/>
              <w:spacing w:before="0" w:after="1"/>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shd w:fill="auto" w:val="clear"/>
            <w:vAlign w:val="center"/>
          </w:tcPr>
          <w:p>
            <w:pPr>
              <w:pStyle w:val="TableContents"/>
              <w:spacing w:before="0" w:after="1"/>
              <w:ind w:left="0" w:right="0" w:hanging="0"/>
              <w:jc w:val="center"/>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shd w:fill="auto" w:val="clear"/>
            <w:vAlign w:val="center"/>
          </w:tcPr>
          <w:p>
            <w:pPr>
              <w:pStyle w:val="TableContents"/>
              <w:spacing w:before="0" w:after="1"/>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shd w:fill="auto" w:val="clear"/>
            <w:vAlign w:val="center"/>
          </w:tcPr>
          <w:p>
            <w:pPr>
              <w:pStyle w:val="TableContents"/>
              <w:spacing w:before="0" w:after="1"/>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206" w:type="dxa"/>
            <w:tcBorders/>
            <w:shd w:fill="CCEEFF" w:val="clear"/>
            <w:vAlign w:val="center"/>
          </w:tcPr>
          <w:p>
            <w:pPr>
              <w:pStyle w:val="TableContents"/>
              <w:spacing w:before="0" w:after="1"/>
              <w:ind w:left="0" w:right="0" w:hanging="0"/>
              <w:rPr/>
            </w:pPr>
            <w:r>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53,830</w:t>
            </w:r>
          </w:p>
        </w:tc>
        <w:tc>
          <w:tcPr>
            <w:tcW w:w="206" w:type="dxa"/>
            <w:tcBorders/>
            <w:shd w:fill="CCEEFF" w:val="clear"/>
            <w:vAlign w:val="center"/>
          </w:tcPr>
          <w:p>
            <w:pPr>
              <w:pStyle w:val="TableContents"/>
              <w:spacing w:before="0" w:after="1"/>
              <w:ind w:left="0" w:right="0" w:hanging="0"/>
              <w:rPr/>
            </w:pPr>
            <w:r>
              <w:rPr/>
              <w:t>​</w:t>
            </w:r>
          </w:p>
        </w:tc>
        <w:tc>
          <w:tcPr>
            <w:tcW w:w="28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538</w:t>
            </w:r>
          </w:p>
        </w:tc>
        <w:tc>
          <w:tcPr>
            <w:tcW w:w="206" w:type="dxa"/>
            <w:tcBorders/>
            <w:shd w:fill="CCEEFF" w:val="clear"/>
            <w:vAlign w:val="center"/>
          </w:tcPr>
          <w:p>
            <w:pPr>
              <w:pStyle w:val="TableContents"/>
              <w:spacing w:before="0" w:after="1"/>
              <w:ind w:left="0" w:right="0" w:hanging="0"/>
              <w:rPr/>
            </w:pPr>
            <w:r>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22,772</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(1,711,423)</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309,310</w:t>
            </w:r>
          </w:p>
        </w:tc>
        <w:tc>
          <w:tcPr>
            <w:tcW w:w="206" w:type="dxa"/>
            <w:tcBorders/>
            <w:shd w:fill="CCEEFF" w:val="clear"/>
            <w:vAlign w:val="center"/>
          </w:tcPr>
          <w:p>
            <w:pPr>
              <w:pStyle w:val="TableContents"/>
              <w:spacing w:before="0" w:after="1"/>
              <w:ind w:left="0" w:right="0" w:hanging="0"/>
              <w:rPr/>
            </w:pPr>
            <w:r>
              <w:rPr/>
              <w:t>​</w:t>
            </w:r>
          </w:p>
        </w:tc>
        <w:tc>
          <w:tcPr>
            <w:tcW w:w="3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(533)</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2,039,727</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637,619</w:t>
            </w:r>
          </w:p>
        </w:tc>
      </w:tr>
      <w:tr>
        <w:trPr/>
        <w:tc>
          <w:tcPr>
            <w:tcW w:w="13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80" w:type="dxa"/>
            <w:tcBorders/>
            <w:shd w:fill="auto" w:val="clear"/>
            <w:vAlign w:val="center"/>
          </w:tcPr>
          <w:p>
            <w:pPr>
              <w:pStyle w:val="TableContents"/>
              <w:spacing w:before="0" w:after="1"/>
              <w:ind w:left="0" w:right="0" w:hanging="0"/>
              <w:rPr/>
            </w:pPr>
            <w:r>
              <w:rPr/>
              <w:t>​</w:t>
            </w:r>
          </w:p>
        </w:tc>
        <w:tc>
          <w:tcPr>
            <w:tcW w:w="56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370" w:type="dxa"/>
            <w:tcBorders/>
            <w:shd w:fill="auto" w:val="clear"/>
            <w:vAlign w:val="center"/>
          </w:tcPr>
          <w:p>
            <w:pPr>
              <w:pStyle w:val="TableContents"/>
              <w:spacing w:before="0" w:after="1"/>
              <w:ind w:left="0" w:right="0" w:hanging="0"/>
              <w:rPr/>
            </w:pPr>
            <w:r>
              <w:rPr/>
              <w:t>​</w:t>
            </w:r>
          </w:p>
        </w:tc>
        <w:tc>
          <w:tcPr>
            <w:tcW w:w="84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119</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59,564</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59,683</w:t>
            </w:r>
          </w:p>
        </w:tc>
      </w:tr>
      <w:tr>
        <w:trPr/>
        <w:tc>
          <w:tcPr>
            <w:tcW w:w="13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80" w:type="dxa"/>
            <w:tcBorders/>
            <w:shd w:fill="CCEEFF" w:val="clear"/>
            <w:vAlign w:val="center"/>
          </w:tcPr>
          <w:p>
            <w:pPr>
              <w:pStyle w:val="TableContents"/>
              <w:spacing w:before="0" w:after="1"/>
              <w:ind w:left="0" w:right="0" w:hanging="0"/>
              <w:rPr/>
            </w:pPr>
            <w:r>
              <w:rPr/>
              <w:t>​</w:t>
            </w:r>
          </w:p>
        </w:tc>
        <w:tc>
          <w:tcPr>
            <w:tcW w:w="561"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310</w:t>
            </w:r>
          </w:p>
        </w:tc>
        <w:tc>
          <w:tcPr>
            <w:tcW w:w="20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(35,090)</w:t>
            </w:r>
          </w:p>
        </w:tc>
        <w:tc>
          <w:tcPr>
            <w:tcW w:w="20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370" w:type="dxa"/>
            <w:tcBorders/>
            <w:shd w:fill="CCEEFF" w:val="clear"/>
            <w:vAlign w:val="center"/>
          </w:tcPr>
          <w:p>
            <w:pPr>
              <w:pStyle w:val="TableContents"/>
              <w:spacing w:before="0" w:after="1"/>
              <w:ind w:left="0" w:right="0" w:hanging="0"/>
              <w:rPr/>
            </w:pPr>
            <w:r>
              <w:rPr/>
              <w:t>​</w:t>
            </w:r>
          </w:p>
        </w:tc>
        <w:tc>
          <w:tcPr>
            <w:tcW w:w="84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(35,090)</w:t>
            </w:r>
          </w:p>
        </w:tc>
      </w:tr>
      <w:tr>
        <w:trPr/>
        <w:tc>
          <w:tcPr>
            <w:tcW w:w="13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80" w:type="dxa"/>
            <w:tcBorders/>
            <w:shd w:fill="auto" w:val="clear"/>
            <w:vAlign w:val="center"/>
          </w:tcPr>
          <w:p>
            <w:pPr>
              <w:pStyle w:val="TableContents"/>
              <w:spacing w:before="0" w:after="1"/>
              <w:ind w:left="0" w:right="0" w:hanging="0"/>
              <w:rPr/>
            </w:pPr>
            <w:r>
              <w:rPr/>
              <w:t>​</w:t>
            </w:r>
          </w:p>
        </w:tc>
        <w:tc>
          <w:tcPr>
            <w:tcW w:w="56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370" w:type="dxa"/>
            <w:tcBorders/>
            <w:shd w:fill="auto" w:val="clear"/>
            <w:vAlign w:val="center"/>
          </w:tcPr>
          <w:p>
            <w:pPr>
              <w:pStyle w:val="TableContents"/>
              <w:spacing w:before="0" w:after="1"/>
              <w:ind w:left="0" w:right="0" w:hanging="0"/>
              <w:rPr/>
            </w:pPr>
            <w:r>
              <w:rPr/>
              <w:t>​</w:t>
            </w:r>
          </w:p>
        </w:tc>
        <w:tc>
          <w:tcPr>
            <w:tcW w:w="84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r>
      <w:tr>
        <w:trPr/>
        <w:tc>
          <w:tcPr>
            <w:tcW w:w="13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136</w:t>
            </w:r>
          </w:p>
        </w:tc>
        <w:tc>
          <w:tcPr>
            <w:tcW w:w="206" w:type="dxa"/>
            <w:tcBorders/>
            <w:shd w:fill="CCEEFF" w:val="clear"/>
            <w:vAlign w:val="center"/>
          </w:tcPr>
          <w:p>
            <w:pPr>
              <w:pStyle w:val="TableContents"/>
              <w:spacing w:before="0" w:after="1"/>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shd w:fill="CCEEFF" w:val="cle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(6,331)</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3,367</w:t>
            </w:r>
          </w:p>
        </w:tc>
        <w:tc>
          <w:tcPr>
            <w:tcW w:w="206" w:type="dxa"/>
            <w:tcBorders/>
            <w:shd w:fill="CCEEFF" w:val="clear"/>
            <w:vAlign w:val="center"/>
          </w:tcPr>
          <w:p>
            <w:pPr>
              <w:pStyle w:val="TableContents"/>
              <w:spacing w:before="0" w:after="1"/>
              <w:ind w:left="0" w:right="0" w:hanging="0"/>
              <w:rPr/>
            </w:pPr>
            <w:r>
              <w:rPr/>
              <w:t>​</w:t>
            </w:r>
          </w:p>
        </w:tc>
        <w:tc>
          <w:tcPr>
            <w:tcW w:w="37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(2,962)</w:t>
            </w:r>
          </w:p>
        </w:tc>
      </w:tr>
      <w:tr>
        <w:trPr/>
        <w:tc>
          <w:tcPr>
            <w:tcW w:w="13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March 31, 2023</w:t>
            </w:r>
          </w:p>
        </w:tc>
        <w:tc>
          <w:tcPr>
            <w:tcW w:w="206" w:type="dxa"/>
            <w:tcBorders/>
            <w:shd w:fill="auto" w:val="clear"/>
            <w:vAlign w:val="center"/>
          </w:tcPr>
          <w:p>
            <w:pPr>
              <w:pStyle w:val="TableContents"/>
              <w:spacing w:before="0" w:after="1"/>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53,966</w:t>
            </w:r>
          </w:p>
        </w:tc>
        <w:tc>
          <w:tcPr>
            <w:tcW w:w="206" w:type="dxa"/>
            <w:tcBorders/>
            <w:shd w:fill="auto" w:val="clear"/>
            <w:vAlign w:val="center"/>
          </w:tcPr>
          <w:p>
            <w:pPr>
              <w:pStyle w:val="TableContents"/>
              <w:spacing w:before="0" w:after="1"/>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shd w:fill="auto" w:val="clear"/>
            <w:vAlign w:val="center"/>
          </w:tcPr>
          <w:p>
            <w:pPr>
              <w:pStyle w:val="TableContents"/>
              <w:spacing w:before="0" w:after="1"/>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23,143</w:t>
            </w:r>
          </w:p>
        </w:tc>
        <w:tc>
          <w:tcPr>
            <w:tcW w:w="20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(1,752,844)</w:t>
            </w:r>
          </w:p>
        </w:tc>
        <w:tc>
          <w:tcPr>
            <w:tcW w:w="20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312,677</w:t>
            </w:r>
          </w:p>
        </w:tc>
        <w:tc>
          <w:tcPr>
            <w:tcW w:w="206" w:type="dxa"/>
            <w:tcBorders/>
            <w:shd w:fill="auto" w:val="clear"/>
            <w:vAlign w:val="center"/>
          </w:tcPr>
          <w:p>
            <w:pPr>
              <w:pStyle w:val="TableContents"/>
              <w:spacing w:before="0" w:after="1"/>
              <w:ind w:left="0" w:right="0" w:hanging="0"/>
              <w:rPr/>
            </w:pPr>
            <w:r>
              <w:rPr/>
              <w:t>​</w:t>
            </w:r>
          </w:p>
        </w:tc>
        <w:tc>
          <w:tcPr>
            <w:tcW w:w="37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(414)</w:t>
            </w:r>
          </w:p>
        </w:tc>
        <w:tc>
          <w:tcPr>
            <w:tcW w:w="20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9"/>
              </w:rPr>
            </w:pPr>
            <w:r>
              <w:rPr>
                <w:rFonts w:ascii="Times New Roman;Times;serif" w:hAnsi="Times New Roman;Times;serif"/>
                <w:sz w:val="19"/>
              </w:rPr>
              <w:t>2,099,291</w:t>
            </w:r>
          </w:p>
        </w:tc>
        <w:tc>
          <w:tcPr>
            <w:tcW w:w="20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9"/>
              </w:rPr>
            </w:pPr>
            <w:r>
              <w:rPr>
                <w:rFonts w:ascii="Times New Roman;Times;serif" w:hAnsi="Times New Roman;Times;serif"/>
                <w:sz w:val="19"/>
              </w:rPr>
              <w:t>659,250</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hanging="0"/>
        <w:rPr/>
      </w:pPr>
      <w:r>
        <w:rPr/>
        <w:t>​</w:t>
      </w:r>
      <w:r>
        <mc:AlternateContent>
          <mc:Choice Requires="wps">
            <w:drawing>
              <wp:anchor behindDoc="0" distT="0" distB="0" distL="0" distR="0" simplePos="0" locked="0" layoutInCell="1" allowOverlap="1" relativeHeight="39">
                <wp:simplePos x="0" y="0"/>
                <wp:positionH relativeFrom="column">
                  <wp:align>right</wp:align>
                </wp:positionH>
                <wp:positionV relativeFrom="line">
                  <wp:posOffset>635</wp:posOffset>
                </wp:positionV>
                <wp:extent cx="6480175" cy="3344545"/>
                <wp:effectExtent l="0" t="0" r="0" b="0"/>
                <wp:wrapSquare wrapText="largest"/>
                <wp:docPr id="38" name="Frame38"/>
                <a:graphic xmlns:a="http://schemas.openxmlformats.org/drawingml/2006/main">
                  <a:graphicData uri="http://schemas.microsoft.com/office/word/2010/wordprocessingShape">
                    <wps:wsp>
                      <wps:cNvSpPr txBox="1"/>
                      <wps:spPr>
                        <a:xfrm>
                          <a:off x="0" y="0"/>
                          <a:ext cx="6480175" cy="3344545"/>
                        </a:xfrm>
                        <a:prstGeom prst="rect"/>
                      </wps:spPr>
                      <wps:txbx>
                        <w:txbxContent>
                          <w:p>
                            <w:pPr>
                              <w:pStyle w:val="Normal"/>
                              <w:spacing w:before="0" w:after="0"/>
                              <w:rPr>
                                <w:sz w:val="4"/>
                                <w:szCs w:val="4"/>
                              </w:rPr>
                            </w:pPr>
                            <w:r>
                              <w:rPr>
                                <w:sz w:val="4"/>
                                <w:szCs w:val="4"/>
                              </w:rPr>
                            </w:r>
                            <w:bookmarkStart w:id="360" w:name="Tc_jK3YmQLH3Eu1TjXSC7-4GA_11_21"/>
                            <w:bookmarkStart w:id="361" w:name="Tc_gRpxhTDAeEWuuQqUqcPjcA_11_18"/>
                            <w:bookmarkStart w:id="362" w:name="Tc_NeGqXFjv2kCjfNLQnC8fqg_11_15"/>
                            <w:bookmarkStart w:id="363" w:name="Tc_wUQVq8XYwEifKs1Dkr3MCg_11_12"/>
                            <w:bookmarkStart w:id="364" w:name="Tc_r2JTGiX5tE-RyAv8Jnk4IQ_11_9"/>
                            <w:bookmarkStart w:id="365" w:name="Tc_cs8JP1aIO0Kj2qlcYjMlDQ_11_4"/>
                            <w:bookmarkStart w:id="366" w:name="Tc_Dm77CfB7vECZHi_HeenD7Q_11_0"/>
                            <w:bookmarkStart w:id="367" w:name="Tc_HzltVUQ9R0qXj9nW1P1tQw_10_19"/>
                            <w:bookmarkStart w:id="368" w:name="Tc_zRDQWtm5_kuJJARhRayaQw_10_16"/>
                            <w:bookmarkStart w:id="369" w:name="Tc_FIRtWCor10i5aoTTSXWdeQ_10_0"/>
                            <w:bookmarkStart w:id="370" w:name="Tc_XHjwQWtHpU-wmc8Fl1cb5Q_9_22"/>
                            <w:bookmarkStart w:id="371" w:name="Tc_SuaBwl4xDUeoeVNVhQm_sw_9_19"/>
                            <w:bookmarkStart w:id="372" w:name="Tc_Cxyzl7myQkyr6tWuBcyylw_9_16"/>
                            <w:bookmarkStart w:id="373" w:name="Tc_MVWWa-YeakSCq_k29eMtKw_9_13"/>
                            <w:bookmarkStart w:id="374" w:name="Tc_HjfDXJXHAEK8_bDgzuGjVQ_9_10"/>
                            <w:bookmarkStart w:id="375" w:name="Tc_yBOFaps8dku2qVp3hMm5pg_9_5"/>
                            <w:bookmarkStart w:id="376" w:name="Tc_6ufDBwiN1UG47KU4DVqgBg_9_2"/>
                            <w:bookmarkStart w:id="377" w:name="Tc_FgmKcx2X2k2jjqeje96H8w_9_0"/>
                            <w:bookmarkStart w:id="378" w:name="Tc_qNohR02KlUSQsKY9B7j3SA_8_19"/>
                            <w:bookmarkStart w:id="379" w:name="Tc_PWjGaZyuwEKhpIWqoWDoZw_8_16"/>
                            <w:bookmarkStart w:id="380" w:name="Tc_cr08YFrN3EC-_gV3M1QhQg_8_13"/>
                            <w:bookmarkStart w:id="381" w:name="Tc_-FnA74hHtEuu29TMChmROg_8_5"/>
                            <w:bookmarkStart w:id="382" w:name="Tc_n2y0bQ138UO_yrLy8GS0xQ_8_2"/>
                            <w:bookmarkStart w:id="383" w:name="Tc_OlB8mDmGEUyh-BDXfWvZdQ_8_0"/>
                            <w:bookmarkStart w:id="384" w:name="Tc_RnJNXviYLkCN4eovNtxkBQ_7_13"/>
                            <w:bookmarkStart w:id="385" w:name="Tc_EUtxDJokfkyJNNO7S6FJcQ_7_10"/>
                            <w:bookmarkStart w:id="386" w:name="Tc_qTPAWvyeyk2kDu7waWzNxw_7_7"/>
                            <w:bookmarkStart w:id="387" w:name="Tc_lZXy1SwN_EKZFegX3cwwpA_7_5"/>
                            <w:bookmarkStart w:id="388" w:name="Tc_mqZxp_CHnUmBfpW6jYyzLQ_7_2"/>
                            <w:bookmarkStart w:id="389" w:name="Tc_PAnje3e-N0mNItNVuHy_fw_7_0"/>
                            <w:bookmarkStart w:id="390" w:name="Tc_s_F4nE8VhEed_yQJGWgeHg_6_21"/>
                            <w:bookmarkStart w:id="391" w:name="Tc_6G8vyUhfA0KhKCmBHqnF6w_6_18"/>
                            <w:bookmarkStart w:id="392" w:name="Tc_it4JfmTszEuqSJNxMCUbvQ_6_16"/>
                            <w:bookmarkStart w:id="393" w:name="Tc_WBy7W9Iygk2P7YAjLgKNqg_6_15"/>
                            <w:bookmarkStart w:id="394" w:name="Tc_lHUXFAYWmUmzyCDbwJpM1A_6_12"/>
                            <w:bookmarkStart w:id="395" w:name="Tc_7v056Gn5HEaKqOp2Ov8lJA_6_9"/>
                            <w:bookmarkStart w:id="396" w:name="Tc_HjiuuStrgUyoiYFnnhHSsw_6_4"/>
                            <w:bookmarkStart w:id="397" w:name="Tc_4RBfTVUBsEaSotblFSvgOw_6_0"/>
                            <w:bookmarkStart w:id="398" w:name="Tc_K5Kc3acPDEyx-sbXvIkY-g_5_21"/>
                            <w:bookmarkStart w:id="399" w:name="Tc_BMRZiFORLUKcFlq-htCmzQ_5_18"/>
                            <w:bookmarkStart w:id="400" w:name="Tc_D1ZdaRio80OFjmdzMz2VMg_5_15"/>
                            <w:bookmarkStart w:id="401" w:name="Tc_V78NCHylOUWzpAfhTqZdmw_5_12"/>
                            <w:bookmarkStart w:id="402" w:name="Tc_kQk891R8206qZwAB5YWOAA_5_9"/>
                            <w:bookmarkStart w:id="403" w:name="Tc_1XSEvem4JU2-TqhL-qGSrA_5_7"/>
                            <w:bookmarkStart w:id="404" w:name="Tc_clIPlL33ik6iaEcENehyGA_5_4"/>
                            <w:bookmarkStart w:id="405" w:name="Tc_F79fj-OLrkORbDKSlT5zKQ_5_2"/>
                            <w:bookmarkStart w:id="406" w:name="Tc_-p0a9JMCl0SKfzF0KSvWIA_4_18"/>
                            <w:bookmarkStart w:id="407" w:name="Tc_Hj0nluh-mUu6vMc9pYKP8w_4_15"/>
                            <w:bookmarkStart w:id="408" w:name="Tc_NwNIfSPfqUCkmiGZpG5PCw_4_12"/>
                            <w:bookmarkStart w:id="409" w:name="Tc_4EhXeyOSNUGMjUD8rOGhAA_4_7"/>
                            <w:bookmarkStart w:id="410" w:name="Tc_MHv3nnfoVUiD99uZYuSXsg_4_2"/>
                            <w:bookmarkStart w:id="411" w:name="Tc_TRcdG634Z0qqNyMPiNV0Yw_3_15"/>
                            <w:bookmarkStart w:id="412" w:name="Tc_RdKvK0Nk7EWcdN5NHdCNbQ_3_12"/>
                            <w:bookmarkStart w:id="413" w:name="Tc_AkRgEVPejkG-Qxil3jSZTg_2_15"/>
                            <w:bookmarkStart w:id="414" w:name="Tc_huIJtiavw0auxCe4a-gVHg_1_2"/>
                            <w:bookmarkStart w:id="415" w:name="_62c0da3b_f93a_4640_b4c1_770232501a4e"/>
                            <w:bookmarkStart w:id="416" w:name="Tc_jK3YmQLH3Eu1TjXSC7-4GA_11_21"/>
                            <w:bookmarkStart w:id="417" w:name="Tc_gRpxhTDAeEWuuQqUqcPjcA_11_18"/>
                            <w:bookmarkStart w:id="418" w:name="Tc_NeGqXFjv2kCjfNLQnC8fqg_11_15"/>
                            <w:bookmarkStart w:id="419" w:name="Tc_wUQVq8XYwEifKs1Dkr3MCg_11_12"/>
                            <w:bookmarkStart w:id="420" w:name="Tc_r2JTGiX5tE-RyAv8Jnk4IQ_11_9"/>
                            <w:bookmarkStart w:id="421" w:name="Tc_cs8JP1aIO0Kj2qlcYjMlDQ_11_4"/>
                            <w:bookmarkStart w:id="422" w:name="Tc_Dm77CfB7vECZHi_HeenD7Q_11_0"/>
                            <w:bookmarkStart w:id="423" w:name="Tc_HzltVUQ9R0qXj9nW1P1tQw_10_19"/>
                            <w:bookmarkStart w:id="424" w:name="Tc_zRDQWtm5_kuJJARhRayaQw_10_16"/>
                            <w:bookmarkStart w:id="425" w:name="Tc_FIRtWCor10i5aoTTSXWdeQ_10_0"/>
                            <w:bookmarkStart w:id="426" w:name="Tc_XHjwQWtHpU-wmc8Fl1cb5Q_9_22"/>
                            <w:bookmarkStart w:id="427" w:name="Tc_SuaBwl4xDUeoeVNVhQm_sw_9_19"/>
                            <w:bookmarkStart w:id="428" w:name="Tc_Cxyzl7myQkyr6tWuBcyylw_9_16"/>
                            <w:bookmarkStart w:id="429" w:name="Tc_MVWWa-YeakSCq_k29eMtKw_9_13"/>
                            <w:bookmarkStart w:id="430" w:name="Tc_HjfDXJXHAEK8_bDgzuGjVQ_9_10"/>
                            <w:bookmarkStart w:id="431" w:name="Tc_yBOFaps8dku2qVp3hMm5pg_9_5"/>
                            <w:bookmarkStart w:id="432" w:name="Tc_6ufDBwiN1UG47KU4DVqgBg_9_2"/>
                            <w:bookmarkStart w:id="433" w:name="Tc_FgmKcx2X2k2jjqeje96H8w_9_0"/>
                            <w:bookmarkStart w:id="434" w:name="Tc_qNohR02KlUSQsKY9B7j3SA_8_19"/>
                            <w:bookmarkStart w:id="435" w:name="Tc_PWjGaZyuwEKhpIWqoWDoZw_8_16"/>
                            <w:bookmarkStart w:id="436" w:name="Tc_cr08YFrN3EC-_gV3M1QhQg_8_13"/>
                            <w:bookmarkStart w:id="437" w:name="Tc_-FnA74hHtEuu29TMChmROg_8_5"/>
                            <w:bookmarkStart w:id="438" w:name="Tc_n2y0bQ138UO_yrLy8GS0xQ_8_2"/>
                            <w:bookmarkStart w:id="439" w:name="Tc_OlB8mDmGEUyh-BDXfWvZdQ_8_0"/>
                            <w:bookmarkStart w:id="440" w:name="Tc_RnJNXviYLkCN4eovNtxkBQ_7_13"/>
                            <w:bookmarkStart w:id="441" w:name="Tc_EUtxDJokfkyJNNO7S6FJcQ_7_10"/>
                            <w:bookmarkStart w:id="442" w:name="Tc_qTPAWvyeyk2kDu7waWzNxw_7_7"/>
                            <w:bookmarkStart w:id="443" w:name="Tc_lZXy1SwN_EKZFegX3cwwpA_7_5"/>
                            <w:bookmarkStart w:id="444" w:name="Tc_mqZxp_CHnUmBfpW6jYyzLQ_7_2"/>
                            <w:bookmarkStart w:id="445" w:name="Tc_PAnje3e-N0mNItNVuHy_fw_7_0"/>
                            <w:bookmarkStart w:id="446" w:name="Tc_s_F4nE8VhEed_yQJGWgeHg_6_21"/>
                            <w:bookmarkStart w:id="447" w:name="Tc_6G8vyUhfA0KhKCmBHqnF6w_6_18"/>
                            <w:bookmarkStart w:id="448" w:name="Tc_it4JfmTszEuqSJNxMCUbvQ_6_16"/>
                            <w:bookmarkStart w:id="449" w:name="Tc_WBy7W9Iygk2P7YAjLgKNqg_6_15"/>
                            <w:bookmarkStart w:id="450" w:name="Tc_lHUXFAYWmUmzyCDbwJpM1A_6_12"/>
                            <w:bookmarkStart w:id="451" w:name="Tc_7v056Gn5HEaKqOp2Ov8lJA_6_9"/>
                            <w:bookmarkStart w:id="452" w:name="Tc_HjiuuStrgUyoiYFnnhHSsw_6_4"/>
                            <w:bookmarkStart w:id="453" w:name="Tc_4RBfTVUBsEaSotblFSvgOw_6_0"/>
                            <w:bookmarkStart w:id="454" w:name="Tc_K5Kc3acPDEyx-sbXvIkY-g_5_21"/>
                            <w:bookmarkStart w:id="455" w:name="Tc_BMRZiFORLUKcFlq-htCmzQ_5_18"/>
                            <w:bookmarkStart w:id="456" w:name="Tc_D1ZdaRio80OFjmdzMz2VMg_5_15"/>
                            <w:bookmarkStart w:id="457" w:name="Tc_V78NCHylOUWzpAfhTqZdmw_5_12"/>
                            <w:bookmarkStart w:id="458" w:name="Tc_kQk891R8206qZwAB5YWOAA_5_9"/>
                            <w:bookmarkStart w:id="459" w:name="Tc_1XSEvem4JU2-TqhL-qGSrA_5_7"/>
                            <w:bookmarkStart w:id="460" w:name="Tc_clIPlL33ik6iaEcENehyGA_5_4"/>
                            <w:bookmarkStart w:id="461" w:name="Tc_F79fj-OLrkORbDKSlT5zKQ_5_2"/>
                            <w:bookmarkStart w:id="462" w:name="Tc_-p0a9JMCl0SKfzF0KSvWIA_4_18"/>
                            <w:bookmarkStart w:id="463" w:name="Tc_Hj0nluh-mUu6vMc9pYKP8w_4_15"/>
                            <w:bookmarkStart w:id="464" w:name="Tc_NwNIfSPfqUCkmiGZpG5PCw_4_12"/>
                            <w:bookmarkStart w:id="465" w:name="Tc_4EhXeyOSNUGMjUD8rOGhAA_4_7"/>
                            <w:bookmarkStart w:id="466" w:name="Tc_MHv3nnfoVUiD99uZYuSXsg_4_2"/>
                            <w:bookmarkStart w:id="467" w:name="Tc_TRcdG634Z0qqNyMPiNV0Yw_3_15"/>
                            <w:bookmarkStart w:id="468" w:name="Tc_RdKvK0Nk7EWcdN5NHdCNbQ_3_12"/>
                            <w:bookmarkStart w:id="469" w:name="Tc_AkRgEVPejkG-Qxil3jSZTg_2_15"/>
                            <w:bookmarkStart w:id="470" w:name="Tc_huIJtiavw0auxCe4a-gVHg_1_2"/>
                            <w:bookmarkStart w:id="471" w:name="_62c0da3b_f93a_4640_b4c1_770232501a4e"/>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tbl>
                            <w:tblPr>
                              <w:tblW w:w="11276" w:type="dxa"/>
                              <w:jc w:val="left"/>
                              <w:tblInd w:w="0" w:type="dxa"/>
                              <w:tblCellMar>
                                <w:top w:w="0" w:type="dxa"/>
                                <w:left w:w="0" w:type="dxa"/>
                                <w:bottom w:w="0" w:type="dxa"/>
                                <w:right w:w="0" w:type="dxa"/>
                              </w:tblCellMar>
                            </w:tblPr>
                            <w:tblGrid>
                              <w:gridCol w:w="16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976"/>
                            </w:tblGrid>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67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80" w:type="dxa"/>
                                  <w:tcBorders/>
                                  <w:shd w:fill="auto" w:val="clear"/>
                                  <w:vAlign w:val="center"/>
                                </w:tcPr>
                                <w:p>
                                  <w:pPr>
                                    <w:pStyle w:val="TableContents"/>
                                    <w:spacing w:before="0" w:after="283"/>
                                    <w:ind w:left="0" w:right="0" w:hanging="0"/>
                                    <w:rPr>
                                      <w:sz w:val="4"/>
                                      <w:szCs w:val="4"/>
                                    </w:rPr>
                                  </w:pPr>
                                  <w:r>
                                    <w:rPr>
                                      <w:sz w:val="4"/>
                                      <w:szCs w:val="4"/>
                                    </w:rPr>
                                  </w:r>
                                </w:p>
                              </w:tc>
                              <w:tc>
                                <w:tcPr>
                                  <w:tcW w:w="56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67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370" w:type="dxa"/>
                                  <w:tcBorders/>
                                  <w:shd w:fill="auto" w:val="clear"/>
                                  <w:vAlign w:val="center"/>
                                </w:tcPr>
                                <w:p>
                                  <w:pPr>
                                    <w:pStyle w:val="TableContents"/>
                                    <w:spacing w:before="0" w:after="283"/>
                                    <w:ind w:left="0" w:right="0" w:hanging="0"/>
                                    <w:rPr>
                                      <w:sz w:val="4"/>
                                      <w:szCs w:val="4"/>
                                    </w:rPr>
                                  </w:pPr>
                                  <w:r>
                                    <w:rPr>
                                      <w:sz w:val="4"/>
                                      <w:szCs w:val="4"/>
                                    </w:rPr>
                                  </w:r>
                                </w:p>
                              </w:tc>
                              <w:tc>
                                <w:tcPr>
                                  <w:tcW w:w="84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3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76" w:type="dxa"/>
                                  <w:tcBorders/>
                                  <w:shd w:fill="auto" w:val="clear"/>
                                  <w:vAlign w:val="center"/>
                                </w:tcPr>
                                <w:p>
                                  <w:pPr>
                                    <w:pStyle w:val="TableContents"/>
                                    <w:spacing w:before="0" w:after="283"/>
                                    <w:ind w:left="0" w:right="0" w:hanging="0"/>
                                    <w:rPr>
                                      <w:sz w:val="4"/>
                                      <w:szCs w:val="4"/>
                                    </w:rPr>
                                  </w:pPr>
                                  <w:r>
                                    <w:rPr>
                                      <w:sz w:val="4"/>
                                      <w:szCs w:val="4"/>
                                    </w:rPr>
                                  </w:r>
                                </w:p>
                              </w:tc>
                            </w:tr>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5211" w:type="dxa"/>
                                  <w:gridSpan w:val="1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2022</w:t>
                                  </w:r>
                                </w:p>
                              </w:tc>
                              <w:tc>
                                <w:tcPr>
                                  <w:tcW w:w="206"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84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80" w:type="dxa"/>
                                  <w:tcBorders/>
                                  <w:shd w:fill="auto" w:val="clear"/>
                                  <w:vAlign w:val="center"/>
                                </w:tcPr>
                                <w:p>
                                  <w:pPr>
                                    <w:pStyle w:val="TableContents"/>
                                    <w:spacing w:before="0" w:after="0"/>
                                    <w:ind w:left="0" w:right="0" w:hanging="0"/>
                                    <w:rPr/>
                                  </w:pPr>
                                  <w:r>
                                    <w:rPr/>
                                    <w:t>​</w:t>
                                  </w:r>
                                </w:p>
                              </w:tc>
                              <w:tc>
                                <w:tcPr>
                                  <w:tcW w:w="56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80" w:type="dxa"/>
                                  <w:tcBorders/>
                                  <w:shd w:fill="auto" w:val="clear"/>
                                  <w:vAlign w:val="center"/>
                                </w:tcPr>
                                <w:p>
                                  <w:pPr>
                                    <w:pStyle w:val="TableContents"/>
                                    <w:spacing w:before="0" w:after="0"/>
                                    <w:ind w:left="0" w:right="0" w:hanging="0"/>
                                    <w:rPr/>
                                  </w:pPr>
                                  <w:r>
                                    <w:rPr/>
                                    <w:t>​</w:t>
                                  </w:r>
                                </w:p>
                              </w:tc>
                              <w:tc>
                                <w:tcPr>
                                  <w:tcW w:w="56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72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shd w:fill="auto" w:val="clear"/>
                                  <w:vAlign w:val="center"/>
                                </w:tcPr>
                                <w:p>
                                  <w:pPr>
                                    <w:pStyle w:val="TableContents"/>
                                    <w:spacing w:before="0" w:after="0"/>
                                    <w:ind w:left="0" w:right="0" w:hanging="0"/>
                                    <w:jc w:val="center"/>
                                    <w:rPr/>
                                  </w:pPr>
                                  <w:r>
                                    <w:rPr/>
                                    <w:t>​</w:t>
                                  </w:r>
                                </w:p>
                              </w:tc>
                              <w:tc>
                                <w:tcPr>
                                  <w:tcW w:w="208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shd w:fill="auto" w:val="clear"/>
                                  <w:vAlign w:val="center"/>
                                </w:tcPr>
                                <w:p>
                                  <w:pPr>
                                    <w:pStyle w:val="TableContents"/>
                                    <w:spacing w:before="0" w:after="0"/>
                                    <w:ind w:left="0" w:right="0" w:hanging="0"/>
                                    <w:jc w:val="center"/>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0"/>
                                    <w:ind w:left="0" w:right="0" w:hanging="0"/>
                                    <w:jc w:val="center"/>
                                    <w:rPr/>
                                  </w:pPr>
                                  <w:r>
                                    <w:rPr/>
                                    <w:t>  </w:t>
                                  </w:r>
                                </w:p>
                              </w:tc>
                              <w:tc>
                                <w:tcPr>
                                  <w:tcW w:w="8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0"/>
                                    <w:ind w:left="0" w:right="0" w:hanging="0"/>
                                    <w:jc w:val="center"/>
                                    <w:rPr/>
                                  </w:pPr>
                                  <w:r>
                                    <w:rPr/>
                                    <w:t>  </w:t>
                                  </w:r>
                                </w:p>
                              </w:tc>
                              <w:tc>
                                <w:tcPr>
                                  <w:tcW w:w="12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shd w:fill="auto" w:val="clear"/>
                                  <w:vAlign w:val="center"/>
                                </w:tcPr>
                                <w:p>
                                  <w:pPr>
                                    <w:pStyle w:val="TableContents"/>
                                    <w:spacing w:before="0" w:after="0"/>
                                    <w:ind w:left="0" w:right="0" w:hanging="0"/>
                                    <w:jc w:val="center"/>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206" w:type="dxa"/>
                                  <w:tcBorders/>
                                  <w:shd w:fill="CCEEFF" w:val="clear"/>
                                  <w:vAlign w:val="center"/>
                                </w:tcPr>
                                <w:p>
                                  <w:pPr>
                                    <w:pStyle w:val="TableContents"/>
                                    <w:spacing w:before="0" w:after="0"/>
                                    <w:ind w:left="0" w:right="0" w:hanging="0"/>
                                    <w:rPr/>
                                  </w:pPr>
                                  <w:r>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53,637</w:t>
                                  </w:r>
                                </w:p>
                              </w:tc>
                              <w:tc>
                                <w:tcPr>
                                  <w:tcW w:w="206" w:type="dxa"/>
                                  <w:tcBorders/>
                                  <w:shd w:fill="CCEEFF" w:val="clear"/>
                                  <w:vAlign w:val="center"/>
                                </w:tcPr>
                                <w:p>
                                  <w:pPr>
                                    <w:pStyle w:val="TableContents"/>
                                    <w:spacing w:before="0" w:after="0"/>
                                    <w:ind w:left="0" w:right="0" w:hanging="0"/>
                                    <w:rPr/>
                                  </w:pPr>
                                  <w:r>
                                    <w:rPr/>
                                    <w:t>​</w:t>
                                  </w:r>
                                </w:p>
                              </w:tc>
                              <w:tc>
                                <w:tcPr>
                                  <w:tcW w:w="28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536</w:t>
                                  </w:r>
                                </w:p>
                              </w:tc>
                              <w:tc>
                                <w:tcPr>
                                  <w:tcW w:w="206" w:type="dxa"/>
                                  <w:tcBorders/>
                                  <w:shd w:fill="CCEEFF" w:val="clear"/>
                                  <w:vAlign w:val="center"/>
                                </w:tcPr>
                                <w:p>
                                  <w:pPr>
                                    <w:pStyle w:val="TableContents"/>
                                    <w:spacing w:before="0" w:after="0"/>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15,915</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(1,107,211)</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296,670</w:t>
                                  </w:r>
                                </w:p>
                              </w:tc>
                              <w:tc>
                                <w:tcPr>
                                  <w:tcW w:w="206" w:type="dxa"/>
                                  <w:tcBorders/>
                                  <w:shd w:fill="CCEEFF" w:val="clear"/>
                                  <w:vAlign w:val="center"/>
                                </w:tcPr>
                                <w:p>
                                  <w:pPr>
                                    <w:pStyle w:val="TableContents"/>
                                    <w:spacing w:before="0" w:after="0"/>
                                    <w:ind w:left="0" w:right="0" w:hanging="0"/>
                                    <w:rPr/>
                                  </w:pPr>
                                  <w:r>
                                    <w:rPr/>
                                    <w:t>​</w:t>
                                  </w:r>
                                </w:p>
                              </w:tc>
                              <w:tc>
                                <w:tcPr>
                                  <w:tcW w:w="37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1,855,052</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1,045,047</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 </w:t>
                                  </w:r>
                                </w:p>
                              </w:tc>
                              <w:tc>
                                <w:tcPr>
                                  <w:tcW w:w="56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 </w:t>
                                  </w:r>
                                </w:p>
                              </w:tc>
                              <w:tc>
                                <w:tcPr>
                                  <w:tcW w:w="84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(323)</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58,078</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57,755</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pPr>
                                  <w:r>
                                    <w:rPr/>
                                    <w:t> </w:t>
                                  </w:r>
                                </w:p>
                              </w:tc>
                              <w:tc>
                                <w:tcPr>
                                  <w:tcW w:w="56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4,575</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(394,930)</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(394,930)</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 </w:t>
                                  </w:r>
                                </w:p>
                              </w:tc>
                              <w:tc>
                                <w:tcPr>
                                  <w:tcW w:w="56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 </w:t>
                                  </w:r>
                                </w:p>
                              </w:tc>
                              <w:tc>
                                <w:tcPr>
                                  <w:tcW w:w="84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189</w:t>
                                  </w:r>
                                </w:p>
                              </w:tc>
                              <w:tc>
                                <w:tcPr>
                                  <w:tcW w:w="206" w:type="dxa"/>
                                  <w:tcBorders/>
                                  <w:shd w:fill="CCEEFF" w:val="clear"/>
                                  <w:vAlign w:val="center"/>
                                </w:tcPr>
                                <w:p>
                                  <w:pPr>
                                    <w:pStyle w:val="TableContents"/>
                                    <w:spacing w:before="0" w:after="0"/>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(4,625)</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3,188</w:t>
                                  </w:r>
                                </w:p>
                              </w:tc>
                              <w:tc>
                                <w:tcPr>
                                  <w:tcW w:w="206" w:type="dxa"/>
                                  <w:tcBorders/>
                                  <w:shd w:fill="CCEEFF" w:val="clear"/>
                                  <w:vAlign w:val="center"/>
                                </w:tcPr>
                                <w:p>
                                  <w:pPr>
                                    <w:pStyle w:val="TableContents"/>
                                    <w:spacing w:before="0" w:after="0"/>
                                    <w:ind w:left="0" w:right="0" w:hanging="0"/>
                                    <w:rPr/>
                                  </w:pPr>
                                  <w:r>
                                    <w:rPr/>
                                    <w:t>​</w:t>
                                  </w:r>
                                </w:p>
                              </w:tc>
                              <w:tc>
                                <w:tcPr>
                                  <w:tcW w:w="3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(1,435)</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March 31, 2022</w:t>
                                  </w:r>
                                </w:p>
                              </w:tc>
                              <w:tc>
                                <w:tcPr>
                                  <w:tcW w:w="206" w:type="dxa"/>
                                  <w:tcBorders/>
                                  <w:shd w:fill="auto" w:val="clear"/>
                                  <w:vAlign w:val="center"/>
                                </w:tcPr>
                                <w:p>
                                  <w:pPr>
                                    <w:pStyle w:val="TableContents"/>
                                    <w:spacing w:before="0" w:after="0"/>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53,826</w:t>
                                  </w:r>
                                </w:p>
                              </w:tc>
                              <w:tc>
                                <w:tcPr>
                                  <w:tcW w:w="206" w:type="dxa"/>
                                  <w:tcBorders/>
                                  <w:shd w:fill="auto" w:val="clear"/>
                                  <w:vAlign w:val="center"/>
                                </w:tcPr>
                                <w:p>
                                  <w:pPr>
                                    <w:pStyle w:val="TableContents"/>
                                    <w:spacing w:before="0" w:after="0"/>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538</w:t>
                                  </w:r>
                                </w:p>
                              </w:tc>
                              <w:tc>
                                <w:tcPr>
                                  <w:tcW w:w="206" w:type="dxa"/>
                                  <w:tcBorders/>
                                  <w:shd w:fill="auto" w:val="clear"/>
                                  <w:vAlign w:val="center"/>
                                </w:tcPr>
                                <w:p>
                                  <w:pPr>
                                    <w:pStyle w:val="TableContents"/>
                                    <w:spacing w:before="0" w:after="0"/>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20,548</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(1,506,766)</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299,858</w:t>
                                  </w:r>
                                </w:p>
                              </w:tc>
                              <w:tc>
                                <w:tcPr>
                                  <w:tcW w:w="206" w:type="dxa"/>
                                  <w:tcBorders/>
                                  <w:shd w:fill="auto" w:val="clear"/>
                                  <w:vAlign w:val="center"/>
                                </w:tcPr>
                                <w:p>
                                  <w:pPr>
                                    <w:pStyle w:val="TableContents"/>
                                    <w:spacing w:before="0" w:after="0"/>
                                    <w:ind w:left="0" w:right="0" w:hanging="0"/>
                                    <w:rPr/>
                                  </w:pPr>
                                  <w:r>
                                    <w:rPr/>
                                    <w:t>​</w:t>
                                  </w:r>
                                </w:p>
                              </w:tc>
                              <w:tc>
                                <w:tcPr>
                                  <w:tcW w:w="37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(323)</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1,913,130</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9"/>
                                    </w:rPr>
                                  </w:pPr>
                                  <w:r>
                                    <w:rPr>
                                      <w:rFonts w:ascii="Times New Roman;Times;serif" w:hAnsi="Times New Roman;Times;serif"/>
                                      <w:sz w:val="19"/>
                                    </w:rPr>
                                    <w:t>706,437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35pt;mso-wrap-distance-left:0pt;mso-wrap-distance-right:0pt;mso-wrap-distance-top:0pt;mso-wrap-distance-bottom:0pt;margin-top:0pt;mso-position-vertical:top;mso-position-vertical-relative:text;margin-left:0pt;mso-position-horizontal:right;mso-position-horizontal-relative:text">
                <v:textbox>
                  <w:txbxContent>
                    <w:p>
                      <w:pPr>
                        <w:pStyle w:val="Normal"/>
                        <w:spacing w:before="0" w:after="0"/>
                        <w:rPr>
                          <w:sz w:val="4"/>
                          <w:szCs w:val="4"/>
                        </w:rPr>
                      </w:pPr>
                      <w:r>
                        <w:rPr>
                          <w:sz w:val="4"/>
                          <w:szCs w:val="4"/>
                        </w:rPr>
                      </w:r>
                      <w:bookmarkStart w:id="472" w:name="Tc_jK3YmQLH3Eu1TjXSC7-4GA_11_21"/>
                      <w:bookmarkStart w:id="473" w:name="Tc_gRpxhTDAeEWuuQqUqcPjcA_11_18"/>
                      <w:bookmarkStart w:id="474" w:name="Tc_NeGqXFjv2kCjfNLQnC8fqg_11_15"/>
                      <w:bookmarkStart w:id="475" w:name="Tc_wUQVq8XYwEifKs1Dkr3MCg_11_12"/>
                      <w:bookmarkStart w:id="476" w:name="Tc_r2JTGiX5tE-RyAv8Jnk4IQ_11_9"/>
                      <w:bookmarkStart w:id="477" w:name="Tc_cs8JP1aIO0Kj2qlcYjMlDQ_11_4"/>
                      <w:bookmarkStart w:id="478" w:name="Tc_Dm77CfB7vECZHi_HeenD7Q_11_0"/>
                      <w:bookmarkStart w:id="479" w:name="Tc_HzltVUQ9R0qXj9nW1P1tQw_10_19"/>
                      <w:bookmarkStart w:id="480" w:name="Tc_zRDQWtm5_kuJJARhRayaQw_10_16"/>
                      <w:bookmarkStart w:id="481" w:name="Tc_FIRtWCor10i5aoTTSXWdeQ_10_0"/>
                      <w:bookmarkStart w:id="482" w:name="Tc_XHjwQWtHpU-wmc8Fl1cb5Q_9_22"/>
                      <w:bookmarkStart w:id="483" w:name="Tc_SuaBwl4xDUeoeVNVhQm_sw_9_19"/>
                      <w:bookmarkStart w:id="484" w:name="Tc_Cxyzl7myQkyr6tWuBcyylw_9_16"/>
                      <w:bookmarkStart w:id="485" w:name="Tc_MVWWa-YeakSCq_k29eMtKw_9_13"/>
                      <w:bookmarkStart w:id="486" w:name="Tc_HjfDXJXHAEK8_bDgzuGjVQ_9_10"/>
                      <w:bookmarkStart w:id="487" w:name="Tc_yBOFaps8dku2qVp3hMm5pg_9_5"/>
                      <w:bookmarkStart w:id="488" w:name="Tc_6ufDBwiN1UG47KU4DVqgBg_9_2"/>
                      <w:bookmarkStart w:id="489" w:name="Tc_FgmKcx2X2k2jjqeje96H8w_9_0"/>
                      <w:bookmarkStart w:id="490" w:name="Tc_qNohR02KlUSQsKY9B7j3SA_8_19"/>
                      <w:bookmarkStart w:id="491" w:name="Tc_PWjGaZyuwEKhpIWqoWDoZw_8_16"/>
                      <w:bookmarkStart w:id="492" w:name="Tc_cr08YFrN3EC-_gV3M1QhQg_8_13"/>
                      <w:bookmarkStart w:id="493" w:name="Tc_-FnA74hHtEuu29TMChmROg_8_5"/>
                      <w:bookmarkStart w:id="494" w:name="Tc_n2y0bQ138UO_yrLy8GS0xQ_8_2"/>
                      <w:bookmarkStart w:id="495" w:name="Tc_OlB8mDmGEUyh-BDXfWvZdQ_8_0"/>
                      <w:bookmarkStart w:id="496" w:name="Tc_RnJNXviYLkCN4eovNtxkBQ_7_13"/>
                      <w:bookmarkStart w:id="497" w:name="Tc_EUtxDJokfkyJNNO7S6FJcQ_7_10"/>
                      <w:bookmarkStart w:id="498" w:name="Tc_qTPAWvyeyk2kDu7waWzNxw_7_7"/>
                      <w:bookmarkStart w:id="499" w:name="Tc_lZXy1SwN_EKZFegX3cwwpA_7_5"/>
                      <w:bookmarkStart w:id="500" w:name="Tc_mqZxp_CHnUmBfpW6jYyzLQ_7_2"/>
                      <w:bookmarkStart w:id="501" w:name="Tc_PAnje3e-N0mNItNVuHy_fw_7_0"/>
                      <w:bookmarkStart w:id="502" w:name="Tc_s_F4nE8VhEed_yQJGWgeHg_6_21"/>
                      <w:bookmarkStart w:id="503" w:name="Tc_6G8vyUhfA0KhKCmBHqnF6w_6_18"/>
                      <w:bookmarkStart w:id="504" w:name="Tc_it4JfmTszEuqSJNxMCUbvQ_6_16"/>
                      <w:bookmarkStart w:id="505" w:name="Tc_WBy7W9Iygk2P7YAjLgKNqg_6_15"/>
                      <w:bookmarkStart w:id="506" w:name="Tc_lHUXFAYWmUmzyCDbwJpM1A_6_12"/>
                      <w:bookmarkStart w:id="507" w:name="Tc_7v056Gn5HEaKqOp2Ov8lJA_6_9"/>
                      <w:bookmarkStart w:id="508" w:name="Tc_HjiuuStrgUyoiYFnnhHSsw_6_4"/>
                      <w:bookmarkStart w:id="509" w:name="Tc_4RBfTVUBsEaSotblFSvgOw_6_0"/>
                      <w:bookmarkStart w:id="510" w:name="Tc_K5Kc3acPDEyx-sbXvIkY-g_5_21"/>
                      <w:bookmarkStart w:id="511" w:name="Tc_BMRZiFORLUKcFlq-htCmzQ_5_18"/>
                      <w:bookmarkStart w:id="512" w:name="Tc_D1ZdaRio80OFjmdzMz2VMg_5_15"/>
                      <w:bookmarkStart w:id="513" w:name="Tc_V78NCHylOUWzpAfhTqZdmw_5_12"/>
                      <w:bookmarkStart w:id="514" w:name="Tc_kQk891R8206qZwAB5YWOAA_5_9"/>
                      <w:bookmarkStart w:id="515" w:name="Tc_1XSEvem4JU2-TqhL-qGSrA_5_7"/>
                      <w:bookmarkStart w:id="516" w:name="Tc_clIPlL33ik6iaEcENehyGA_5_4"/>
                      <w:bookmarkStart w:id="517" w:name="Tc_F79fj-OLrkORbDKSlT5zKQ_5_2"/>
                      <w:bookmarkStart w:id="518" w:name="Tc_-p0a9JMCl0SKfzF0KSvWIA_4_18"/>
                      <w:bookmarkStart w:id="519" w:name="Tc_Hj0nluh-mUu6vMc9pYKP8w_4_15"/>
                      <w:bookmarkStart w:id="520" w:name="Tc_NwNIfSPfqUCkmiGZpG5PCw_4_12"/>
                      <w:bookmarkStart w:id="521" w:name="Tc_4EhXeyOSNUGMjUD8rOGhAA_4_7"/>
                      <w:bookmarkStart w:id="522" w:name="Tc_MHv3nnfoVUiD99uZYuSXsg_4_2"/>
                      <w:bookmarkStart w:id="523" w:name="Tc_TRcdG634Z0qqNyMPiNV0Yw_3_15"/>
                      <w:bookmarkStart w:id="524" w:name="Tc_RdKvK0Nk7EWcdN5NHdCNbQ_3_12"/>
                      <w:bookmarkStart w:id="525" w:name="Tc_AkRgEVPejkG-Qxil3jSZTg_2_15"/>
                      <w:bookmarkStart w:id="526" w:name="Tc_huIJtiavw0auxCe4a-gVHg_1_2"/>
                      <w:bookmarkStart w:id="527" w:name="_62c0da3b_f93a_4640_b4c1_770232501a4e"/>
                      <w:bookmarkStart w:id="528" w:name="Tc_jK3YmQLH3Eu1TjXSC7-4GA_11_21"/>
                      <w:bookmarkStart w:id="529" w:name="Tc_gRpxhTDAeEWuuQqUqcPjcA_11_18"/>
                      <w:bookmarkStart w:id="530" w:name="Tc_NeGqXFjv2kCjfNLQnC8fqg_11_15"/>
                      <w:bookmarkStart w:id="531" w:name="Tc_wUQVq8XYwEifKs1Dkr3MCg_11_12"/>
                      <w:bookmarkStart w:id="532" w:name="Tc_r2JTGiX5tE-RyAv8Jnk4IQ_11_9"/>
                      <w:bookmarkStart w:id="533" w:name="Tc_cs8JP1aIO0Kj2qlcYjMlDQ_11_4"/>
                      <w:bookmarkStart w:id="534" w:name="Tc_Dm77CfB7vECZHi_HeenD7Q_11_0"/>
                      <w:bookmarkStart w:id="535" w:name="Tc_HzltVUQ9R0qXj9nW1P1tQw_10_19"/>
                      <w:bookmarkStart w:id="536" w:name="Tc_zRDQWtm5_kuJJARhRayaQw_10_16"/>
                      <w:bookmarkStart w:id="537" w:name="Tc_FIRtWCor10i5aoTTSXWdeQ_10_0"/>
                      <w:bookmarkStart w:id="538" w:name="Tc_XHjwQWtHpU-wmc8Fl1cb5Q_9_22"/>
                      <w:bookmarkStart w:id="539" w:name="Tc_SuaBwl4xDUeoeVNVhQm_sw_9_19"/>
                      <w:bookmarkStart w:id="540" w:name="Tc_Cxyzl7myQkyr6tWuBcyylw_9_16"/>
                      <w:bookmarkStart w:id="541" w:name="Tc_MVWWa-YeakSCq_k29eMtKw_9_13"/>
                      <w:bookmarkStart w:id="542" w:name="Tc_HjfDXJXHAEK8_bDgzuGjVQ_9_10"/>
                      <w:bookmarkStart w:id="543" w:name="Tc_yBOFaps8dku2qVp3hMm5pg_9_5"/>
                      <w:bookmarkStart w:id="544" w:name="Tc_6ufDBwiN1UG47KU4DVqgBg_9_2"/>
                      <w:bookmarkStart w:id="545" w:name="Tc_FgmKcx2X2k2jjqeje96H8w_9_0"/>
                      <w:bookmarkStart w:id="546" w:name="Tc_qNohR02KlUSQsKY9B7j3SA_8_19"/>
                      <w:bookmarkStart w:id="547" w:name="Tc_PWjGaZyuwEKhpIWqoWDoZw_8_16"/>
                      <w:bookmarkStart w:id="548" w:name="Tc_cr08YFrN3EC-_gV3M1QhQg_8_13"/>
                      <w:bookmarkStart w:id="549" w:name="Tc_-FnA74hHtEuu29TMChmROg_8_5"/>
                      <w:bookmarkStart w:id="550" w:name="Tc_n2y0bQ138UO_yrLy8GS0xQ_8_2"/>
                      <w:bookmarkStart w:id="551" w:name="Tc_OlB8mDmGEUyh-BDXfWvZdQ_8_0"/>
                      <w:bookmarkStart w:id="552" w:name="Tc_RnJNXviYLkCN4eovNtxkBQ_7_13"/>
                      <w:bookmarkStart w:id="553" w:name="Tc_EUtxDJokfkyJNNO7S6FJcQ_7_10"/>
                      <w:bookmarkStart w:id="554" w:name="Tc_qTPAWvyeyk2kDu7waWzNxw_7_7"/>
                      <w:bookmarkStart w:id="555" w:name="Tc_lZXy1SwN_EKZFegX3cwwpA_7_5"/>
                      <w:bookmarkStart w:id="556" w:name="Tc_mqZxp_CHnUmBfpW6jYyzLQ_7_2"/>
                      <w:bookmarkStart w:id="557" w:name="Tc_PAnje3e-N0mNItNVuHy_fw_7_0"/>
                      <w:bookmarkStart w:id="558" w:name="Tc_s_F4nE8VhEed_yQJGWgeHg_6_21"/>
                      <w:bookmarkStart w:id="559" w:name="Tc_6G8vyUhfA0KhKCmBHqnF6w_6_18"/>
                      <w:bookmarkStart w:id="560" w:name="Tc_it4JfmTszEuqSJNxMCUbvQ_6_16"/>
                      <w:bookmarkStart w:id="561" w:name="Tc_WBy7W9Iygk2P7YAjLgKNqg_6_15"/>
                      <w:bookmarkStart w:id="562" w:name="Tc_lHUXFAYWmUmzyCDbwJpM1A_6_12"/>
                      <w:bookmarkStart w:id="563" w:name="Tc_7v056Gn5HEaKqOp2Ov8lJA_6_9"/>
                      <w:bookmarkStart w:id="564" w:name="Tc_HjiuuStrgUyoiYFnnhHSsw_6_4"/>
                      <w:bookmarkStart w:id="565" w:name="Tc_4RBfTVUBsEaSotblFSvgOw_6_0"/>
                      <w:bookmarkStart w:id="566" w:name="Tc_K5Kc3acPDEyx-sbXvIkY-g_5_21"/>
                      <w:bookmarkStart w:id="567" w:name="Tc_BMRZiFORLUKcFlq-htCmzQ_5_18"/>
                      <w:bookmarkStart w:id="568" w:name="Tc_D1ZdaRio80OFjmdzMz2VMg_5_15"/>
                      <w:bookmarkStart w:id="569" w:name="Tc_V78NCHylOUWzpAfhTqZdmw_5_12"/>
                      <w:bookmarkStart w:id="570" w:name="Tc_kQk891R8206qZwAB5YWOAA_5_9"/>
                      <w:bookmarkStart w:id="571" w:name="Tc_1XSEvem4JU2-TqhL-qGSrA_5_7"/>
                      <w:bookmarkStart w:id="572" w:name="Tc_clIPlL33ik6iaEcENehyGA_5_4"/>
                      <w:bookmarkStart w:id="573" w:name="Tc_F79fj-OLrkORbDKSlT5zKQ_5_2"/>
                      <w:bookmarkStart w:id="574" w:name="Tc_-p0a9JMCl0SKfzF0KSvWIA_4_18"/>
                      <w:bookmarkStart w:id="575" w:name="Tc_Hj0nluh-mUu6vMc9pYKP8w_4_15"/>
                      <w:bookmarkStart w:id="576" w:name="Tc_NwNIfSPfqUCkmiGZpG5PCw_4_12"/>
                      <w:bookmarkStart w:id="577" w:name="Tc_4EhXeyOSNUGMjUD8rOGhAA_4_7"/>
                      <w:bookmarkStart w:id="578" w:name="Tc_MHv3nnfoVUiD99uZYuSXsg_4_2"/>
                      <w:bookmarkStart w:id="579" w:name="Tc_TRcdG634Z0qqNyMPiNV0Yw_3_15"/>
                      <w:bookmarkStart w:id="580" w:name="Tc_RdKvK0Nk7EWcdN5NHdCNbQ_3_12"/>
                      <w:bookmarkStart w:id="581" w:name="Tc_AkRgEVPejkG-Qxil3jSZTg_2_15"/>
                      <w:bookmarkStart w:id="582" w:name="Tc_huIJtiavw0auxCe4a-gVHg_1_2"/>
                      <w:bookmarkStart w:id="583" w:name="_62c0da3b_f93a_4640_b4c1_770232501a4e"/>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tbl>
                      <w:tblPr>
                        <w:tblW w:w="11276" w:type="dxa"/>
                        <w:jc w:val="left"/>
                        <w:tblInd w:w="0" w:type="dxa"/>
                        <w:tblCellMar>
                          <w:top w:w="0" w:type="dxa"/>
                          <w:left w:w="0" w:type="dxa"/>
                          <w:bottom w:w="0" w:type="dxa"/>
                          <w:right w:w="0" w:type="dxa"/>
                        </w:tblCellMar>
                      </w:tblPr>
                      <w:tblGrid>
                        <w:gridCol w:w="16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976"/>
                      </w:tblGrid>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67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80" w:type="dxa"/>
                            <w:tcBorders/>
                            <w:shd w:fill="auto" w:val="clear"/>
                            <w:vAlign w:val="center"/>
                          </w:tcPr>
                          <w:p>
                            <w:pPr>
                              <w:pStyle w:val="TableContents"/>
                              <w:spacing w:before="0" w:after="283"/>
                              <w:ind w:left="0" w:right="0" w:hanging="0"/>
                              <w:rPr>
                                <w:sz w:val="4"/>
                                <w:szCs w:val="4"/>
                              </w:rPr>
                            </w:pPr>
                            <w:r>
                              <w:rPr>
                                <w:sz w:val="4"/>
                                <w:szCs w:val="4"/>
                              </w:rPr>
                            </w:r>
                          </w:p>
                        </w:tc>
                        <w:tc>
                          <w:tcPr>
                            <w:tcW w:w="56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67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370" w:type="dxa"/>
                            <w:tcBorders/>
                            <w:shd w:fill="auto" w:val="clear"/>
                            <w:vAlign w:val="center"/>
                          </w:tcPr>
                          <w:p>
                            <w:pPr>
                              <w:pStyle w:val="TableContents"/>
                              <w:spacing w:before="0" w:after="283"/>
                              <w:ind w:left="0" w:right="0" w:hanging="0"/>
                              <w:rPr>
                                <w:sz w:val="4"/>
                                <w:szCs w:val="4"/>
                              </w:rPr>
                            </w:pPr>
                            <w:r>
                              <w:rPr>
                                <w:sz w:val="4"/>
                                <w:szCs w:val="4"/>
                              </w:rPr>
                            </w:r>
                          </w:p>
                        </w:tc>
                        <w:tc>
                          <w:tcPr>
                            <w:tcW w:w="84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31"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976" w:type="dxa"/>
                            <w:tcBorders/>
                            <w:shd w:fill="auto" w:val="clear"/>
                            <w:vAlign w:val="center"/>
                          </w:tcPr>
                          <w:p>
                            <w:pPr>
                              <w:pStyle w:val="TableContents"/>
                              <w:spacing w:before="0" w:after="283"/>
                              <w:ind w:left="0" w:right="0" w:hanging="0"/>
                              <w:rPr>
                                <w:sz w:val="4"/>
                                <w:szCs w:val="4"/>
                              </w:rPr>
                            </w:pPr>
                            <w:r>
                              <w:rPr>
                                <w:sz w:val="4"/>
                                <w:szCs w:val="4"/>
                              </w:rPr>
                            </w:r>
                          </w:p>
                        </w:tc>
                      </w:tr>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5211" w:type="dxa"/>
                            <w:gridSpan w:val="1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2022</w:t>
                            </w:r>
                          </w:p>
                        </w:tc>
                        <w:tc>
                          <w:tcPr>
                            <w:tcW w:w="206"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84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80" w:type="dxa"/>
                            <w:tcBorders/>
                            <w:shd w:fill="auto" w:val="clear"/>
                            <w:vAlign w:val="center"/>
                          </w:tcPr>
                          <w:p>
                            <w:pPr>
                              <w:pStyle w:val="TableContents"/>
                              <w:spacing w:before="0" w:after="0"/>
                              <w:ind w:left="0" w:right="0" w:hanging="0"/>
                              <w:rPr/>
                            </w:pPr>
                            <w:r>
                              <w:rPr/>
                              <w:t>​</w:t>
                            </w:r>
                          </w:p>
                        </w:tc>
                        <w:tc>
                          <w:tcPr>
                            <w:tcW w:w="56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80" w:type="dxa"/>
                            <w:tcBorders/>
                            <w:shd w:fill="auto" w:val="clear"/>
                            <w:vAlign w:val="center"/>
                          </w:tcPr>
                          <w:p>
                            <w:pPr>
                              <w:pStyle w:val="TableContents"/>
                              <w:spacing w:before="0" w:after="0"/>
                              <w:ind w:left="0" w:right="0" w:hanging="0"/>
                              <w:rPr/>
                            </w:pPr>
                            <w:r>
                              <w:rPr/>
                              <w:t>​</w:t>
                            </w:r>
                          </w:p>
                        </w:tc>
                        <w:tc>
                          <w:tcPr>
                            <w:tcW w:w="56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72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shd w:fill="auto" w:val="clear"/>
                            <w:vAlign w:val="center"/>
                          </w:tcPr>
                          <w:p>
                            <w:pPr>
                              <w:pStyle w:val="TableContents"/>
                              <w:spacing w:before="0" w:after="0"/>
                              <w:ind w:left="0" w:right="0" w:hanging="0"/>
                              <w:jc w:val="center"/>
                              <w:rPr/>
                            </w:pPr>
                            <w:r>
                              <w:rPr/>
                              <w:t>​</w:t>
                            </w:r>
                          </w:p>
                        </w:tc>
                        <w:tc>
                          <w:tcPr>
                            <w:tcW w:w="208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shd w:fill="auto" w:val="clear"/>
                            <w:vAlign w:val="center"/>
                          </w:tcPr>
                          <w:p>
                            <w:pPr>
                              <w:pStyle w:val="TableContents"/>
                              <w:spacing w:before="0" w:after="0"/>
                              <w:ind w:left="0" w:right="0" w:hanging="0"/>
                              <w:jc w:val="center"/>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0"/>
                              <w:ind w:left="0" w:right="0" w:hanging="0"/>
                              <w:jc w:val="center"/>
                              <w:rPr/>
                            </w:pPr>
                            <w:r>
                              <w:rPr/>
                              <w:t>  </w:t>
                            </w:r>
                          </w:p>
                        </w:tc>
                        <w:tc>
                          <w:tcPr>
                            <w:tcW w:w="8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0"/>
                              <w:ind w:left="0" w:right="0" w:hanging="0"/>
                              <w:jc w:val="center"/>
                              <w:rPr/>
                            </w:pPr>
                            <w:r>
                              <w:rPr/>
                              <w:t>  </w:t>
                            </w:r>
                          </w:p>
                        </w:tc>
                        <w:tc>
                          <w:tcPr>
                            <w:tcW w:w="12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shd w:fill="auto" w:val="clear"/>
                            <w:vAlign w:val="center"/>
                          </w:tcPr>
                          <w:p>
                            <w:pPr>
                              <w:pStyle w:val="TableContents"/>
                              <w:spacing w:before="0" w:after="0"/>
                              <w:ind w:left="0" w:right="0" w:hanging="0"/>
                              <w:jc w:val="center"/>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206" w:type="dxa"/>
                            <w:tcBorders/>
                            <w:shd w:fill="CCEEFF" w:val="clear"/>
                            <w:vAlign w:val="center"/>
                          </w:tcPr>
                          <w:p>
                            <w:pPr>
                              <w:pStyle w:val="TableContents"/>
                              <w:spacing w:before="0" w:after="0"/>
                              <w:ind w:left="0" w:right="0" w:hanging="0"/>
                              <w:rPr/>
                            </w:pPr>
                            <w:r>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53,637</w:t>
                            </w:r>
                          </w:p>
                        </w:tc>
                        <w:tc>
                          <w:tcPr>
                            <w:tcW w:w="206" w:type="dxa"/>
                            <w:tcBorders/>
                            <w:shd w:fill="CCEEFF" w:val="clear"/>
                            <w:vAlign w:val="center"/>
                          </w:tcPr>
                          <w:p>
                            <w:pPr>
                              <w:pStyle w:val="TableContents"/>
                              <w:spacing w:before="0" w:after="0"/>
                              <w:ind w:left="0" w:right="0" w:hanging="0"/>
                              <w:rPr/>
                            </w:pPr>
                            <w:r>
                              <w:rPr/>
                              <w:t>​</w:t>
                            </w:r>
                          </w:p>
                        </w:tc>
                        <w:tc>
                          <w:tcPr>
                            <w:tcW w:w="28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536</w:t>
                            </w:r>
                          </w:p>
                        </w:tc>
                        <w:tc>
                          <w:tcPr>
                            <w:tcW w:w="206" w:type="dxa"/>
                            <w:tcBorders/>
                            <w:shd w:fill="CCEEFF" w:val="clear"/>
                            <w:vAlign w:val="center"/>
                          </w:tcPr>
                          <w:p>
                            <w:pPr>
                              <w:pStyle w:val="TableContents"/>
                              <w:spacing w:before="0" w:after="0"/>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15,915</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(1,107,211)</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296,670</w:t>
                            </w:r>
                          </w:p>
                        </w:tc>
                        <w:tc>
                          <w:tcPr>
                            <w:tcW w:w="206" w:type="dxa"/>
                            <w:tcBorders/>
                            <w:shd w:fill="CCEEFF" w:val="clear"/>
                            <w:vAlign w:val="center"/>
                          </w:tcPr>
                          <w:p>
                            <w:pPr>
                              <w:pStyle w:val="TableContents"/>
                              <w:spacing w:before="0" w:after="0"/>
                              <w:ind w:left="0" w:right="0" w:hanging="0"/>
                              <w:rPr/>
                            </w:pPr>
                            <w:r>
                              <w:rPr/>
                              <w:t>​</w:t>
                            </w:r>
                          </w:p>
                        </w:tc>
                        <w:tc>
                          <w:tcPr>
                            <w:tcW w:w="37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1,855,052</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1,045,047</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 </w:t>
                            </w:r>
                          </w:p>
                        </w:tc>
                        <w:tc>
                          <w:tcPr>
                            <w:tcW w:w="56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 </w:t>
                            </w:r>
                          </w:p>
                        </w:tc>
                        <w:tc>
                          <w:tcPr>
                            <w:tcW w:w="84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(323)</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58,078</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57,755</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80" w:type="dxa"/>
                            <w:tcBorders/>
                            <w:shd w:fill="CCEEFF" w:val="clear"/>
                            <w:vAlign w:val="center"/>
                          </w:tcPr>
                          <w:p>
                            <w:pPr>
                              <w:pStyle w:val="TableContents"/>
                              <w:spacing w:before="0" w:after="0"/>
                              <w:ind w:left="0" w:right="0" w:hanging="0"/>
                              <w:rPr/>
                            </w:pPr>
                            <w:r>
                              <w:rPr/>
                              <w:t> </w:t>
                            </w:r>
                          </w:p>
                        </w:tc>
                        <w:tc>
                          <w:tcPr>
                            <w:tcW w:w="56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4,575</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(394,930)</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84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(394,930)</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pPr>
                            <w:r>
                              <w:rPr/>
                              <w:t> </w:t>
                            </w:r>
                          </w:p>
                        </w:tc>
                        <w:tc>
                          <w:tcPr>
                            <w:tcW w:w="56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 </w:t>
                            </w:r>
                          </w:p>
                        </w:tc>
                        <w:tc>
                          <w:tcPr>
                            <w:tcW w:w="84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189</w:t>
                            </w:r>
                          </w:p>
                        </w:tc>
                        <w:tc>
                          <w:tcPr>
                            <w:tcW w:w="206" w:type="dxa"/>
                            <w:tcBorders/>
                            <w:shd w:fill="CCEEFF" w:val="clear"/>
                            <w:vAlign w:val="center"/>
                          </w:tcPr>
                          <w:p>
                            <w:pPr>
                              <w:pStyle w:val="TableContents"/>
                              <w:spacing w:before="0" w:after="0"/>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(4,625)</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3,188</w:t>
                            </w:r>
                          </w:p>
                        </w:tc>
                        <w:tc>
                          <w:tcPr>
                            <w:tcW w:w="206" w:type="dxa"/>
                            <w:tcBorders/>
                            <w:shd w:fill="CCEEFF" w:val="clear"/>
                            <w:vAlign w:val="center"/>
                          </w:tcPr>
                          <w:p>
                            <w:pPr>
                              <w:pStyle w:val="TableContents"/>
                              <w:spacing w:before="0" w:after="0"/>
                              <w:ind w:left="0" w:right="0" w:hanging="0"/>
                              <w:rPr/>
                            </w:pPr>
                            <w:r>
                              <w:rPr/>
                              <w:t>​</w:t>
                            </w:r>
                          </w:p>
                        </w:tc>
                        <w:tc>
                          <w:tcPr>
                            <w:tcW w:w="3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(1,435)</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March 31, 2022</w:t>
                            </w:r>
                          </w:p>
                        </w:tc>
                        <w:tc>
                          <w:tcPr>
                            <w:tcW w:w="206" w:type="dxa"/>
                            <w:tcBorders/>
                            <w:shd w:fill="auto" w:val="clear"/>
                            <w:vAlign w:val="center"/>
                          </w:tcPr>
                          <w:p>
                            <w:pPr>
                              <w:pStyle w:val="TableContents"/>
                              <w:spacing w:before="0" w:after="0"/>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53,826</w:t>
                            </w:r>
                          </w:p>
                        </w:tc>
                        <w:tc>
                          <w:tcPr>
                            <w:tcW w:w="206" w:type="dxa"/>
                            <w:tcBorders/>
                            <w:shd w:fill="auto" w:val="clear"/>
                            <w:vAlign w:val="center"/>
                          </w:tcPr>
                          <w:p>
                            <w:pPr>
                              <w:pStyle w:val="TableContents"/>
                              <w:spacing w:before="0" w:after="0"/>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538</w:t>
                            </w:r>
                          </w:p>
                        </w:tc>
                        <w:tc>
                          <w:tcPr>
                            <w:tcW w:w="206" w:type="dxa"/>
                            <w:tcBorders/>
                            <w:shd w:fill="auto" w:val="clear"/>
                            <w:vAlign w:val="center"/>
                          </w:tcPr>
                          <w:p>
                            <w:pPr>
                              <w:pStyle w:val="TableContents"/>
                              <w:spacing w:before="0" w:after="0"/>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20,548</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(1,506,766)</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299,858</w:t>
                            </w:r>
                          </w:p>
                        </w:tc>
                        <w:tc>
                          <w:tcPr>
                            <w:tcW w:w="206" w:type="dxa"/>
                            <w:tcBorders/>
                            <w:shd w:fill="auto" w:val="clear"/>
                            <w:vAlign w:val="center"/>
                          </w:tcPr>
                          <w:p>
                            <w:pPr>
                              <w:pStyle w:val="TableContents"/>
                              <w:spacing w:before="0" w:after="0"/>
                              <w:ind w:left="0" w:right="0" w:hanging="0"/>
                              <w:rPr/>
                            </w:pPr>
                            <w:r>
                              <w:rPr/>
                              <w:t>​</w:t>
                            </w:r>
                          </w:p>
                        </w:tc>
                        <w:tc>
                          <w:tcPr>
                            <w:tcW w:w="37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(323)</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9"/>
                              </w:rPr>
                            </w:pPr>
                            <w:r>
                              <w:rPr>
                                <w:rFonts w:ascii="Times New Roman;Times;serif" w:hAnsi="Times New Roman;Times;serif"/>
                                <w:sz w:val="19"/>
                              </w:rPr>
                              <w:t>1,913,130</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9"/>
                              </w:rPr>
                            </w:pPr>
                            <w:r>
                              <w:rPr>
                                <w:rFonts w:ascii="Times New Roman;Times;serif" w:hAnsi="Times New Roman;Times;serif"/>
                                <w:sz w:val="19"/>
                              </w:rPr>
                              <w:t>706,437</w:t>
                            </w:r>
                          </w:p>
                        </w:tc>
                      </w:tr>
                    </w:tbl>
                    <w:p>
                      <w:pPr>
                        <w:pStyle w:val="TextBody"/>
                        <w:spacing w:before="0" w:after="283"/>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0810" cy="175260"/>
                <wp:effectExtent l="0" t="0" r="0" b="0"/>
                <wp:wrapNone/>
                <wp:docPr id="39" name="Frame3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29260" cy="175260"/>
                <wp:effectExtent l="0" t="0" r="0" b="0"/>
                <wp:wrapNone/>
                <wp:docPr id="40" name="Frame4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0810" cy="175260"/>
                <wp:effectExtent l="0" t="0" r="0" b="0"/>
                <wp:wrapNone/>
                <wp:docPr id="41" name="Frame4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77800" cy="175260"/>
                <wp:effectExtent l="0" t="0" r="0" b="0"/>
                <wp:wrapNone/>
                <wp:docPr id="42" name="Frame42"/>
                <a:graphic xmlns:a="http://schemas.openxmlformats.org/drawingml/2006/main">
                  <a:graphicData uri="http://schemas.microsoft.com/office/word/2010/wordprocessingShape">
                    <wps:wsp>
                      <wps:cNvSpPr txBox="1"/>
                      <wps:spPr>
                        <a:xfrm>
                          <a:off x="0" y="0"/>
                          <a:ext cx="177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56235" cy="175260"/>
                <wp:effectExtent l="0" t="0" r="0" b="0"/>
                <wp:wrapNone/>
                <wp:docPr id="43" name="Frame43"/>
                <a:graphic xmlns:a="http://schemas.openxmlformats.org/drawingml/2006/main">
                  <a:graphicData uri="http://schemas.microsoft.com/office/word/2010/wordprocessingShape">
                    <wps:wsp>
                      <wps:cNvSpPr txBox="1"/>
                      <wps:spPr>
                        <a:xfrm>
                          <a:off x="0" y="0"/>
                          <a:ext cx="356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0810" cy="175260"/>
                <wp:effectExtent l="0" t="0" r="0" b="0"/>
                <wp:wrapNone/>
                <wp:docPr id="44" name="Frame4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29260" cy="175260"/>
                <wp:effectExtent l="0" t="0" r="0" b="0"/>
                <wp:wrapNone/>
                <wp:docPr id="45" name="Frame4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0810" cy="175260"/>
                <wp:effectExtent l="0" t="0" r="0" b="0"/>
                <wp:wrapNone/>
                <wp:docPr id="46" name="Frame4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29285" cy="175260"/>
                <wp:effectExtent l="0" t="0" r="0" b="0"/>
                <wp:wrapNone/>
                <wp:docPr id="48" name="Frame48"/>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0810" cy="175260"/>
                <wp:effectExtent l="0" t="0" r="0" b="0"/>
                <wp:wrapNone/>
                <wp:docPr id="49" name="Frame4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95935" cy="175260"/>
                <wp:effectExtent l="0" t="0" r="0" b="0"/>
                <wp:wrapNone/>
                <wp:docPr id="51" name="Frame5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0810" cy="175260"/>
                <wp:effectExtent l="0" t="0" r="0" b="0"/>
                <wp:wrapNone/>
                <wp:docPr id="52" name="Frame5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34950" cy="175260"/>
                <wp:effectExtent l="0" t="0" r="0" b="0"/>
                <wp:wrapNone/>
                <wp:docPr id="53" name="Frame53"/>
                <a:graphic xmlns:a="http://schemas.openxmlformats.org/drawingml/2006/main">
                  <a:graphicData uri="http://schemas.microsoft.com/office/word/2010/wordprocessingShape">
                    <wps:wsp>
                      <wps:cNvSpPr txBox="1"/>
                      <wps:spPr>
                        <a:xfrm>
                          <a:off x="0" y="0"/>
                          <a:ext cx="234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37210" cy="175260"/>
                <wp:effectExtent l="0" t="0" r="0" b="0"/>
                <wp:wrapNone/>
                <wp:docPr id="54" name="Frame54"/>
                <a:graphic xmlns:a="http://schemas.openxmlformats.org/drawingml/2006/main">
                  <a:graphicData uri="http://schemas.microsoft.com/office/word/2010/wordprocessingShape">
                    <wps:wsp>
                      <wps:cNvSpPr txBox="1"/>
                      <wps:spPr>
                        <a:xfrm>
                          <a:off x="0" y="0"/>
                          <a:ext cx="537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0810" cy="175260"/>
                <wp:effectExtent l="0" t="0" r="0" b="0"/>
                <wp:wrapNone/>
                <wp:docPr id="55" name="Frame5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91185" cy="175260"/>
                <wp:effectExtent l="0" t="0" r="0" b="0"/>
                <wp:wrapNone/>
                <wp:docPr id="57" name="Frame5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0810" cy="175260"/>
                <wp:effectExtent l="0" t="0" r="0" b="0"/>
                <wp:wrapNone/>
                <wp:docPr id="58" name="Frame5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19760" cy="175260"/>
                <wp:effectExtent l="0" t="0" r="0" b="0"/>
                <wp:wrapNone/>
                <wp:docPr id="60" name="Frame60"/>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p>
      <w:pPr>
        <w:pStyle w:val="TextBody"/>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84" w:name="_d5d63959_ca6d_41b1_b7d9_8ac28ffe5399"/>
      <w:bookmarkEnd w:id="584"/>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spacing w:before="0" w:after="0"/>
        <w:rPr>
          <w:sz w:val="4"/>
          <w:szCs w:val="4"/>
        </w:rPr>
      </w:pPr>
      <w:r>
        <w:rPr>
          <w:sz w:val="4"/>
          <w:szCs w:val="4"/>
        </w:rPr>
      </w:r>
      <w:bookmarkStart w:id="585" w:name="Tc_HGOZq_Ru9ESCfL8onu8Jww_39_6"/>
      <w:bookmarkStart w:id="586" w:name="Tc_Gu_vpnrOZUi6MVXoWkNy3Q_39_5"/>
      <w:bookmarkStart w:id="587" w:name="Tc_3flsd3YGp0KefR0e4daVew_39_2"/>
      <w:bookmarkStart w:id="588" w:name="Tc_8vaqJrcSu0GEdEHNxwCGew_39_0"/>
      <w:bookmarkStart w:id="589" w:name="Tc_IWYtvs1n0EiFwmVCb-hbzg_38_5"/>
      <w:bookmarkStart w:id="590" w:name="Tc_ByqAjSSUF0SUjAM7gdp3rg_38_3"/>
      <w:bookmarkStart w:id="591" w:name="Tc_QdI78y1TWEaSMhA0mQuZ-g_38_2"/>
      <w:bookmarkStart w:id="592" w:name="Tc_m6tDPwziZ0O-sl4imMonyA_38_0"/>
      <w:bookmarkStart w:id="593" w:name="Tc_Y9ririyOH0CeIvesxwwLXQ_37_5"/>
      <w:bookmarkStart w:id="594" w:name="Tc_KbC5UmyoFUy6WXt82y0BXA_37_2"/>
      <w:bookmarkStart w:id="595" w:name="Tc_16055T-QdEy6B466ymIluA_37_0"/>
      <w:bookmarkStart w:id="596" w:name="Tc_f-V-UADe_0S7hFNudAVoaA_36_0"/>
      <w:bookmarkStart w:id="597" w:name="Tc_H8ovn1fXQkKsMUJrj9Ie9A_35_5"/>
      <w:bookmarkStart w:id="598" w:name="Tc_nJwiTZ-B50aeIwA1lwUkCg_35_2"/>
      <w:bookmarkStart w:id="599" w:name="Tc_YzKkAf9DdUG-m2odWZ5-ww_35_0"/>
      <w:bookmarkStart w:id="600" w:name="Tc_ltouRl28C02PYYA3QqZIOw_34_6"/>
      <w:bookmarkStart w:id="601" w:name="Tc_djH-gYPw10mO7Jd-MKxMxQ_34_5"/>
      <w:bookmarkStart w:id="602" w:name="Tc_08Q9nNTLSka9y18CX7IjUw_34_2"/>
      <w:bookmarkStart w:id="603" w:name="Tc_bnFucmAqi0qRjHEiI2uwhA_34_0"/>
      <w:bookmarkStart w:id="604" w:name="Tc_pWghgSVbwE6cb7axf6cKPw_33_0"/>
      <w:bookmarkStart w:id="605" w:name="Tc_AP-XAOtHtU6ctBhSQRFSqg_32_5"/>
      <w:bookmarkStart w:id="606" w:name="Tc_Ic9ZVwedvUOf1Ng_QNlNvQ_32_2"/>
      <w:bookmarkStart w:id="607" w:name="Tc_flPCej9XckaRIm90ArMokQ_32_0"/>
      <w:bookmarkStart w:id="608" w:name="Tc_K7__7wY4G0OeSKSj-QEhug_31_0"/>
      <w:bookmarkStart w:id="609" w:name="Tc_MyuMb8N_aU6azfAh8CeRRg_30_0"/>
      <w:bookmarkStart w:id="610" w:name="Tc_vV7tQJhl20OhDMvbpVFWmg_29_0"/>
      <w:bookmarkStart w:id="611" w:name="Tc_ui-3xqgglE6KaZrNUuGVtQ_28_0"/>
      <w:bookmarkStart w:id="612" w:name="Tc_zc_urwqx1kmDyzZNK5O3QQ_27_0"/>
      <w:bookmarkStart w:id="613" w:name="Tc_Q4Aj41uY8Um6NzwMRuV_xw_26_0"/>
      <w:bookmarkStart w:id="614" w:name="Tc_q7oHNqZUG0eWGnkJ2wdI6Q_25_6"/>
      <w:bookmarkStart w:id="615" w:name="Tc_qrPZmE25ekC64SDR8jyuag_25_0"/>
      <w:bookmarkStart w:id="616" w:name="Tc_wJeYS5t0hEOmXcqZXqpBCw_24_0"/>
      <w:bookmarkStart w:id="617" w:name="Tc_0iZx0hTcHEiZGPxFRPubiw_23_0"/>
      <w:bookmarkStart w:id="618" w:name="Tc_zDTwjNwYvUuzfcTY52-bEw_22_0"/>
      <w:bookmarkStart w:id="619" w:name="Tc_G3RHVDNSvUiJPG1I6XzBtg_21_0"/>
      <w:bookmarkStart w:id="620" w:name="Tc_j3uAtqr8g0SoCwHpZqSPfQ_20_0"/>
      <w:bookmarkStart w:id="621" w:name="Tc_xF0UlVkCsk2tQewL1wPNEA_19_0"/>
      <w:bookmarkStart w:id="622" w:name="Tc_UtcDkEF1p0q0MQmdNia5Tg_18_0"/>
      <w:bookmarkStart w:id="623" w:name="Tc_gYUEb--t_kuK2NQbVgIVuA_17_0"/>
      <w:bookmarkStart w:id="624" w:name="Tc_XZ7MXtAXqEOu4fxUgwR3ng_16_0"/>
      <w:bookmarkStart w:id="625" w:name="Tc_iazAEn52MUmljvWFe2CDiA_15_0"/>
      <w:bookmarkStart w:id="626" w:name="Tc_rDw6yqMZOkG6S3LqM8yJgw_14_0"/>
      <w:bookmarkStart w:id="627" w:name="Tc_F4EyuqCmgUaMvgSGzOUR8A_13_0"/>
      <w:bookmarkStart w:id="628" w:name="Tc_2U52ILhgj0KqY2_uODhw3g_12_0"/>
      <w:bookmarkStart w:id="629" w:name="Tc_VYFQeZDLbUyTqmrEuCGszw_11_0"/>
      <w:bookmarkStart w:id="630" w:name="Tc_lfGGHW2UVE-9DVh_e6NnhQ_10_0"/>
      <w:bookmarkStart w:id="631" w:name="Tc_Fa2Gi6NyD0apBt7su4aygA_9_0"/>
      <w:bookmarkStart w:id="632" w:name="Tc_JwhRmMoCOEyew7ZT7-8iuQ_8_0"/>
      <w:bookmarkStart w:id="633" w:name="Tc_DXm-j57G30S5q1whj9Ukag_7_0"/>
      <w:bookmarkStart w:id="634" w:name="Tc_DAznk84ONEylfIk-001xkw_6_0"/>
      <w:bookmarkStart w:id="635" w:name="Tc_UoluDbAse0m58xJG1kLldQ_5_5"/>
      <w:bookmarkStart w:id="636" w:name="Tc_M84Xy0hKNEaT06J0TIMbXQ_5_2"/>
      <w:bookmarkStart w:id="637" w:name="Tc_dbbo1oiwOEyCNgF1Shh1Hw_5_0"/>
      <w:bookmarkStart w:id="638" w:name="Tc_tfeDDvHyG0CAnE7vQjFe-Q_4_0"/>
      <w:bookmarkStart w:id="639" w:name="Tc_8crL41bIykeX9yurnoGXPQ_3_5"/>
      <w:bookmarkStart w:id="640" w:name="Tc_I5DhPoF_mkms4JhqYTOQ7A_3_2"/>
      <w:bookmarkStart w:id="641" w:name="Tc_ByrwFju4SUW1MZGeD9mOyQ_3_0"/>
      <w:bookmarkStart w:id="642" w:name="Tc_oJJCgWozL0uxTUnzIajd6g_2_2"/>
      <w:bookmarkStart w:id="643" w:name="Tc_aS0fVQBnCEa6i9YK51u44g_1_2"/>
      <w:bookmarkStart w:id="644" w:name="_3ef04afb_51ad_45aa_87a2_1fc8f1a88ea0"/>
      <w:bookmarkStart w:id="645" w:name="Tc_HGOZq_Ru9ESCfL8onu8Jww_39_6"/>
      <w:bookmarkStart w:id="646" w:name="Tc_Gu_vpnrOZUi6MVXoWkNy3Q_39_5"/>
      <w:bookmarkStart w:id="647" w:name="Tc_3flsd3YGp0KefR0e4daVew_39_2"/>
      <w:bookmarkStart w:id="648" w:name="Tc_8vaqJrcSu0GEdEHNxwCGew_39_0"/>
      <w:bookmarkStart w:id="649" w:name="Tc_IWYtvs1n0EiFwmVCb-hbzg_38_5"/>
      <w:bookmarkStart w:id="650" w:name="Tc_ByqAjSSUF0SUjAM7gdp3rg_38_3"/>
      <w:bookmarkStart w:id="651" w:name="Tc_QdI78y1TWEaSMhA0mQuZ-g_38_2"/>
      <w:bookmarkStart w:id="652" w:name="Tc_m6tDPwziZ0O-sl4imMonyA_38_0"/>
      <w:bookmarkStart w:id="653" w:name="Tc_Y9ririyOH0CeIvesxwwLXQ_37_5"/>
      <w:bookmarkStart w:id="654" w:name="Tc_KbC5UmyoFUy6WXt82y0BXA_37_2"/>
      <w:bookmarkStart w:id="655" w:name="Tc_16055T-QdEy6B466ymIluA_37_0"/>
      <w:bookmarkStart w:id="656" w:name="Tc_f-V-UADe_0S7hFNudAVoaA_36_0"/>
      <w:bookmarkStart w:id="657" w:name="Tc_H8ovn1fXQkKsMUJrj9Ie9A_35_5"/>
      <w:bookmarkStart w:id="658" w:name="Tc_nJwiTZ-B50aeIwA1lwUkCg_35_2"/>
      <w:bookmarkStart w:id="659" w:name="Tc_YzKkAf9DdUG-m2odWZ5-ww_35_0"/>
      <w:bookmarkStart w:id="660" w:name="Tc_ltouRl28C02PYYA3QqZIOw_34_6"/>
      <w:bookmarkStart w:id="661" w:name="Tc_djH-gYPw10mO7Jd-MKxMxQ_34_5"/>
      <w:bookmarkStart w:id="662" w:name="Tc_08Q9nNTLSka9y18CX7IjUw_34_2"/>
      <w:bookmarkStart w:id="663" w:name="Tc_bnFucmAqi0qRjHEiI2uwhA_34_0"/>
      <w:bookmarkStart w:id="664" w:name="Tc_pWghgSVbwE6cb7axf6cKPw_33_0"/>
      <w:bookmarkStart w:id="665" w:name="Tc_AP-XAOtHtU6ctBhSQRFSqg_32_5"/>
      <w:bookmarkStart w:id="666" w:name="Tc_Ic9ZVwedvUOf1Ng_QNlNvQ_32_2"/>
      <w:bookmarkStart w:id="667" w:name="Tc_flPCej9XckaRIm90ArMokQ_32_0"/>
      <w:bookmarkStart w:id="668" w:name="Tc_K7__7wY4G0OeSKSj-QEhug_31_0"/>
      <w:bookmarkStart w:id="669" w:name="Tc_MyuMb8N_aU6azfAh8CeRRg_30_0"/>
      <w:bookmarkStart w:id="670" w:name="Tc_vV7tQJhl20OhDMvbpVFWmg_29_0"/>
      <w:bookmarkStart w:id="671" w:name="Tc_ui-3xqgglE6KaZrNUuGVtQ_28_0"/>
      <w:bookmarkStart w:id="672" w:name="Tc_zc_urwqx1kmDyzZNK5O3QQ_27_0"/>
      <w:bookmarkStart w:id="673" w:name="Tc_Q4Aj41uY8Um6NzwMRuV_xw_26_0"/>
      <w:bookmarkStart w:id="674" w:name="Tc_q7oHNqZUG0eWGnkJ2wdI6Q_25_6"/>
      <w:bookmarkStart w:id="675" w:name="Tc_qrPZmE25ekC64SDR8jyuag_25_0"/>
      <w:bookmarkStart w:id="676" w:name="Tc_wJeYS5t0hEOmXcqZXqpBCw_24_0"/>
      <w:bookmarkStart w:id="677" w:name="Tc_0iZx0hTcHEiZGPxFRPubiw_23_0"/>
      <w:bookmarkStart w:id="678" w:name="Tc_zDTwjNwYvUuzfcTY52-bEw_22_0"/>
      <w:bookmarkStart w:id="679" w:name="Tc_G3RHVDNSvUiJPG1I6XzBtg_21_0"/>
      <w:bookmarkStart w:id="680" w:name="Tc_j3uAtqr8g0SoCwHpZqSPfQ_20_0"/>
      <w:bookmarkStart w:id="681" w:name="Tc_xF0UlVkCsk2tQewL1wPNEA_19_0"/>
      <w:bookmarkStart w:id="682" w:name="Tc_UtcDkEF1p0q0MQmdNia5Tg_18_0"/>
      <w:bookmarkStart w:id="683" w:name="Tc_gYUEb--t_kuK2NQbVgIVuA_17_0"/>
      <w:bookmarkStart w:id="684" w:name="Tc_XZ7MXtAXqEOu4fxUgwR3ng_16_0"/>
      <w:bookmarkStart w:id="685" w:name="Tc_iazAEn52MUmljvWFe2CDiA_15_0"/>
      <w:bookmarkStart w:id="686" w:name="Tc_rDw6yqMZOkG6S3LqM8yJgw_14_0"/>
      <w:bookmarkStart w:id="687" w:name="Tc_F4EyuqCmgUaMvgSGzOUR8A_13_0"/>
      <w:bookmarkStart w:id="688" w:name="Tc_2U52ILhgj0KqY2_uODhw3g_12_0"/>
      <w:bookmarkStart w:id="689" w:name="Tc_VYFQeZDLbUyTqmrEuCGszw_11_0"/>
      <w:bookmarkStart w:id="690" w:name="Tc_lfGGHW2UVE-9DVh_e6NnhQ_10_0"/>
      <w:bookmarkStart w:id="691" w:name="Tc_Fa2Gi6NyD0apBt7su4aygA_9_0"/>
      <w:bookmarkStart w:id="692" w:name="Tc_JwhRmMoCOEyew7ZT7-8iuQ_8_0"/>
      <w:bookmarkStart w:id="693" w:name="Tc_DXm-j57G30S5q1whj9Ukag_7_0"/>
      <w:bookmarkStart w:id="694" w:name="Tc_DAznk84ONEylfIk-001xkw_6_0"/>
      <w:bookmarkStart w:id="695" w:name="Tc_UoluDbAse0m58xJG1kLldQ_5_5"/>
      <w:bookmarkStart w:id="696" w:name="Tc_M84Xy0hKNEaT06J0TIMbXQ_5_2"/>
      <w:bookmarkStart w:id="697" w:name="Tc_dbbo1oiwOEyCNgF1Shh1Hw_5_0"/>
      <w:bookmarkStart w:id="698" w:name="Tc_tfeDDvHyG0CAnE7vQjFe-Q_4_0"/>
      <w:bookmarkStart w:id="699" w:name="Tc_8crL41bIykeX9yurnoGXPQ_3_5"/>
      <w:bookmarkStart w:id="700" w:name="Tc_I5DhPoF_mkms4JhqYTOQ7A_3_2"/>
      <w:bookmarkStart w:id="701" w:name="Tc_ByrwFju4SUW1MZGeD9mOyQ_3_0"/>
      <w:bookmarkStart w:id="702" w:name="Tc_oJJCgWozL0uxTUnzIajd6g_2_2"/>
      <w:bookmarkStart w:id="703" w:name="Tc_aS0fVQBnCEa6i9YK51u44g_1_2"/>
      <w:bookmarkStart w:id="704" w:name="_3ef04afb_51ad_45aa_87a2_1fc8f1a88ea0"/>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tbl>
      <w:tblPr>
        <w:tblW w:w="8157" w:type="dxa"/>
        <w:jc w:val="left"/>
        <w:tblInd w:w="0" w:type="dxa"/>
        <w:tblCellMar>
          <w:top w:w="0" w:type="dxa"/>
          <w:left w:w="0" w:type="dxa"/>
          <w:bottom w:w="0" w:type="dxa"/>
          <w:right w:w="0" w:type="dxa"/>
        </w:tblCellMar>
      </w:tblPr>
      <w:tblGrid>
        <w:gridCol w:w="5716"/>
        <w:gridCol w:w="146"/>
        <w:gridCol w:w="196"/>
        <w:gridCol w:w="721"/>
        <w:gridCol w:w="326"/>
        <w:gridCol w:w="196"/>
        <w:gridCol w:w="856"/>
      </w:tblGrid>
      <w:tr>
        <w:trPr/>
        <w:tc>
          <w:tcPr>
            <w:tcW w:w="57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29660" cy="175260"/>
                      <wp:effectExtent l="0" t="0" r="0" b="0"/>
                      <wp:wrapNone/>
                      <wp:docPr id="61" name="Frame61"/>
                      <a:graphic xmlns:a="http://schemas.openxmlformats.org/drawingml/2006/main">
                        <a:graphicData uri="http://schemas.microsoft.com/office/word/2010/wordprocessingShape">
                          <wps:wsp>
                            <wps:cNvSpPr txBox="1"/>
                            <wps:spPr>
                              <a:xfrm>
                                <a:off x="0" y="0"/>
                                <a:ext cx="3629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2710" cy="175260"/>
                      <wp:effectExtent l="0" t="0" r="0" b="0"/>
                      <wp:wrapNone/>
                      <wp:docPr id="62" name="Frame6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57835" cy="175260"/>
                      <wp:effectExtent l="0" t="0" r="0" b="0"/>
                      <wp:wrapNone/>
                      <wp:docPr id="64" name="Frame64"/>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43560" cy="175260"/>
                      <wp:effectExtent l="0" t="0" r="0" b="0"/>
                      <wp:wrapNone/>
                      <wp:docPr id="67" name="Frame67"/>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1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29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71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22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7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146" w:type="dxa"/>
            <w:tcBorders/>
            <w:shd w:fill="auto" w:val="clear"/>
            <w:vAlign w:val="center"/>
          </w:tcPr>
          <w:p>
            <w:pPr>
              <w:pStyle w:val="TableContents"/>
              <w:spacing w:before="0" w:after="0"/>
              <w:ind w:left="0" w:right="0" w:hanging="0"/>
              <w:rPr/>
            </w:pPr>
            <w:r>
              <w:rPr/>
              <w:t>​</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flows provided by operating activities: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59,564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58,078</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Share-based compensation</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3,369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3,190</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5,537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5,724</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Amortization of intangible assets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2,105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2,105</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income taxes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1,816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1,480</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including fixed asset impairments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719</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Changes in assets and liabilities: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receivable from university partners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(25,158)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(31,943)</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assets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(4,625)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(5,312)</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Right-of-use assets and lease liabilities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179</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1,953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5,427</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Accrued liabilities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(6,294)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2,377</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taxes receivable/payable</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14,225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16,074</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revenue</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9,678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12,162</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cash provided by operating activities</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62,999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70,260</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flows used in investing activities: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  </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Capital expenditures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(8,587)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(6,784)</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Additions of amortizable content</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Purchases of investments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(52,556)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(62,834)</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sale or maturity of investments</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24,253</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cash used in investing activities</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(37,134)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(69,713)</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flows used in financing activities: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  </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(41,234)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(399,555)</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cash used in financing activities</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(41,234)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(399,555)</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decrease in cash and cash equivalents and restricted cash</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(15,369)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(399,008)</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4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120,409</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600,941</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4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105,040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201,933</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  </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paid for interest</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spacing w:before="0" w:after="0"/>
              <w:ind w:left="0" w:right="0" w:hanging="0"/>
              <w:jc w:val="right"/>
              <w:rPr/>
            </w:pPr>
            <w:r>
              <w:rPr/>
              <w:t>—</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paid for income taxes</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306</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1,442</w:t>
            </w:r>
          </w:p>
        </w:tc>
      </w:tr>
      <w:tr>
        <w:trPr/>
        <w:tc>
          <w:tcPr>
            <w:tcW w:w="57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ROU Asset and Liability recognition </w:t>
            </w:r>
          </w:p>
        </w:tc>
        <w:tc>
          <w:tcPr>
            <w:tcW w:w="1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1,980</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56" w:type="dxa"/>
            <w:tcBorders/>
            <w:shd w:fill="auto"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spacing w:before="0" w:after="240"/>
        <w:ind w:left="0" w:right="0" w:hanging="0"/>
        <w:rPr/>
      </w:pPr>
      <w:r>
        <w:rPr/>
        <w:t>​</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hanging="0"/>
        <w:rPr>
          <w:rFonts w:ascii="Times New Roman;Times;serif" w:hAnsi="Times New Roman;Times;serif"/>
          <w:b/>
          <w:sz w:val="20"/>
        </w:rPr>
      </w:pPr>
      <w:bookmarkStart w:id="705" w:name="_cp_text_1_117"/>
      <w:bookmarkEnd w:id="705"/>
      <w:r>
        <w:rPr>
          <w:rFonts w:ascii="Times New Roman;Times;serif" w:hAnsi="Times New Roman;Times;serif"/>
          <w:b/>
          <w:sz w:val="20"/>
        </w:rPr>
        <w:t>1. Nature of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on ground at its campus in Phoenix, Arizona and at four off-campus classroom and laboratory sites.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January 2019, GCE began providing education services to numerous university partners across the United States, through our wholly owned subsidiary, Orbis Education, which we acquired, by merger on January 22, 2019 (the “Acquisition”).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March 31, 2023, GCE provides education services to 27 university partners across the United States.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Principles of Consolidation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2022.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2022 from which the December 31, 2022 balance sheet information was derived.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of March 31, 2023 and December 31, 2022, the Company considered its investments in corporate bonds, agency bonds and commercial paper as available-for-sale securities based on the Company’s intent for the respective securities. Available-for-sale securities are carried at fair value, determined using Level 1 and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Arrangements with GCU</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1, 2018, the Company consummated an Asset Purchase Agreement (the “Asset Purchase Agreement”) with GCU. In conjunction with the Asset Purchase Agreement, we received a secured note from GCU as consideration for the transferred assets in the initial principal amount of $870,097 (the “Secured Note”) which was repaid by GCU in the fourth quarter of 2021. In connection therewith, the Company and GCU entered into a long-term master services agreement (the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Internally Developed Software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Capitalized Content Development</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March 31, 2023 and December 31, 2022, $1,021 and $910, respectively, net of amortization, of deferred content assets are included in other assets, long-term in the Company’s consolidated balance sheets and amortization is included in technical and academic services where the costs originated.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Long-Lived Assets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Business Combinations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March 31, 2023. Recoverability of assets to be held and used is measured by a comparison of the carrying amount of an asset to undiscounted future net cash flows expected to be generated by the assets. If such intangible assets are not recoverable,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 potential impairment loss is recognized to the extent the carrying amounts of the assets exceeds the fair value of the assets.</w:t>
      </w:r>
    </w:p>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Share-Based Compensation</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expenses approximate their fair value based on the liquidity or the short-term maturities of these instruments.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 </w:t>
      </w:r>
    </w:p>
    <w:p>
      <w:pPr>
        <w:pStyle w:val="TextBody"/>
        <w:spacing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-Level 1 – inputs are quoted prices (unadjusted) in active markets for identical assets or liabilities.</w:t>
      </w:r>
    </w:p>
    <w:p>
      <w:pPr>
        <w:pStyle w:val="TextBody"/>
        <w:spacing w:before="0" w:after="240"/>
        <w:ind w:left="720" w:right="0" w:hanging="0"/>
        <w:rPr>
          <w:rFonts w:ascii="Times New Roman;Times;serif" w:hAnsi="Times New Roman;Times;serif"/>
          <w:sz w:val="20"/>
          <w:highlight w:val="white"/>
        </w:rPr>
      </w:pPr>
      <w:r>
        <w:rPr>
          <w:rFonts w:ascii="Times New Roman;Times;serif" w:hAnsi="Times New Roman;Times;serif"/>
          <w:sz w:val="20"/>
          <w:highlight w:val="white"/>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spacing w:before="0" w:after="240"/>
        <w:ind w:left="720" w:right="0" w:hanging="0"/>
        <w:rPr>
          <w:rFonts w:ascii="Times New Roman;Times;serif" w:hAnsi="Times New Roman;Times;serif"/>
          <w:sz w:val="20"/>
          <w:highlight w:val="white"/>
        </w:rPr>
      </w:pPr>
      <w:r>
        <w:rPr>
          <w:rFonts w:ascii="Times New Roman;Times;serif" w:hAnsi="Times New Roman;Times;serif"/>
          <w:sz w:val="20"/>
          <w:highlight w:val="white"/>
        </w:rPr>
        <w:t>-Level 3 – unobservable inputs that are not corroborated by market data.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Investments are comprised of corporate bonds, commercial paper and agency bonds.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March 31, 2023. The Company will continue to review and revise its allowance methodology based on its collection experience with its partners.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our partners with unbilled revenue, revenue recognition occurs in advance of billings. Billings for some university partners do not occur until after the service period has commenced and final enrollment information is available. Our unbilled revenue of $4,076 and $5,560 as of March 31, 2023 and December 31, 2022,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Allowance for Credit Losses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Counseling Services and Support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Marketing and Communication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General and Administrative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Commitments and Contingencies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March 31, 2023 and December 31, 2022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March 31, 2023 and December 31, 2022, the Company had $104,496 and $119,639, respectively, in excess of the FDIC insured limit. The Company is also subject to credit risk for its accounts receivable balance. Our dependence on our most significant university partner, with 88.5% and 87.6% of total service revenue for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three-month periods ended March 31, 2023 and 2022, respectively, subjects us to the risk that declines in our customer’s operations would result in a sustained reduction in service revenue for the Company.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Segment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has determined that no other recent accounting pronouncements apply to its operations or could otherwise have a material impact on its consolidated financial statements. </w:t>
      </w:r>
    </w:p>
    <w:p>
      <w:pPr>
        <w:pStyle w:val="TextBody"/>
        <w:spacing w:before="0" w:after="240"/>
        <w:ind w:left="0" w:right="0" w:hanging="0"/>
        <w:rPr>
          <w:rFonts w:ascii="Times New Roman;Times;serif" w:hAnsi="Times New Roman;Times;serif"/>
          <w:b/>
          <w:sz w:val="20"/>
        </w:rPr>
      </w:pPr>
      <w:bookmarkStart w:id="706" w:name="Tc_jceeiz90D0K8cqN_FIvgww_5_2"/>
      <w:bookmarkStart w:id="707" w:name="Tc_-yjR34C7o02Itq-Igl66-Q_5_0"/>
      <w:bookmarkStart w:id="708" w:name="Tc_KSw2QyYg3E244l3_7X7Riw_4_0"/>
      <w:bookmarkStart w:id="709" w:name="Tc_u4FsUgC6TkeWPODpFTDBUg_3_0"/>
      <w:bookmarkStart w:id="710" w:name="Tc_Anc6-ASqnkmcWZJVMDOWIA_2_2"/>
      <w:bookmarkStart w:id="711" w:name="Tc_KPJNjNTRyE-xM85xAQOOGg_2_0"/>
      <w:bookmarkStart w:id="712" w:name="Tc_3F_ZQ2_e-067RzvHmAvqew_1_0"/>
      <w:bookmarkStart w:id="713" w:name="Tc_OybQ1uBuwkSGkkfUJ73xVg_7_11"/>
      <w:bookmarkStart w:id="714" w:name="Tc_B8CLZWENhUK1GPc1-hTvVg_7_8"/>
      <w:bookmarkStart w:id="715" w:name="Tc_AyDuKbCPkkiUEpuvjFfGSQ_7_5"/>
      <w:bookmarkStart w:id="716" w:name="Tc_F1qB3F7-30S3_vXe9vCSyg_7_2"/>
      <w:bookmarkStart w:id="717" w:name="Tc__08BIaUQuUar49cT7u239Q_7_0"/>
      <w:bookmarkStart w:id="718" w:name="Tc_WpwH4DJoE0GqQucH8wmX7w_6_6"/>
      <w:bookmarkStart w:id="719" w:name="Tc_sfwbfvSY4kCJjjXNgryWFA_6_0"/>
      <w:bookmarkStart w:id="720" w:name="Tc_bw0JGBwcXUO9ZVipgX8HCA_5_11"/>
      <w:bookmarkStart w:id="721" w:name="Tc_SeqiaoR3VEynZ00jO52dWg_5_8"/>
      <w:bookmarkStart w:id="722" w:name="Tc_skdpRDb8Q0qWn1I3q9utwg_5_5"/>
      <w:bookmarkStart w:id="723" w:name="Tc_IgM8v_V8q0Oy3ow3saXlvQ_5_2"/>
      <w:bookmarkStart w:id="724" w:name="Tc_RrAdG2t71EK1jVXKTgGGEA_5_0"/>
      <w:bookmarkStart w:id="725" w:name="Tc_KV4Qprjj5kSa1Pi-3sKw8w_4_11"/>
      <w:bookmarkStart w:id="726" w:name="Tc_75mi10yMjESSU3_nynbBzg_4_8"/>
      <w:bookmarkStart w:id="727" w:name="Tc_fH_Y1xe6KkqGq_zG8A1jrg_4_5"/>
      <w:bookmarkStart w:id="728" w:name="Tc_PxIyo6EnX0uf_OSAbjuqIA_4_2"/>
      <w:bookmarkStart w:id="729" w:name="Tc_4E6opFnjwUu9dMmTbwQUdg_3_11"/>
      <w:bookmarkStart w:id="730" w:name="Tc_BfoizfoSFUOH-dzM1KbJ4Q_3_8"/>
      <w:bookmarkStart w:id="731" w:name="Tc_dGkFqqa0M0SpM0-zcI4C7w_3_5"/>
      <w:bookmarkStart w:id="732" w:name="Tc_LjuOCSFvqEWB0qax7YNKkQ_3_2"/>
      <w:bookmarkStart w:id="733" w:name="Tc_qFWXK2EkVUKEygG0FExu5w_2_8"/>
      <w:bookmarkStart w:id="734" w:name="Tc_hnzc6bxxxE2XKM5WLucJVQ_2_5"/>
      <w:bookmarkStart w:id="735" w:name="Tc_m3xAaD8_nE2UfEZnIYY3nw_1_2"/>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r>
        <w:rPr>
          <w:rFonts w:ascii="Times New Roman;Times;serif" w:hAnsi="Times New Roman;Times;serif"/>
          <w:b/>
          <w:sz w:val="20"/>
        </w:rPr>
        <w:t>3. Investments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of March 31, 2023 and December 31, 2022, the Company had investments of $89,483 and $61,295, respectively, classified as available-for-sale securities.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March 31, 2023, the Company had available-for-sale investments comprised of the following:</w:t>
      </w:r>
    </w:p>
    <w:p>
      <w:pPr>
        <w:pStyle w:val="TextBody"/>
        <w:spacing w:before="0" w:after="0"/>
        <w:ind w:left="0" w:right="0" w:hanging="0"/>
        <w:rPr/>
      </w:pPr>
      <w:r>
        <w:rPr/>
        <w:t>​</w:t>
      </w:r>
    </w:p>
    <w:tbl>
      <w:tblPr>
        <w:tblW w:w="6531" w:type="dxa"/>
        <w:jc w:val="left"/>
        <w:tblInd w:w="0" w:type="dxa"/>
        <w:tblCellMar>
          <w:top w:w="0" w:type="dxa"/>
          <w:left w:w="0" w:type="dxa"/>
          <w:bottom w:w="0" w:type="dxa"/>
          <w:right w:w="0" w:type="dxa"/>
        </w:tblCellMar>
      </w:tblPr>
      <w:tblGrid>
        <w:gridCol w:w="1576"/>
        <w:gridCol w:w="326"/>
        <w:gridCol w:w="211"/>
        <w:gridCol w:w="676"/>
        <w:gridCol w:w="326"/>
        <w:gridCol w:w="354"/>
        <w:gridCol w:w="532"/>
        <w:gridCol w:w="326"/>
        <w:gridCol w:w="270"/>
        <w:gridCol w:w="616"/>
        <w:gridCol w:w="326"/>
        <w:gridCol w:w="211"/>
        <w:gridCol w:w="781"/>
      </w:tblGrid>
      <w:tr>
        <w:trPr/>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000760" cy="175260"/>
                      <wp:effectExtent l="0" t="0" r="0" b="0"/>
                      <wp:wrapNone/>
                      <wp:docPr id="68" name="Frame68"/>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29260" cy="175260"/>
                      <wp:effectExtent l="0" t="0" r="0" b="0"/>
                      <wp:wrapNone/>
                      <wp:docPr id="71" name="Frame7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4790" cy="175260"/>
                      <wp:effectExtent l="0" t="0" r="0" b="0"/>
                      <wp:wrapNone/>
                      <wp:docPr id="73" name="Frame73"/>
                      <a:graphic xmlns:a="http://schemas.openxmlformats.org/drawingml/2006/main">
                        <a:graphicData uri="http://schemas.microsoft.com/office/word/2010/wordprocessingShape">
                          <wps:wsp>
                            <wps:cNvSpPr txBox="1"/>
                            <wps:spPr>
                              <a:xfrm>
                                <a:off x="0" y="0"/>
                                <a:ext cx="224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37820" cy="175260"/>
                      <wp:effectExtent l="0" t="0" r="0" b="0"/>
                      <wp:wrapNone/>
                      <wp:docPr id="74" name="Frame74"/>
                      <a:graphic xmlns:a="http://schemas.openxmlformats.org/drawingml/2006/main">
                        <a:graphicData uri="http://schemas.microsoft.com/office/word/2010/wordprocessingShape">
                          <wps:wsp>
                            <wps:cNvSpPr txBox="1"/>
                            <wps:spPr>
                              <a:xfrm>
                                <a:off x="0" y="0"/>
                                <a:ext cx="337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1450" cy="175260"/>
                      <wp:effectExtent l="0" t="0" r="0" b="0"/>
                      <wp:wrapNone/>
                      <wp:docPr id="76" name="Frame76"/>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91160" cy="175260"/>
                      <wp:effectExtent l="0" t="0" r="0" b="0"/>
                      <wp:wrapNone/>
                      <wp:docPr id="77" name="Frame77"/>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629"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2023</w:t>
            </w:r>
          </w:p>
        </w:tc>
      </w:tr>
      <w:tr>
        <w:trPr/>
        <w:tc>
          <w:tcPr>
            <w:tcW w:w="15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jc w:val="center"/>
              <w:rPr/>
            </w:pPr>
            <w:r>
              <w:rPr/>
              <w:t>    </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pPr>
            <w:r>
              <w:rPr/>
              <w:t>​</w:t>
            </w:r>
          </w:p>
        </w:tc>
      </w:tr>
      <w:tr>
        <w:trPr/>
        <w:tc>
          <w:tcPr>
            <w:tcW w:w="15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Adjusted</w:t>
            </w:r>
          </w:p>
        </w:tc>
        <w:tc>
          <w:tcPr>
            <w:tcW w:w="326" w:type="dxa"/>
            <w:tcBorders/>
            <w:shd w:fill="auto" w:val="clear"/>
            <w:vAlign w:val="center"/>
          </w:tcPr>
          <w:p>
            <w:pPr>
              <w:pStyle w:val="TableContents"/>
              <w:spacing w:before="0" w:after="1"/>
              <w:ind w:left="0" w:right="0" w:hanging="0"/>
              <w:jc w:val="center"/>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jc w:val="center"/>
              <w:rPr/>
            </w:pPr>
            <w:r>
              <w:rPr/>
              <w:t>​</w:t>
            </w:r>
          </w:p>
        </w:tc>
        <w:tc>
          <w:tcPr>
            <w:tcW w:w="8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5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1"/>
              <w:ind w:left="0" w:right="0" w:hanging="0"/>
              <w:jc w:val="center"/>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shd w:fill="auto" w:val="clear"/>
            <w:vAlign w:val="center"/>
          </w:tcPr>
          <w:p>
            <w:pPr>
              <w:pStyle w:val="TableContents"/>
              <w:spacing w:before="0" w:after="1"/>
              <w:ind w:left="0" w:right="0" w:hanging="0"/>
              <w:jc w:val="center"/>
              <w:rPr/>
            </w:pPr>
            <w:r>
              <w:rPr/>
              <w:t>​</w:t>
            </w:r>
          </w:p>
        </w:tc>
        <w:tc>
          <w:tcPr>
            <w:tcW w:w="8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5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71,007</w:t>
            </w:r>
          </w:p>
        </w:tc>
        <w:tc>
          <w:tcPr>
            <w:tcW w:w="326" w:type="dxa"/>
            <w:tcBorders/>
            <w:shd w:fill="CCEEFF" w:val="clear"/>
            <w:vAlign w:val="center"/>
          </w:tcPr>
          <w:p>
            <w:pPr>
              <w:pStyle w:val="TableContents"/>
              <w:spacing w:before="0" w:after="1"/>
              <w:ind w:left="0" w:right="0" w:hanging="0"/>
              <w:rPr/>
            </w:pPr>
            <w:r>
              <w:rPr/>
              <w:t>​</w:t>
            </w:r>
          </w:p>
        </w:tc>
        <w:tc>
          <w:tcPr>
            <w:tcW w:w="35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spacing w:before="0" w:after="1"/>
              <w:ind w:left="0" w:right="0" w:hanging="0"/>
              <w:rPr/>
            </w:pPr>
            <w:r>
              <w:rPr/>
              <w:t>​</w:t>
            </w:r>
          </w:p>
        </w:tc>
        <w:tc>
          <w:tcPr>
            <w:tcW w:w="27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70,506</w:t>
            </w:r>
          </w:p>
        </w:tc>
      </w:tr>
      <w:tr>
        <w:trPr/>
        <w:tc>
          <w:tcPr>
            <w:tcW w:w="15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Agency bonds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19,020</w:t>
            </w:r>
          </w:p>
        </w:tc>
        <w:tc>
          <w:tcPr>
            <w:tcW w:w="326" w:type="dxa"/>
            <w:tcBorders/>
            <w:shd w:fill="auto" w:val="clear"/>
            <w:vAlign w:val="center"/>
          </w:tcPr>
          <w:p>
            <w:pPr>
              <w:pStyle w:val="TableContents"/>
              <w:spacing w:before="0" w:after="1"/>
              <w:ind w:left="0" w:right="0" w:hanging="0"/>
              <w:rPr/>
            </w:pPr>
            <w:r>
              <w:rPr/>
              <w:t>​</w:t>
            </w:r>
          </w:p>
        </w:tc>
        <w:tc>
          <w:tcPr>
            <w:tcW w:w="35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18,977</w:t>
            </w:r>
          </w:p>
        </w:tc>
      </w:tr>
      <w:tr>
        <w:trPr/>
        <w:tc>
          <w:tcPr>
            <w:tcW w:w="15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investments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90,027</w:t>
            </w:r>
          </w:p>
        </w:tc>
        <w:tc>
          <w:tcPr>
            <w:tcW w:w="326" w:type="dxa"/>
            <w:tcBorders/>
            <w:shd w:fill="CCEEFF" w:val="clear"/>
            <w:vAlign w:val="center"/>
          </w:tcPr>
          <w:p>
            <w:pPr>
              <w:pStyle w:val="TableContents"/>
              <w:spacing w:before="0" w:after="1"/>
              <w:ind w:left="0" w:right="0" w:hanging="0"/>
              <w:rPr/>
            </w:pPr>
            <w:r>
              <w:rPr/>
              <w:t>​</w:t>
            </w:r>
          </w:p>
        </w:tc>
        <w:tc>
          <w:tcPr>
            <w:tcW w:w="35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spacing w:before="0" w:after="1"/>
              <w:ind w:left="0" w:right="0" w:hanging="0"/>
              <w:rPr/>
            </w:pPr>
            <w:r>
              <w:rPr/>
              <w:t>​</w:t>
            </w:r>
          </w:p>
        </w:tc>
        <w:tc>
          <w:tcPr>
            <w:tcW w:w="27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89,483</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For the three months ended March 31, 2023 and 2022, the net unrealized gains (losses) were $119 and $323, respectively,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The Company has the ability and intent to hold these investments until recovery.</w:t>
      </w:r>
    </w:p>
    <w:p>
      <w:pPr>
        <w:pStyle w:val="TextBody"/>
        <w:spacing w:before="0" w:after="0"/>
        <w:ind w:left="0" w:right="0" w:hanging="0"/>
        <w:rPr/>
      </w:pPr>
      <w:r>
        <w:rPr/>
        <w:t>​</w:t>
      </w:r>
    </w:p>
    <w:tbl>
      <w:tblPr>
        <w:tblW w:w="5857" w:type="dxa"/>
        <w:jc w:val="left"/>
        <w:tblInd w:w="0" w:type="dxa"/>
        <w:tblCellMar>
          <w:top w:w="0" w:type="dxa"/>
          <w:left w:w="0" w:type="dxa"/>
          <w:bottom w:w="0" w:type="dxa"/>
          <w:right w:w="0" w:type="dxa"/>
        </w:tblCellMar>
      </w:tblPr>
      <w:tblGrid>
        <w:gridCol w:w="4756"/>
        <w:gridCol w:w="109"/>
        <w:gridCol w:w="211"/>
        <w:gridCol w:w="781"/>
      </w:tblGrid>
      <w:tr>
        <w:trPr/>
        <w:tc>
          <w:tcPr>
            <w:tcW w:w="475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r>
      <w:tr>
        <w:trPr/>
        <w:tc>
          <w:tcPr>
            <w:tcW w:w="4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Available-for-sale securities maturing as of December 31:</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r>
      <w:tr>
        <w:trPr/>
        <w:tc>
          <w:tcPr>
            <w:tcW w:w="47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35,526</w:t>
            </w:r>
          </w:p>
        </w:tc>
      </w:tr>
      <w:tr>
        <w:trPr/>
        <w:tc>
          <w:tcPr>
            <w:tcW w:w="4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40,411</w:t>
            </w:r>
          </w:p>
        </w:tc>
      </w:tr>
      <w:tr>
        <w:trPr/>
        <w:tc>
          <w:tcPr>
            <w:tcW w:w="47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13,546</w:t>
            </w:r>
          </w:p>
        </w:tc>
      </w:tr>
      <w:tr>
        <w:trPr/>
        <w:tc>
          <w:tcPr>
            <w:tcW w:w="4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89,483</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hanging="0"/>
        <w:rPr>
          <w:rFonts w:ascii="Times New Roman;Times;serif" w:hAnsi="Times New Roman;Times;serif"/>
          <w:b/>
          <w:sz w:val="20"/>
        </w:rPr>
      </w:pPr>
      <w:bookmarkStart w:id="736" w:name="Tc_5m-T8ETCKkeSkSyy0-XbGA_7_0"/>
      <w:bookmarkStart w:id="737" w:name="Tc_5pPnDAXcrU6mI9mPG8V2eg_6_0"/>
      <w:bookmarkStart w:id="738" w:name="Tc_3XrKfRtILUeHsFVgldgKKg_5_0"/>
      <w:bookmarkStart w:id="739" w:name="Tc_hWcUNGGdgUaVL6zAEt1Vww_4_0"/>
      <w:bookmarkStart w:id="740" w:name="Tc_4lS-dXlvdkWwghHnOVRAkQ_3_4"/>
      <w:bookmarkStart w:id="741" w:name="Tc_4JmgBeLrXkKQamqmcYF0KQ_3_2"/>
      <w:bookmarkStart w:id="742" w:name="Tc_ylGrE9Qw4UqeDjWCs57RoA_2_2"/>
      <w:bookmarkStart w:id="743" w:name="Tc_pKdSup2tcE634FhWq2jKhg_1_2"/>
      <w:bookmarkEnd w:id="736"/>
      <w:bookmarkEnd w:id="737"/>
      <w:bookmarkEnd w:id="738"/>
      <w:bookmarkEnd w:id="739"/>
      <w:bookmarkEnd w:id="740"/>
      <w:bookmarkEnd w:id="741"/>
      <w:bookmarkEnd w:id="742"/>
      <w:bookmarkEnd w:id="743"/>
      <w:r>
        <w:rPr>
          <w:rFonts w:ascii="Times New Roman;Times;serif" w:hAnsi="Times New Roman;Times;serif"/>
          <w:b/>
          <w:sz w:val="20"/>
        </w:rPr>
        <w:t xml:space="preserve">4. Net Income Per Common Share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pStyle w:val="TextBody"/>
        <w:spacing w:before="0" w:after="0"/>
        <w:ind w:left="0" w:right="0" w:hanging="0"/>
        <w:rPr/>
      </w:pPr>
      <w:r>
        <w:rPr/>
        <w:t>​</w:t>
      </w:r>
    </w:p>
    <w:tbl>
      <w:tblPr>
        <w:tblW w:w="6456" w:type="dxa"/>
        <w:jc w:val="left"/>
        <w:tblInd w:w="0" w:type="dxa"/>
        <w:tblCellMar>
          <w:top w:w="0" w:type="dxa"/>
          <w:left w:w="0" w:type="dxa"/>
          <w:bottom w:w="0" w:type="dxa"/>
          <w:right w:w="0" w:type="dxa"/>
        </w:tblCellMar>
      </w:tblPr>
      <w:tblGrid>
        <w:gridCol w:w="4261"/>
        <w:gridCol w:w="146"/>
        <w:gridCol w:w="676"/>
        <w:gridCol w:w="326"/>
        <w:gridCol w:w="676"/>
        <w:gridCol w:w="371"/>
      </w:tblGrid>
      <w:tr>
        <w:trPr/>
        <w:tc>
          <w:tcPr>
            <w:tcW w:w="4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705735" cy="175260"/>
                      <wp:effectExtent l="0" t="0" r="0" b="0"/>
                      <wp:wrapNone/>
                      <wp:docPr id="81" name="Frame81"/>
                      <a:graphic xmlns:a="http://schemas.openxmlformats.org/drawingml/2006/main">
                        <a:graphicData uri="http://schemas.microsoft.com/office/word/2010/wordprocessingShape">
                          <wps:wsp>
                            <wps:cNvSpPr txBox="1"/>
                            <wps:spPr>
                              <a:xfrm>
                                <a:off x="0" y="0"/>
                                <a:ext cx="2705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2710" cy="175260"/>
                      <wp:effectExtent l="0" t="0" r="0" b="0"/>
                      <wp:wrapNone/>
                      <wp:docPr id="82" name="Frame8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29260" cy="175260"/>
                      <wp:effectExtent l="0" t="0" r="0" b="0"/>
                      <wp:wrapNone/>
                      <wp:docPr id="83" name="Frame8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29260" cy="175260"/>
                      <wp:effectExtent l="0" t="0" r="0" b="0"/>
                      <wp:wrapNone/>
                      <wp:docPr id="85" name="Frame8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35585" cy="175260"/>
                      <wp:effectExtent l="0" t="0" r="0" b="0"/>
                      <wp:wrapNone/>
                      <wp:docPr id="86" name="Frame86"/>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67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shd w:fill="auto" w:val="clear"/>
            <w:vAlign w:val="center"/>
          </w:tcPr>
          <w:p>
            <w:pPr>
              <w:pStyle w:val="TableContents"/>
              <w:spacing w:before="0" w:after="0"/>
              <w:ind w:left="0" w:right="0" w:hanging="0"/>
              <w:jc w:val="center"/>
              <w:rPr/>
            </w:pPr>
            <w:r>
              <w:rPr/>
              <w:t>​</w:t>
            </w:r>
          </w:p>
        </w:tc>
      </w:tr>
      <w:tr>
        <w:trPr/>
        <w:tc>
          <w:tcPr>
            <w:tcW w:w="42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6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shd w:fill="auto" w:val="clear"/>
            <w:vAlign w:val="center"/>
          </w:tcPr>
          <w:p>
            <w:pPr>
              <w:pStyle w:val="TableContents"/>
              <w:spacing w:before="0" w:after="0"/>
              <w:ind w:left="0" w:right="0" w:hanging="0"/>
              <w:jc w:val="center"/>
              <w:rPr/>
            </w:pPr>
            <w:r>
              <w:rPr/>
              <w:t>​</w:t>
            </w:r>
          </w:p>
        </w:tc>
      </w:tr>
      <w:tr>
        <w:trPr/>
        <w:tc>
          <w:tcPr>
            <w:tcW w:w="42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w:t>
            </w:r>
          </w:p>
        </w:tc>
        <w:tc>
          <w:tcPr>
            <w:tcW w:w="14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weighted average shares outstanding</w:t>
            </w:r>
          </w:p>
        </w:tc>
        <w:tc>
          <w:tcPr>
            <w:tcW w:w="14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30,461</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34,806</w:t>
            </w:r>
          </w:p>
        </w:tc>
        <w:tc>
          <w:tcPr>
            <w:tcW w:w="371" w:type="dxa"/>
            <w:tcBorders/>
            <w:shd w:fill="CCEEFF" w:val="clear"/>
            <w:vAlign w:val="center"/>
          </w:tcPr>
          <w:p>
            <w:pPr>
              <w:pStyle w:val="TableContents"/>
              <w:spacing w:before="0" w:after="0"/>
              <w:ind w:left="0" w:right="0" w:hanging="0"/>
              <w:rPr/>
            </w:pPr>
            <w:r>
              <w:rPr/>
              <w:t> </w:t>
            </w:r>
          </w:p>
        </w:tc>
      </w:tr>
      <w:tr>
        <w:trPr/>
        <w:tc>
          <w:tcPr>
            <w:tcW w:w="4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146" w:type="dxa"/>
            <w:tcBorders/>
            <w:shd w:fill="auto" w:val="cle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71" w:type="dxa"/>
            <w:tcBorders/>
            <w:shd w:fill="auto" w:val="clear"/>
            <w:vAlign w:val="center"/>
          </w:tcPr>
          <w:p>
            <w:pPr>
              <w:pStyle w:val="TableContents"/>
              <w:spacing w:before="0" w:after="0"/>
              <w:ind w:left="0" w:right="0" w:hanging="0"/>
              <w:rPr/>
            </w:pPr>
            <w:r>
              <w:rPr/>
              <w:t> </w:t>
            </w:r>
          </w:p>
        </w:tc>
      </w:tr>
      <w:tr>
        <w:trPr/>
        <w:tc>
          <w:tcPr>
            <w:tcW w:w="4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weighted average shares outstanding</w:t>
            </w:r>
          </w:p>
        </w:tc>
        <w:tc>
          <w:tcPr>
            <w:tcW w:w="146" w:type="dxa"/>
            <w:tcBorders/>
            <w:shd w:fill="CCEEFF" w:val="clear"/>
            <w:vAlign w:val="center"/>
          </w:tcPr>
          <w:p>
            <w:pPr>
              <w:pStyle w:val="TableContents"/>
              <w:spacing w:before="0" w:after="0"/>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30,638</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34,901</w:t>
            </w:r>
          </w:p>
        </w:tc>
        <w:tc>
          <w:tcPr>
            <w:tcW w:w="371"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Diluted weighted average shares outstanding excludes the incremental effect of unvested restricted stock in accordance with the treasury stock method. For the three-month periods ended March 31, 2023 and 2022, approximately 100 and 206, respectively, of the Company’s restricted stock awards outstanding were excluded from the calculation of diluted earnings per share as their inclusion would have been anti-dilutive. These restricted stock awards could be dilutive in the future.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744" w:name="Tc_XiYcSafm1069RxE2en9hEA_13_5"/>
      <w:bookmarkStart w:id="745" w:name="Tc_mQXacDoP8ECihW0obk6BjQ_13_2"/>
      <w:bookmarkStart w:id="746" w:name="Tc_RzMsojE0HUCfYzbYhNxZ4w_13_0"/>
      <w:bookmarkStart w:id="747" w:name="Tc_yQHzcCT_JUemxzK8laWX2w_12_0"/>
      <w:bookmarkStart w:id="748" w:name="Tc_Ld5f5D-qOUmvaHkAvhL0cw_10_0"/>
      <w:bookmarkStart w:id="749" w:name="Tc_pU1GkI7qk0ajb6I9tbcJvA_9_0"/>
      <w:bookmarkStart w:id="750" w:name="Tc_Lu7bshGrc0W0FpBlB7SKjQ_8_0"/>
      <w:bookmarkStart w:id="751" w:name="Tc_xzDpDWohJE-n_u2imN1E2g_7_0"/>
      <w:bookmarkStart w:id="752" w:name="Tc_95GOKOqcEk6ELo4SqGFi9Q_6_0"/>
      <w:bookmarkStart w:id="753" w:name="Tc_6VivcA07xkea-nrjZPe_8Q_5_0"/>
      <w:bookmarkStart w:id="754" w:name="Tc_B-J53nqHPkyEndpKjV9Qyg_4_0"/>
      <w:bookmarkStart w:id="755" w:name="Tc_m8lJ2BXcGEynUJEiFM_E0w_3_5"/>
      <w:bookmarkStart w:id="756" w:name="Tc_H1o8_zoqxEGxgLWSxbMcKg_3_2"/>
      <w:bookmarkStart w:id="757" w:name="Tc_AEkYwNBRHkidru-zCUhOWQ_3_0"/>
      <w:bookmarkStart w:id="758" w:name="Tc_IlOzAAedSUqEQr0-q7K5tQ_2_5"/>
      <w:bookmarkStart w:id="759" w:name="Tc_x0_HTLTXhUO3kXYFp9A3Hw_2_2"/>
      <w:bookmarkStart w:id="760" w:name="Tc_-c1hYpG7sUuoqBAjqHPSdQ_1_5"/>
      <w:bookmarkStart w:id="761" w:name="Tc_OZXblK8Wc0WH5wYaEUaQvw_1_2"/>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r>
        <w:rPr>
          <w:rFonts w:ascii="Times New Roman;Times;serif" w:hAnsi="Times New Roman;Times;serif"/>
          <w:b/>
          <w:sz w:val="20"/>
        </w:rPr>
        <w:t>5. Property and Equipment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spacing w:before="0" w:after="0"/>
        <w:ind w:left="0" w:right="0" w:hanging="0"/>
        <w:rPr/>
      </w:pPr>
      <w:r>
        <w:rPr/>
        <w:t>​</w:t>
      </w:r>
    </w:p>
    <w:tbl>
      <w:tblPr>
        <w:tblW w:w="6820" w:type="dxa"/>
        <w:jc w:val="left"/>
        <w:tblInd w:w="0" w:type="dxa"/>
        <w:tblCellMar>
          <w:top w:w="0" w:type="dxa"/>
          <w:left w:w="0" w:type="dxa"/>
          <w:bottom w:w="0" w:type="dxa"/>
          <w:right w:w="0" w:type="dxa"/>
        </w:tblCellMar>
      </w:tblPr>
      <w:tblGrid>
        <w:gridCol w:w="4051"/>
        <w:gridCol w:w="146"/>
        <w:gridCol w:w="211"/>
        <w:gridCol w:w="901"/>
        <w:gridCol w:w="326"/>
        <w:gridCol w:w="216"/>
        <w:gridCol w:w="969"/>
      </w:tblGrid>
      <w:tr>
        <w:trPr/>
        <w:tc>
          <w:tcPr>
            <w:tcW w:w="4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572385" cy="175260"/>
                      <wp:effectExtent l="0" t="0" r="0" b="0"/>
                      <wp:wrapNone/>
                      <wp:docPr id="87" name="Frame87"/>
                      <a:graphic xmlns:a="http://schemas.openxmlformats.org/drawingml/2006/main">
                        <a:graphicData uri="http://schemas.microsoft.com/office/word/2010/wordprocessingShape">
                          <wps:wsp>
                            <wps:cNvSpPr txBox="1"/>
                            <wps:spPr>
                              <a:xfrm>
                                <a:off x="0" y="0"/>
                                <a:ext cx="2572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2710" cy="175260"/>
                      <wp:effectExtent l="0" t="0" r="0" b="0"/>
                      <wp:wrapNone/>
                      <wp:docPr id="88" name="Frame8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2135" cy="175260"/>
                      <wp:effectExtent l="0" t="0" r="0" b="0"/>
                      <wp:wrapNone/>
                      <wp:docPr id="90" name="Frame9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7160" cy="175260"/>
                      <wp:effectExtent l="0" t="0" r="0" b="0"/>
                      <wp:wrapNone/>
                      <wp:docPr id="92" name="Frame92"/>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15315" cy="175260"/>
                      <wp:effectExtent l="0" t="0" r="0" b="0"/>
                      <wp:wrapNone/>
                      <wp:docPr id="93" name="Frame93"/>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51"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jc w:val="center"/>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Land</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Land improvements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9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9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Buildings and leasehold improvements</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22,839</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9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21,911</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Computer equipment</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119,938</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9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119,316</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Furniture, fixtures and equipment</w:t>
            </w:r>
          </w:p>
        </w:tc>
        <w:tc>
          <w:tcPr>
            <w:tcW w:w="14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21,781</w:t>
            </w:r>
          </w:p>
        </w:tc>
        <w:tc>
          <w:tcPr>
            <w:tcW w:w="326" w:type="dxa"/>
            <w:tcBorders/>
            <w:shd w:fill="auto" w:val="clear"/>
            <w:vAlign w:val="center"/>
          </w:tcPr>
          <w:p>
            <w:pPr>
              <w:pStyle w:val="TableContents"/>
              <w:spacing w:before="0" w:after="1"/>
              <w:ind w:left="0" w:right="0" w:hanging="0"/>
              <w:rPr/>
            </w:pPr>
            <w:r>
              <w:rPr/>
              <w:t>​</w:t>
            </w:r>
          </w:p>
        </w:tc>
        <w:tc>
          <w:tcPr>
            <w:tcW w:w="216" w:type="dxa"/>
            <w:tcBorders/>
            <w:shd w:fill="auto" w:val="clear"/>
            <w:vAlign w:val="center"/>
          </w:tcPr>
          <w:p>
            <w:pPr>
              <w:pStyle w:val="TableContents"/>
              <w:spacing w:before="0" w:after="1"/>
              <w:ind w:left="0" w:right="0" w:hanging="0"/>
              <w:rPr/>
            </w:pPr>
            <w:r>
              <w:rPr/>
              <w:t> </w:t>
            </w:r>
          </w:p>
        </w:tc>
        <w:tc>
          <w:tcPr>
            <w:tcW w:w="9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21,323</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Internally developed software</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58,855</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9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58,904</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Construction in progress</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21,945</w:t>
            </w:r>
          </w:p>
        </w:tc>
        <w:tc>
          <w:tcPr>
            <w:tcW w:w="326" w:type="dxa"/>
            <w:tcBorders/>
            <w:shd w:fill="auto" w:val="clear"/>
            <w:vAlign w:val="center"/>
          </w:tcPr>
          <w:p>
            <w:pPr>
              <w:pStyle w:val="TableContents"/>
              <w:spacing w:before="0" w:after="1"/>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16,336</w:t>
            </w:r>
          </w:p>
        </w:tc>
      </w:tr>
      <w:tr>
        <w:trPr/>
        <w:tc>
          <w:tcPr>
            <w:tcW w:w="4051" w:type="dxa"/>
            <w:tcBorders/>
            <w:shd w:fill="CCEEFF" w:val="clear"/>
            <w:vAlign w:val="center"/>
          </w:tcPr>
          <w:p>
            <w:pPr>
              <w:pStyle w:val="TableContents"/>
              <w:spacing w:before="0" w:after="1"/>
              <w:ind w:left="0" w:right="0" w:hanging="0"/>
              <w:rPr/>
            </w:pPr>
            <w:r>
              <w:rPr/>
              <w:t>​</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304,097</w:t>
            </w:r>
          </w:p>
        </w:tc>
        <w:tc>
          <w:tcPr>
            <w:tcW w:w="326" w:type="dxa"/>
            <w:tcBorders/>
            <w:shd w:fill="CCEEFF" w:val="clear"/>
            <w:vAlign w:val="center"/>
          </w:tcPr>
          <w:p>
            <w:pPr>
              <w:pStyle w:val="TableContents"/>
              <w:spacing w:before="0" w:after="1"/>
              <w:ind w:left="0" w:right="0" w:hanging="0"/>
              <w:rPr/>
            </w:pPr>
            <w:r>
              <w:rPr/>
              <w:t>​</w:t>
            </w:r>
          </w:p>
        </w:tc>
        <w:tc>
          <w:tcPr>
            <w:tcW w:w="216" w:type="dxa"/>
            <w:tcBorders/>
            <w:shd w:fill="CCEEFF" w:val="clear"/>
            <w:vAlign w:val="center"/>
          </w:tcPr>
          <w:p>
            <w:pPr>
              <w:pStyle w:val="TableContents"/>
              <w:spacing w:before="0" w:after="1"/>
              <w:ind w:left="0" w:right="0" w:hanging="0"/>
              <w:rPr/>
            </w:pPr>
            <w:r>
              <w:rPr/>
              <w:t> </w:t>
            </w:r>
          </w:p>
        </w:tc>
        <w:tc>
          <w:tcPr>
            <w:tcW w:w="9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296,529</w:t>
            </w:r>
          </w:p>
        </w:tc>
      </w:tr>
      <w:tr>
        <w:trPr/>
        <w:tc>
          <w:tcPr>
            <w:tcW w:w="40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depreciation and amortization</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(153,706)</w:t>
            </w:r>
          </w:p>
        </w:tc>
        <w:tc>
          <w:tcPr>
            <w:tcW w:w="326" w:type="dxa"/>
            <w:tcBorders/>
            <w:shd w:fill="auto" w:val="clear"/>
            <w:vAlign w:val="center"/>
          </w:tcPr>
          <w:p>
            <w:pPr>
              <w:pStyle w:val="TableContents"/>
              <w:spacing w:before="0" w:after="1"/>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(149,025)</w:t>
            </w:r>
          </w:p>
        </w:tc>
      </w:tr>
      <w:tr>
        <w:trPr/>
        <w:tc>
          <w:tcPr>
            <w:tcW w:w="40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150,391</w:t>
            </w:r>
          </w:p>
        </w:tc>
        <w:tc>
          <w:tcPr>
            <w:tcW w:w="326" w:type="dxa"/>
            <w:tcBorders/>
            <w:shd w:fill="CCEEFF" w:val="clear"/>
            <w:vAlign w:val="center"/>
          </w:tcPr>
          <w:p>
            <w:pPr>
              <w:pStyle w:val="TableContents"/>
              <w:spacing w:before="0" w:after="1"/>
              <w:ind w:left="0" w:right="0" w:hanging="0"/>
              <w:rPr/>
            </w:pPr>
            <w:r>
              <w:rPr/>
              <w:t>​</w:t>
            </w:r>
          </w:p>
        </w:tc>
        <w:tc>
          <w:tcPr>
            <w:tcW w:w="21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147,504</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6. Amortizable Intangible Assets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January 2019, GCE completed the Acquisition. The Acquisition was accounted for in accordance with the acquisition method of accounting. Under this method the cost of the target is allocated to the identifiable assets acquired and liabilities assumed based on their estimated fair values at the date of acquisition. Identified intangible assets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hanging="0"/>
        <w:rPr>
          <w:rFonts w:ascii="Times New Roman;Times;serif" w:hAnsi="Times New Roman;Times;serif"/>
          <w:sz w:val="20"/>
        </w:rPr>
      </w:pPr>
      <w:bookmarkStart w:id="762" w:name="Tc_TRcd4iLoaEWY1ZPjA-Acyw_7_2"/>
      <w:bookmarkStart w:id="763" w:name="Tc_xUTwaZ4s2ESnQEP3DC5ABw_6_0"/>
      <w:bookmarkStart w:id="764" w:name="Tc_mitD2Yu-902bOHS7iNYw1Q_5_0"/>
      <w:bookmarkStart w:id="765" w:name="Tc_TQNSkid2NUCXV5WWoU-9BA_4_0"/>
      <w:bookmarkStart w:id="766" w:name="Tc_6ZNp3SHj4UGVoNWzz-f8yg_3_0"/>
      <w:bookmarkStart w:id="767" w:name="Tc_2vXZga1oWkm6ECGVmjw5yg_2_0"/>
      <w:bookmarkStart w:id="768" w:name="Tc_lgF2DmJZy0q0VKRTZqSqmA_1_2"/>
      <w:bookmarkStart w:id="769" w:name="Tc_c6yGoMdb7kyybziDp3tfJA_1_0"/>
      <w:bookmarkStart w:id="770" w:name="_249664d2_3644_4f96_be29_3043b3d2146f"/>
      <w:bookmarkStart w:id="771" w:name="Tc_k3SQWJKyLkuhUXFKaqYlWA_7_9"/>
      <w:bookmarkStart w:id="772" w:name="Tc_B-YtdjO4J0-hZ_uWBCk_qw_7_6"/>
      <w:bookmarkStart w:id="773" w:name="Tc_gXJLOe4bNEOizWkiaawvUw_7_3"/>
      <w:bookmarkStart w:id="774" w:name="Tc_O9kor6Y52kediyqo9sj7Zg_7_0"/>
      <w:bookmarkStart w:id="775" w:name="Tc_lZ5OPT1bBEOuNzlj2Kx9-A_6_10"/>
      <w:bookmarkStart w:id="776" w:name="Tc_rns0w-WfGk2ao2KoSFtEvQ_6_0"/>
      <w:bookmarkStart w:id="777" w:name="Tc_Yv5RjwVd70inBL6gPM6TkQ_5_9"/>
      <w:bookmarkStart w:id="778" w:name="Tc_Xu9um0_sOEO-MkaildiIaw_5_6"/>
      <w:bookmarkStart w:id="779" w:name="Tc_ziPyJ4OiZkaprp1i-siouw_5_3"/>
      <w:bookmarkStart w:id="780" w:name="Tc_xEvAzbBC00GSByQeGL28dQ_5_0"/>
      <w:bookmarkStart w:id="781" w:name="Tc_GDrKXrMgQk6b8UifOpNQpg_4_9"/>
      <w:bookmarkStart w:id="782" w:name="Tc_EgwKVDVnakSHJWGDKiu7rA_4_6"/>
      <w:bookmarkStart w:id="783" w:name="Tc_u9uX02IKd066nlrkUObWvQ_4_3"/>
      <w:bookmarkStart w:id="784" w:name="Tc_k0LXwyMN8kmUmIF2CTvOlQ_4_1"/>
      <w:bookmarkStart w:id="785" w:name="Tc_XZwysYGDdk6atgLF-n4tQg_3_9"/>
      <w:bookmarkStart w:id="786" w:name="Tc_BCLVsxPKL0et01ObJx2HBQ_3_6"/>
      <w:bookmarkStart w:id="787" w:name="Tc_2nr4PkpfIkqw7fsRTX9_fw_3_3"/>
      <w:bookmarkStart w:id="788" w:name="Tc_YyTnzX8Y4UuO9JpX3Vw0xw_3_1"/>
      <w:bookmarkStart w:id="789" w:name="Tc_-rxdi6xLgEONDCyB8obDeg_2_9"/>
      <w:bookmarkStart w:id="790" w:name="Tc_SQhTJBR600KkXUG31ra5Cw_2_3"/>
      <w:bookmarkStart w:id="791" w:name="Tc_tUDMShdv7EOZRmrYQ6KHiQ_2_1"/>
      <w:bookmarkStart w:id="792" w:name="Tc_FYUWTXEx40O3vvVybRK_AQ_1_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Times New Roman;Times;serif" w:hAnsi="Times New Roman;Times;serif"/>
          <w:sz w:val="20"/>
        </w:rPr>
        <w:t>$210,280 consisted primarily of university partner relationships that were valued at $210,000. The fair value of university partner relationships was determined using the multiple-period excess earnings method.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spacing w:before="0" w:after="0"/>
        <w:ind w:left="0" w:right="0" w:hanging="0"/>
        <w:rPr/>
      </w:pPr>
      <w:r>
        <w:rPr/>
        <w:t>​</w:t>
      </w:r>
    </w:p>
    <w:tbl>
      <w:tblPr>
        <w:tblW w:w="8315" w:type="dxa"/>
        <w:jc w:val="left"/>
        <w:tblInd w:w="0" w:type="dxa"/>
        <w:tblCellMar>
          <w:top w:w="0" w:type="dxa"/>
          <w:left w:w="0" w:type="dxa"/>
          <w:bottom w:w="0" w:type="dxa"/>
          <w:right w:w="0" w:type="dxa"/>
        </w:tblCellMar>
      </w:tblPr>
      <w:tblGrid>
        <w:gridCol w:w="3301"/>
        <w:gridCol w:w="1216"/>
        <w:gridCol w:w="206"/>
        <w:gridCol w:w="211"/>
        <w:gridCol w:w="781"/>
        <w:gridCol w:w="206"/>
        <w:gridCol w:w="240"/>
        <w:gridCol w:w="841"/>
        <w:gridCol w:w="206"/>
        <w:gridCol w:w="211"/>
        <w:gridCol w:w="896"/>
      </w:tblGrid>
      <w:tr>
        <w:trPr/>
        <w:tc>
          <w:tcPr>
            <w:tcW w:w="3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96135" cy="175260"/>
                      <wp:effectExtent l="0" t="0" r="0" b="0"/>
                      <wp:wrapNone/>
                      <wp:docPr id="94" name="Frame94"/>
                      <a:graphic xmlns:a="http://schemas.openxmlformats.org/drawingml/2006/main">
                        <a:graphicData uri="http://schemas.microsoft.com/office/word/2010/wordprocessingShape">
                          <wps:wsp>
                            <wps:cNvSpPr txBox="1"/>
                            <wps:spPr>
                              <a:xfrm>
                                <a:off x="0" y="0"/>
                                <a:ext cx="2096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72160" cy="175260"/>
                      <wp:effectExtent l="0" t="0" r="0" b="0"/>
                      <wp:wrapNone/>
                      <wp:docPr id="95" name="Frame95"/>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0810" cy="175260"/>
                      <wp:effectExtent l="0" t="0" r="0" b="0"/>
                      <wp:wrapNone/>
                      <wp:docPr id="96" name="Frame9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95935" cy="175260"/>
                      <wp:effectExtent l="0" t="0" r="0" b="0"/>
                      <wp:wrapNone/>
                      <wp:docPr id="98" name="Frame9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0810" cy="175260"/>
                      <wp:effectExtent l="0" t="0" r="0" b="0"/>
                      <wp:wrapNone/>
                      <wp:docPr id="99" name="Frame9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2400" cy="175260"/>
                      <wp:effectExtent l="0" t="0" r="0" b="0"/>
                      <wp:wrapNone/>
                      <wp:docPr id="100" name="Frame100"/>
                      <a:graphic xmlns:a="http://schemas.openxmlformats.org/drawingml/2006/main">
                        <a:graphicData uri="http://schemas.microsoft.com/office/word/2010/wordprocessingShape">
                          <wps:wsp>
                            <wps:cNvSpPr txBox="1"/>
                            <wps:spPr>
                              <a:xfrm>
                                <a:off x="0" y="0"/>
                                <a:ext cx="1524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34035" cy="175260"/>
                      <wp:effectExtent l="0" t="0" r="0" b="0"/>
                      <wp:wrapNone/>
                      <wp:docPr id="101" name="Frame101"/>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0810" cy="175260"/>
                      <wp:effectExtent l="0" t="0" r="0" b="0"/>
                      <wp:wrapNone/>
                      <wp:docPr id="102" name="Frame10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68960" cy="175260"/>
                      <wp:effectExtent l="0" t="0" r="0" b="0"/>
                      <wp:wrapNone/>
                      <wp:docPr id="104" name="Frame104"/>
                      <a:graphic xmlns:a="http://schemas.openxmlformats.org/drawingml/2006/main">
                        <a:graphicData uri="http://schemas.microsoft.com/office/word/2010/wordprocessingShape">
                          <wps:wsp>
                            <wps:cNvSpPr txBox="1"/>
                            <wps:spPr>
                              <a:xfrm>
                                <a:off x="0" y="0"/>
                                <a:ext cx="568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01" w:type="dxa"/>
            <w:tcBorders/>
            <w:shd w:fill="auto" w:val="clear"/>
            <w:vAlign w:val="center"/>
          </w:tcPr>
          <w:p>
            <w:pPr>
              <w:pStyle w:val="TableContents"/>
              <w:spacing w:before="0" w:after="1"/>
              <w:ind w:left="0" w:right="0" w:hanging="0"/>
              <w:rPr/>
            </w:pPr>
            <w:r>
              <w:rPr/>
              <w:t>​</w:t>
            </w:r>
          </w:p>
        </w:tc>
        <w:tc>
          <w:tcPr>
            <w:tcW w:w="5014" w:type="dxa"/>
            <w:gridSpan w:val="10"/>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330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0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06" w:type="dxa"/>
            <w:tcBorders/>
            <w:shd w:fill="auto" w:val="clear"/>
            <w:vAlign w:val="center"/>
          </w:tcPr>
          <w:p>
            <w:pPr>
              <w:pStyle w:val="TableContents"/>
              <w:spacing w:before="0" w:after="1"/>
              <w:ind w:left="0" w:right="0" w:hanging="0"/>
              <w:rPr/>
            </w:pPr>
            <w:r>
              <w:rPr/>
              <w:t>​</w:t>
            </w:r>
          </w:p>
        </w:tc>
        <w:tc>
          <w:tcPr>
            <w:tcW w:w="240"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110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301"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0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06" w:type="dxa"/>
            <w:tcBorders/>
            <w:shd w:fill="auto" w:val="clear"/>
            <w:vAlign w:val="center"/>
          </w:tcPr>
          <w:p>
            <w:pPr>
              <w:pStyle w:val="TableContents"/>
              <w:spacing w:before="0" w:after="1"/>
              <w:ind w:left="0" w:right="0" w:hanging="0"/>
              <w:rPr/>
            </w:pPr>
            <w:r>
              <w:rPr/>
              <w:t>​</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shd w:fill="auto" w:val="clear"/>
            <w:vAlign w:val="center"/>
          </w:tcPr>
          <w:p>
            <w:pPr>
              <w:pStyle w:val="TableContents"/>
              <w:spacing w:before="0" w:after="1"/>
              <w:ind w:left="0" w:right="0" w:hanging="0"/>
              <w:rPr/>
            </w:pPr>
            <w:r>
              <w:rPr/>
              <w:t>​</w:t>
            </w:r>
          </w:p>
        </w:tc>
        <w:tc>
          <w:tcPr>
            <w:tcW w:w="110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01" w:type="dxa"/>
            <w:tcBorders/>
            <w:shd w:fill="auto" w:val="clear"/>
            <w:vAlign w:val="center"/>
          </w:tcPr>
          <w:p>
            <w:pPr>
              <w:pStyle w:val="TableContents"/>
              <w:spacing w:before="0" w:after="1"/>
              <w:ind w:left="0" w:right="0" w:hanging="0"/>
              <w:rPr/>
            </w:pPr>
            <w:r>
              <w:rPr/>
              <w:t>​</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06" w:type="dxa"/>
            <w:tcBorders/>
            <w:shd w:fill="auto" w:val="clear"/>
            <w:vAlign w:val="center"/>
          </w:tcPr>
          <w:p>
            <w:pPr>
              <w:pStyle w:val="TableContents"/>
              <w:spacing w:before="0" w:after="1"/>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shd w:fill="auto" w:val="clear"/>
            <w:vAlign w:val="center"/>
          </w:tcPr>
          <w:p>
            <w:pPr>
              <w:pStyle w:val="TableContents"/>
              <w:spacing w:before="0" w:after="1"/>
              <w:ind w:left="0" w:right="0" w:hanging="0"/>
              <w:rPr/>
            </w:pPr>
            <w:r>
              <w:rPr/>
              <w:t>​</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06" w:type="dxa"/>
            <w:tcBorders/>
            <w:shd w:fill="auto" w:val="clear"/>
            <w:vAlign w:val="center"/>
          </w:tcPr>
          <w:p>
            <w:pPr>
              <w:pStyle w:val="TableContents"/>
              <w:spacing w:before="0" w:after="1"/>
              <w:ind w:left="0" w:right="0" w:hanging="0"/>
              <w:rPr/>
            </w:pPr>
            <w:r>
              <w:rPr/>
              <w:t>​</w:t>
            </w:r>
          </w:p>
        </w:tc>
        <w:tc>
          <w:tcPr>
            <w:tcW w:w="11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3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0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06" w:type="dxa"/>
            <w:tcBorders/>
            <w:shd w:fill="CCEEFF" w:val="clear"/>
            <w:vAlign w:val="center"/>
          </w:tcPr>
          <w:p>
            <w:pPr>
              <w:pStyle w:val="TableContents"/>
              <w:spacing w:before="0" w:after="1"/>
              <w:ind w:left="0" w:right="0" w:hanging="0"/>
              <w:rPr/>
            </w:pPr>
            <w:r>
              <w:rPr/>
              <w:t>  </w:t>
            </w:r>
          </w:p>
        </w:tc>
        <w:tc>
          <w:tcPr>
            <w:tcW w:w="24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(35,305)</w:t>
            </w:r>
          </w:p>
        </w:tc>
        <w:tc>
          <w:tcPr>
            <w:tcW w:w="20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174,695</w:t>
            </w:r>
          </w:p>
        </w:tc>
      </w:tr>
      <w:tr>
        <w:trPr/>
        <w:tc>
          <w:tcPr>
            <w:tcW w:w="33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names</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shd w:fill="auto" w:val="clear"/>
            <w:vAlign w:val="center"/>
          </w:tcPr>
          <w:p>
            <w:pPr>
              <w:pStyle w:val="TableContents"/>
              <w:spacing w:before="0" w:after="1"/>
              <w:ind w:left="0" w:right="0" w:hanging="0"/>
              <w:rPr/>
            </w:pPr>
            <w:r>
              <w:rPr/>
              <w:t>​</w:t>
            </w:r>
          </w:p>
        </w:tc>
        <w:tc>
          <w:tcPr>
            <w:tcW w:w="24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3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06" w:type="dxa"/>
            <w:tcBorders/>
            <w:shd w:fill="CCEEFF" w:val="clear"/>
            <w:vAlign w:val="center"/>
          </w:tcPr>
          <w:p>
            <w:pPr>
              <w:pStyle w:val="TableContents"/>
              <w:spacing w:before="0" w:after="1"/>
              <w:ind w:left="0" w:right="0" w:hanging="0"/>
              <w:rPr/>
            </w:pPr>
            <w:r>
              <w:rPr/>
              <w:t>​</w:t>
            </w:r>
          </w:p>
        </w:tc>
        <w:tc>
          <w:tcPr>
            <w:tcW w:w="24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(35,585)</w:t>
            </w:r>
          </w:p>
        </w:tc>
        <w:tc>
          <w:tcPr>
            <w:tcW w:w="20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174,695</w:t>
            </w:r>
          </w:p>
        </w:tc>
      </w:tr>
    </w:tbl>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Amortization expense for university partner relationships and trade names for the years ending December 31:</w:t>
      </w:r>
    </w:p>
    <w:tbl>
      <w:tblPr>
        <w:tblW w:w="2162" w:type="dxa"/>
        <w:jc w:val="left"/>
        <w:tblInd w:w="0" w:type="dxa"/>
        <w:tblCellMar>
          <w:top w:w="0" w:type="dxa"/>
          <w:left w:w="0" w:type="dxa"/>
          <w:bottom w:w="0" w:type="dxa"/>
          <w:right w:w="0" w:type="dxa"/>
        </w:tblCellMar>
      </w:tblPr>
      <w:tblGrid>
        <w:gridCol w:w="946"/>
        <w:gridCol w:w="109"/>
        <w:gridCol w:w="211"/>
        <w:gridCol w:w="896"/>
      </w:tblGrid>
      <w:tr>
        <w:trPr/>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00710" cy="175260"/>
                      <wp:effectExtent l="0" t="0" r="0" b="0"/>
                      <wp:wrapNone/>
                      <wp:docPr id="105" name="Frame105"/>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8960" cy="175260"/>
                      <wp:effectExtent l="0" t="0" r="0" b="0"/>
                      <wp:wrapNone/>
                      <wp:docPr id="108" name="Frame108"/>
                      <a:graphic xmlns:a="http://schemas.openxmlformats.org/drawingml/2006/main">
                        <a:graphicData uri="http://schemas.microsoft.com/office/word/2010/wordprocessingShape">
                          <wps:wsp>
                            <wps:cNvSpPr txBox="1"/>
                            <wps:spPr>
                              <a:xfrm>
                                <a:off x="0" y="0"/>
                                <a:ext cx="568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6,314</w:t>
            </w:r>
          </w:p>
        </w:tc>
      </w:tr>
      <w:tr>
        <w:trPr/>
        <w:tc>
          <w:tcPr>
            <w:tcW w:w="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134,705</w:t>
            </w:r>
          </w:p>
        </w:tc>
      </w:tr>
      <w:tr>
        <w:trPr/>
        <w:tc>
          <w:tcPr>
            <w:tcW w:w="94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174,695</w:t>
            </w:r>
          </w:p>
        </w:tc>
      </w:tr>
    </w:tbl>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7. Leases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has operating leases for off-campus classroom and laboratory sites, office space, office equipment, and optical fiber communication lines. These leases have remaining lease terms that range from six months to </w:t>
      </w:r>
      <w:r>
        <w:rPr>
          <w:rFonts w:ascii="Times New Roman;Times;serif" w:hAnsi="Times New Roman;Times;serif"/>
          <w:b w:val="false"/>
          <w:i w:val="false"/>
          <w:caps w:val="false"/>
          <w:smallCaps w:val="false"/>
          <w:sz w:val="20"/>
        </w:rPr>
        <w:t xml:space="preserve">10 </w:t>
      </w:r>
      <w:r>
        <w:rPr>
          <w:rFonts w:ascii="Times New Roman;Times;serif" w:hAnsi="Times New Roman;Times;serif"/>
          <w:sz w:val="20"/>
        </w:rPr>
        <w:t>years and five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$3,018 and $2,396 for the three-month periods ended March 31, 2023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of March 31, 2023, the Company had $34,106 of non-cancelable operating lease commitments for six off-campus classroom and laboratory sites and $192 for optical fiber communication lines that had not yet commenced. The Company’s weighted-average remaining lease term relating to its operating leases is 7.85 years, with a weighted-average discount rate of 3.35%. As of March 31, 2023, the Company had no financing leases.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firstLine="720"/>
        <w:rPr>
          <w:rFonts w:ascii="Times New Roman;Times;serif" w:hAnsi="Times New Roman;Times;serif"/>
          <w:sz w:val="20"/>
        </w:rPr>
      </w:pPr>
      <w:bookmarkStart w:id="793" w:name="Tc_p1g6QkehkEyeYsxIoGrJiw_10_2"/>
      <w:bookmarkStart w:id="794" w:name="Tc_GBEGE7UxmkmzpC5_TLoqDQ_10_0"/>
      <w:bookmarkStart w:id="795" w:name="Tc_wevg73ZHoUeNYM-aP4Y6fQ_9_0"/>
      <w:bookmarkStart w:id="796" w:name="Tc_5bOWwHUIIkCq_kCzO8lxWQ_8_2"/>
      <w:bookmarkStart w:id="797" w:name="Tc_y7ZPgGEAN0u9huu8Yryjyw_8_0"/>
      <w:bookmarkStart w:id="798" w:name="Tc_Tox5epD9R0-SfC9RY6BQZw_7_0"/>
      <w:bookmarkStart w:id="799" w:name="Tc_RdKhir9qo0iM38CEqXgCWA_6_0"/>
      <w:bookmarkStart w:id="800" w:name="Tc_PYwP4sgtD0acchwCjpYGTA_5_0"/>
      <w:bookmarkStart w:id="801" w:name="Tc_XNEmlqKiyEGMBy-NH1PKSA_4_0"/>
      <w:bookmarkStart w:id="802" w:name="Tc_W7wtJVpDwUW_ZpKFlfrDQw_3_0"/>
      <w:bookmarkStart w:id="803" w:name="Tc_usHQ4G75cEio2zZa-RGngg_2_2"/>
      <w:bookmarkStart w:id="804" w:name="Tc_AwZIUvGsFUmD_1sxDgS0RQ_2_0"/>
      <w:bookmarkStart w:id="805" w:name="Tc_9XueaCK1nEynZ2N82IHWfA_1_2"/>
      <w:bookmarkStart w:id="806" w:name="Tc_p-jVBiPcIEaSKpvYOj_n0g_1_0"/>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Pr>
          <w:rFonts w:ascii="Times New Roman;Times;serif" w:hAnsi="Times New Roman;Times;serif"/>
          <w:sz w:val="20"/>
        </w:rPr>
        <w:t>Future payment obligations with respect to the Company’s operating leases, which were existing at March 31, 2023, by year and in the aggregate, are as follows:</w:t>
      </w:r>
    </w:p>
    <w:p>
      <w:pPr>
        <w:pStyle w:val="TextBody"/>
        <w:spacing w:before="0" w:after="0"/>
        <w:ind w:left="0" w:right="0" w:hanging="0"/>
        <w:rPr/>
      </w:pPr>
      <w:r>
        <w:rPr/>
        <w:t>​</w:t>
      </w:r>
    </w:p>
    <w:tbl>
      <w:tblPr>
        <w:tblW w:w="4014" w:type="dxa"/>
        <w:jc w:val="left"/>
        <w:tblInd w:w="0" w:type="dxa"/>
        <w:tblCellMar>
          <w:top w:w="0" w:type="dxa"/>
          <w:left w:w="0" w:type="dxa"/>
          <w:bottom w:w="0" w:type="dxa"/>
          <w:right w:w="0" w:type="dxa"/>
        </w:tblCellMar>
      </w:tblPr>
      <w:tblGrid>
        <w:gridCol w:w="2686"/>
        <w:gridCol w:w="326"/>
        <w:gridCol w:w="211"/>
        <w:gridCol w:w="791"/>
      </w:tblGrid>
      <w:tr>
        <w:trPr/>
        <w:tc>
          <w:tcPr>
            <w:tcW w:w="26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1" w:type="dxa"/>
            <w:tcBorders/>
            <w:shd w:fill="auto" w:val="clear"/>
            <w:vAlign w:val="center"/>
          </w:tcPr>
          <w:p>
            <w:pPr>
              <w:pStyle w:val="TableContents"/>
              <w:spacing w:before="0" w:after="1"/>
              <w:ind w:left="0" w:right="0" w:hanging="0"/>
              <w:rPr/>
            </w:pPr>
            <w:r>
              <w:rPr/>
              <w:t>​</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shd w:fill="auto" w:val="clear"/>
            <w:vAlign w:val="center"/>
          </w:tcPr>
          <w:p>
            <w:pPr>
              <w:pStyle w:val="TableContents"/>
              <w:spacing w:before="0" w:after="1"/>
              <w:ind w:left="0" w:right="0" w:hanging="0"/>
              <w:rPr/>
            </w:pPr>
            <w:r>
              <w:rPr/>
              <w:t>    </w:t>
            </w:r>
          </w:p>
        </w:tc>
        <w:tc>
          <w:tcPr>
            <w:tcW w:w="10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8,244</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11,143</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10,867</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10,805</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10,193</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35,104</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86,356</w:t>
            </w:r>
          </w:p>
        </w:tc>
      </w:tr>
      <w:tr>
        <w:trPr/>
        <w:tc>
          <w:tcPr>
            <w:tcW w:w="2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interest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10,895</w:t>
            </w:r>
          </w:p>
        </w:tc>
      </w:tr>
      <w:tr>
        <w:trPr/>
        <w:tc>
          <w:tcPr>
            <w:tcW w:w="2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75,461</w:t>
            </w:r>
          </w:p>
        </w:tc>
      </w:tr>
    </w:tbl>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8. Commitments and Contingencies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Legal Matters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spacing w:before="0" w:after="0"/>
        <w:ind w:left="0" w:right="0" w:firstLine="720"/>
        <w:rPr>
          <w:rFonts w:ascii="Times New Roman;Times;serif" w:hAnsi="Times New Roman;Times;serif"/>
          <w:b/>
          <w:i/>
          <w:sz w:val="20"/>
          <w:highlight w:val="white"/>
        </w:rPr>
      </w:pPr>
      <w:r>
        <w:rPr>
          <w:rFonts w:ascii="Times New Roman;Times;serif" w:hAnsi="Times New Roman;Times;serif"/>
          <w:b/>
          <w:i/>
          <w:sz w:val="20"/>
          <w:highlight w:val="white"/>
        </w:rPr>
        <w:t>Litigation</w:t>
      </w:r>
    </w:p>
    <w:p>
      <w:pPr>
        <w:pStyle w:val="TextBody"/>
        <w:spacing w:before="0" w:after="0"/>
        <w:ind w:left="0" w:right="0" w:firstLine="720"/>
        <w:rPr>
          <w:highlight w:val="white"/>
        </w:rPr>
      </w:pPr>
      <w:r>
        <w:rPr>
          <w:highlight w:val="white"/>
        </w:rPr>
        <w:t>​</w:t>
      </w:r>
    </w:p>
    <w:p>
      <w:pPr>
        <w:pStyle w:val="TextBody"/>
        <w:spacing w:before="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On May 12, 2020, a securities class action complaint was filed in the U.S. District Court for the District of Delaware by the City of Hialeah Employees’ Retirement System naming the Company, Brian E. Mueller and Daniel E. Bachus as defendants for allegedly making false and materially misleading statements regarding the circumstances surrounding the Company’s sale of Grand Canyon University (the “University”) to a non-profit entity on July 1, 2018 and the subsequent decision of the U.S. Department of Education to continue to treat the University as a for-profit institution for education regulatory purposes (collectively, the “Conversion”). The complaint asserted a putative class period stemming from January 5, 2018, the date when the Company announced that it had applied to the University’s accreditor for approval of the Conversion, to January 27, 2020, the date prior to the publication of a short-seller report focused on the Conversion. A substantially similar complaint was filed in the same court by Grant Walsh on June 12, 2020 making similar allegations against the Company, Mr. Mueller and Mr. Bachus. Both complaints alleged violations of Sections 10(b) and 20(a) of the Securities Exchange Act of 1934, as amended, and Rule 10b-5 promulgated thereunder and sought unspecified monetary relief, interest, and attorneys’ fees. </w:t>
      </w:r>
    </w:p>
    <w:p>
      <w:pPr>
        <w:pStyle w:val="TextBody"/>
        <w:spacing w:before="0" w:after="0"/>
        <w:ind w:left="0" w:right="0" w:hanging="0"/>
        <w:rPr>
          <w:highlight w:val="white"/>
        </w:rPr>
      </w:pPr>
      <w:r>
        <w:rPr>
          <w:highlight w:val="white"/>
        </w:rPr>
        <w:t>​</w:t>
      </w:r>
    </w:p>
    <w:p>
      <w:pPr>
        <w:pStyle w:val="TextBody"/>
        <w:spacing w:before="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On August 13, 2020, the two cases were consolidated and the Fire and Police Association of Colorado, the Oakland County Employees’ Retirement System and the Oakland County Voluntary Employees’ Beneficiary Association Trust were appointed as lead plaintiffs. Thereafter, the plaintiffs filed a consolidated amended complaint on October 20, 2020 and the Company filed a motion to dismiss on December 21, 2020. On August 23, 2021, the Court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 xml:space="preserve">granted the Company’s motion to dismiss in its entirety but permitted plaintiffs to file a further amended complaint to correct deficiencies in the initial complaint. The plaintiffs filed further amended complaints on September 28, 2021 and January 21, 2022, and the Company filed a further motion to dismiss on March 15, 2022. On March 28, 2023, the Company’s motion to dismiss was denied. </w:t>
      </w:r>
    </w:p>
    <w:p>
      <w:pPr>
        <w:pStyle w:val="TextBody"/>
        <w:spacing w:before="0" w:after="0"/>
        <w:ind w:left="0" w:right="0" w:firstLine="720"/>
        <w:rPr>
          <w:highlight w:val="white"/>
        </w:rPr>
      </w:pPr>
      <w:r>
        <w:rPr>
          <w:highlight w:val="white"/>
        </w:rPr>
        <w:t>​</w:t>
      </w:r>
    </w:p>
    <w:p>
      <w:pPr>
        <w:pStyle w:val="TextBody"/>
        <w:spacing w:before="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The Company believes that plaintiffs’ claims are without merit and it intends to defend itself in this legal proceeding vigorously.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pStyle w:val="TextBody"/>
        <w:spacing w:before="0" w:after="0"/>
        <w:ind w:left="0" w:right="0" w:firstLine="720"/>
        <w:rPr>
          <w:highlight w:val="white"/>
        </w:rPr>
      </w:pPr>
      <w:r>
        <w:rPr>
          <w:highlight w:val="white"/>
        </w:rPr>
        <w:t>​</w:t>
      </w:r>
    </w:p>
    <w:p>
      <w:pPr>
        <w:pStyle w:val="TextBody"/>
        <w:spacing w:before="0" w:after="0"/>
        <w:ind w:left="0" w:right="0" w:hanging="0"/>
        <w:rPr>
          <w:rFonts w:ascii="Times New Roman;Times;serif" w:hAnsi="Times New Roman;Times;serif"/>
          <w:b/>
          <w:i/>
          <w:sz w:val="20"/>
          <w:highlight w:val="white"/>
        </w:rPr>
      </w:pPr>
      <w:r>
        <w:rPr>
          <w:rFonts w:ascii="Times New Roman;Times;serif" w:hAnsi="Times New Roman;Times;serif"/>
          <w:b/>
          <w:i/>
          <w:sz w:val="20"/>
          <w:highlight w:val="white"/>
        </w:rPr>
        <w:t>Other Matters</w:t>
      </w:r>
    </w:p>
    <w:p>
      <w:pPr>
        <w:pStyle w:val="TextBody"/>
        <w:spacing w:before="0" w:after="0"/>
        <w:ind w:left="0" w:right="0" w:hanging="0"/>
        <w:rPr>
          <w:highlight w:val="white"/>
        </w:rPr>
      </w:pPr>
      <w:r>
        <w:rPr>
          <w:highlight w:val="white"/>
        </w:rPr>
        <w:t>​</w:t>
      </w:r>
    </w:p>
    <w:p>
      <w:pPr>
        <w:pStyle w:val="TextBody"/>
        <w:spacing w:before="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In May 2022, we received a civil investigative demand (“CID”) from the Federal Trade Commission (“FTC”) related to the marketing services that we provide on behalf of GCU, and related activities. The CID requests the production of documents and answers to written questions. In January 2023, we received a further CID from the FTC requesting testimony on the same topic. We are cooperating with the FTC in connection with each of these CIDs.</w:t>
      </w:r>
    </w:p>
    <w:p>
      <w:pPr>
        <w:pStyle w:val="TextBody"/>
        <w:spacing w:before="0" w:after="0"/>
        <w:ind w:left="0" w:right="0" w:firstLine="72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807" w:name="Tc_6Zw_osthAE2qpN_4rpc3Lw_8_4"/>
      <w:bookmarkStart w:id="808" w:name="Tc_iRWtbV1MQ0qaZSPhl3RieA_8_0"/>
      <w:bookmarkStart w:id="809" w:name="Tc_Mn5GdWB6kU2iy2JMtApM5w_7_4"/>
      <w:bookmarkStart w:id="810" w:name="Tc_hr1WNzPqQUG00Icec3wUOA_7_0"/>
      <w:bookmarkStart w:id="811" w:name="Tc_yI9xCr-6VU-aEYNkTJ4uZg_6_4"/>
      <w:bookmarkStart w:id="812" w:name="Tc_Q3OwfButvkGnwzDq72e_zA_6_0"/>
      <w:bookmarkStart w:id="813" w:name="Tc_HxETgIZFmU6meymqV-AdWQ_5_4"/>
      <w:bookmarkStart w:id="814" w:name="Tc_Y502oOklVkidJUznbXSpWw_5_0"/>
      <w:bookmarkStart w:id="815" w:name="Tc_VzdgDElXKU-6VhbY4qX0xw_4_4"/>
      <w:bookmarkStart w:id="816" w:name="Tc_3ycARkZ3cUG_5V8bS0khAA_4_0"/>
      <w:bookmarkStart w:id="817" w:name="Tc_4pkoJmemiEONzgBo1ttgEw_3_4"/>
      <w:bookmarkStart w:id="818" w:name="Tc_gTkADvv4VkSYGhJIFYQhTw_3_2"/>
      <w:bookmarkStart w:id="819" w:name="Tc_y_SNrFVq20CV0XtryJ6-oA_2_4"/>
      <w:bookmarkStart w:id="820" w:name="Tc_2OcP2yIookqGvSpVBR3lHA_2_2"/>
      <w:bookmarkStart w:id="821" w:name="Tc_rjDtkPTt2kCve5lPHNEQdw_1_4"/>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r>
        <w:rPr>
          <w:rFonts w:ascii="Times New Roman;Times;serif" w:hAnsi="Times New Roman;Times;serif"/>
          <w:b/>
          <w:sz w:val="20"/>
        </w:rPr>
        <w:t>9. Share-Based Compensation</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Incentive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makes equity incentive grants pursuant to our 2017 Equity Incentive Plan (the “2017 Plan”) under which a maximum of 3,000 shares may be granted. As of March 31, 2023, 1,085 shares were available for grants under the 2017 Plan. </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Restricted Stock</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During the three months ended March 31, 2023, the Company granted 136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three months ended March 31, 2023, the Company withheld 56 shares of common stock in lieu of taxes at a cost of $6,331 on the restricted stock vesting dates.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 summary of the activity related to restricted stock granted under the Company’s Incentive Plan since December 31, 2022 is as follows:</w:t>
      </w:r>
    </w:p>
    <w:p>
      <w:pPr>
        <w:pStyle w:val="TextBody"/>
        <w:spacing w:before="0" w:after="0"/>
        <w:ind w:left="0" w:right="0" w:hanging="0"/>
        <w:rPr/>
      </w:pPr>
      <w:r>
        <w:rPr/>
        <w:t>​</w:t>
      </w:r>
    </w:p>
    <w:tbl>
      <w:tblPr>
        <w:tblW w:w="6175" w:type="dxa"/>
        <w:jc w:val="left"/>
        <w:tblInd w:w="0" w:type="dxa"/>
        <w:tblCellMar>
          <w:top w:w="0" w:type="dxa"/>
          <w:left w:w="0" w:type="dxa"/>
          <w:bottom w:w="0" w:type="dxa"/>
          <w:right w:w="0" w:type="dxa"/>
        </w:tblCellMar>
      </w:tblPr>
      <w:tblGrid>
        <w:gridCol w:w="3256"/>
        <w:gridCol w:w="326"/>
        <w:gridCol w:w="586"/>
        <w:gridCol w:w="326"/>
        <w:gridCol w:w="379"/>
        <w:gridCol w:w="1302"/>
      </w:tblGrid>
      <w:tr>
        <w:trPr/>
        <w:tc>
          <w:tcPr>
            <w:tcW w:w="3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67560" cy="175260"/>
                      <wp:effectExtent l="0" t="0" r="0" b="0"/>
                      <wp:wrapNone/>
                      <wp:docPr id="109" name="Frame109"/>
                      <a:graphic xmlns:a="http://schemas.openxmlformats.org/drawingml/2006/main">
                        <a:graphicData uri="http://schemas.microsoft.com/office/word/2010/wordprocessingShape">
                          <wps:wsp>
                            <wps:cNvSpPr txBox="1"/>
                            <wps:spPr>
                              <a:xfrm>
                                <a:off x="0" y="0"/>
                                <a:ext cx="2067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72110" cy="175260"/>
                      <wp:effectExtent l="0" t="0" r="0" b="0"/>
                      <wp:wrapNone/>
                      <wp:docPr id="111" name="Frame111"/>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0665" cy="175260"/>
                      <wp:effectExtent l="0" t="0" r="0" b="0"/>
                      <wp:wrapNone/>
                      <wp:docPr id="113" name="Frame113"/>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826770" cy="175260"/>
                      <wp:effectExtent l="0" t="0" r="0" b="0"/>
                      <wp:wrapNone/>
                      <wp:docPr id="114" name="Frame114"/>
                      <a:graphic xmlns:a="http://schemas.openxmlformats.org/drawingml/2006/main">
                        <a:graphicData uri="http://schemas.microsoft.com/office/word/2010/wordprocessingShape">
                          <wps:wsp>
                            <wps:cNvSpPr txBox="1"/>
                            <wps:spPr>
                              <a:xfrm>
                                <a:off x="0" y="0"/>
                                <a:ext cx="8267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6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jc w:val="center"/>
              <w:rPr/>
            </w:pPr>
            <w:r>
              <w:rPr/>
              <w:t>​</w:t>
            </w:r>
          </w:p>
        </w:tc>
        <w:tc>
          <w:tcPr>
            <w:tcW w:w="16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w:t>
            </w:r>
          </w:p>
        </w:tc>
        <w:tc>
          <w:tcPr>
            <w:tcW w:w="16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Outstanding as of December 31, 2022</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shd w:fill="CCEEFF" w:val="clear"/>
            <w:vAlign w:val="center"/>
          </w:tcPr>
          <w:p>
            <w:pPr>
              <w:pStyle w:val="TableContents"/>
              <w:spacing w:before="0" w:after="0"/>
              <w:ind w:left="0" w:right="0" w:hanging="0"/>
              <w:rPr/>
            </w:pPr>
            <w:r>
              <w:rPr/>
              <w:t>​</w:t>
            </w:r>
          </w:p>
        </w:tc>
        <w:tc>
          <w:tcPr>
            <w:tcW w:w="3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85.32</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auto" w:val="clear"/>
            <w:vAlign w:val="center"/>
          </w:tcPr>
          <w:p>
            <w:pPr>
              <w:pStyle w:val="TableContents"/>
              <w:spacing w:before="0" w:after="0"/>
              <w:ind w:left="0" w:right="0" w:hanging="0"/>
              <w:rPr/>
            </w:pPr>
            <w:r>
              <w:rPr/>
              <w:t>​</w:t>
            </w:r>
          </w:p>
        </w:tc>
        <w:tc>
          <w:tcPr>
            <w:tcW w:w="3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112.90</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spacing w:before="0" w:after="0"/>
              <w:ind w:left="0" w:right="0" w:hanging="0"/>
              <w:rPr/>
            </w:pPr>
            <w:r>
              <w:rPr/>
              <w:t>​</w:t>
            </w:r>
          </w:p>
        </w:tc>
        <w:tc>
          <w:tcPr>
            <w:tcW w:w="3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86.85</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 canceled or expired</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0"/>
              <w:ind w:left="0" w:right="0" w:hanging="0"/>
              <w:rPr/>
            </w:pPr>
            <w:r>
              <w:rPr/>
              <w:t>​</w:t>
            </w:r>
          </w:p>
        </w:tc>
        <w:tc>
          <w:tcPr>
            <w:tcW w:w="37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84.30</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Outstanding as of March 31, 2023</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CCEEFF" w:val="clear"/>
            <w:vAlign w:val="center"/>
          </w:tcPr>
          <w:p>
            <w:pPr>
              <w:pStyle w:val="TableContents"/>
              <w:spacing w:before="0" w:after="0"/>
              <w:ind w:left="0" w:right="0" w:hanging="0"/>
              <w:rPr/>
            </w:pPr>
            <w:r>
              <w:rPr/>
              <w:t>​</w:t>
            </w:r>
          </w:p>
        </w:tc>
        <w:tc>
          <w:tcPr>
            <w:tcW w:w="37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2" w:type="dxa"/>
            <w:tcBorders/>
            <w:shd w:fill="CCEEFF"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92.94</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spacing w:before="0" w:after="240"/>
        <w:ind w:left="0" w:right="0" w:hanging="0"/>
        <w:rPr>
          <w:rFonts w:ascii="Times New Roman;Times;serif" w:hAnsi="Times New Roman;Times;serif"/>
          <w:b/>
          <w:i/>
          <w:sz w:val="20"/>
        </w:rPr>
      </w:pPr>
      <w:bookmarkStart w:id="822" w:name="Tc_DrWgPxDdF0iP22DayAOFBA_8_5"/>
      <w:bookmarkStart w:id="823" w:name="Tc_XHVfcUCDWEWDG-cS3rrEcg_8_2"/>
      <w:bookmarkStart w:id="824" w:name="Tc_4fNUgBeyi0CnG7LrbnDLcw_8_0"/>
      <w:bookmarkStart w:id="825" w:name="Tc_IwfFUwgncE-PaeeD0rmK2g_7_0"/>
      <w:bookmarkStart w:id="826" w:name="Tc_jlKIbTYcrEOqstMWJoTP9g_6_0"/>
      <w:bookmarkStart w:id="827" w:name="Tc__3MfuLYtsUyKP4TGOh0BSQ_5_0"/>
      <w:bookmarkStart w:id="828" w:name="Tc_EGoofWbhF0uSCMiI7QLP5g_4_0"/>
      <w:bookmarkStart w:id="829" w:name="Tc_uBDvz7cnwUCwyI3rArOaKw_3_0"/>
      <w:bookmarkStart w:id="830" w:name="Tc_CEIlPNSRu06qp1jS2GVn-w_2_5"/>
      <w:bookmarkStart w:id="831" w:name="Tc_jFThE8Poh0qoLvH5txVf1A_2_2"/>
      <w:bookmarkStart w:id="832" w:name="Tc_RgBCyIebekGLY5HOkzwa6A_2_0"/>
      <w:bookmarkStart w:id="833" w:name="Tc_PLMnEPP_Q0quY6lu8rYL5g_1_5"/>
      <w:bookmarkStart w:id="834" w:name="Tc_K1aW8a253EK9rKS8Hp5p7A_1_2"/>
      <w:bookmarkEnd w:id="822"/>
      <w:bookmarkEnd w:id="823"/>
      <w:bookmarkEnd w:id="824"/>
      <w:bookmarkEnd w:id="825"/>
      <w:bookmarkEnd w:id="826"/>
      <w:bookmarkEnd w:id="827"/>
      <w:bookmarkEnd w:id="828"/>
      <w:bookmarkEnd w:id="829"/>
      <w:bookmarkEnd w:id="830"/>
      <w:bookmarkEnd w:id="831"/>
      <w:bookmarkEnd w:id="832"/>
      <w:bookmarkEnd w:id="833"/>
      <w:bookmarkEnd w:id="834"/>
      <w:r>
        <w:rPr>
          <w:rFonts w:ascii="Times New Roman;Times;serif" w:hAnsi="Times New Roman;Times;serif"/>
          <w:b/>
          <w:i/>
          <w:sz w:val="20"/>
        </w:rPr>
        <w:t>Share-based Compensation Expense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table below outlines share-based compensation expense for the three months ended March 31, 2023 and 2022 related to restricted stock granted:</w:t>
      </w:r>
    </w:p>
    <w:p>
      <w:pPr>
        <w:pStyle w:val="TextBody"/>
        <w:spacing w:before="0" w:after="0"/>
        <w:ind w:left="0" w:right="0" w:hanging="0"/>
        <w:rPr/>
      </w:pPr>
      <w:r>
        <w:rPr/>
        <w:t>​</w:t>
      </w:r>
    </w:p>
    <w:tbl>
      <w:tblPr>
        <w:tblW w:w="7852" w:type="dxa"/>
        <w:jc w:val="left"/>
        <w:tblInd w:w="0" w:type="dxa"/>
        <w:tblCellMar>
          <w:top w:w="0" w:type="dxa"/>
          <w:left w:w="0" w:type="dxa"/>
          <w:bottom w:w="0" w:type="dxa"/>
          <w:right w:w="0" w:type="dxa"/>
        </w:tblCellMar>
      </w:tblPr>
      <w:tblGrid>
        <w:gridCol w:w="5701"/>
        <w:gridCol w:w="146"/>
        <w:gridCol w:w="211"/>
        <w:gridCol w:w="571"/>
        <w:gridCol w:w="326"/>
        <w:gridCol w:w="211"/>
        <w:gridCol w:w="686"/>
      </w:tblGrid>
      <w:tr>
        <w:trPr/>
        <w:tc>
          <w:tcPr>
            <w:tcW w:w="57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rPr/>
            </w:pPr>
            <w:r>
              <w:rPr/>
              <w:t>​</w:t>
            </w:r>
          </w:p>
        </w:tc>
      </w:tr>
      <w:tr>
        <w:trPr/>
        <w:tc>
          <w:tcPr>
            <w:tcW w:w="570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57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1,583</w:t>
            </w:r>
          </w:p>
        </w:tc>
      </w:tr>
      <w:tr>
        <w:trPr/>
        <w:tc>
          <w:tcPr>
            <w:tcW w:w="57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57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r>
      <w:tr>
        <w:trPr/>
        <w:tc>
          <w:tcPr>
            <w:tcW w:w="57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r>
      <w:tr>
        <w:trPr/>
        <w:tc>
          <w:tcPr>
            <w:tcW w:w="57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effect of share-based compensation</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57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Share-based compensation expense, net of tax</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2,392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10. Treasury Stock</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Board of Directors has authorized under its existing stock repurchase program, an aggregate authorization for share repurchases since the initiation of our program of $1,845,000. The expiration date on the repurchase authorization is December 31, 2023.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three months ended March 31, 2023 the Company repurchased 310 shares of common stock, at an aggregate cost of $34,903. As of March 31, 2023, there remained $160,944 available under its current share repurchase authorization. Shares repurchased in lieu of taxes are not included in the repurchase plan totals as they were approved in conjunction with the restricted share awards. Excise taxes of $187 are not included in the repurchase plan totals but are included in the total cost of net share repurchases in the consolidated statement of stockholders’ equity.</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35" w:name="Item2ManagementsDiscussionandAnalysisofF"/>
      <w:bookmarkStart w:id="836" w:name="_1927d38c_729c_425b_8e87_46fd9d56bcd2"/>
      <w:bookmarkEnd w:id="835"/>
      <w:bookmarkEnd w:id="836"/>
      <w:r>
        <w:rPr>
          <w:rFonts w:ascii="Times New Roman;Times;serif" w:hAnsi="Times New Roman;Times;serif"/>
          <w:b/>
          <w:sz w:val="20"/>
        </w:rPr>
        <w:t>Item 2.   Management’s Discussion and Analysis of Financial Condition and Results of Operations</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Forward-Looking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harm to our business, results of operations, and financial condition, and harm to our university partners resulting from epidemics, pandemics, or public health crises;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Department of Education applicable to us directly or indirectly through our university partners;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CellMar>
          <w:top w:w="28" w:type="dxa"/>
          <w:left w:w="28" w:type="dxa"/>
          <w:bottom w:w="28" w:type="dxa"/>
          <w:right w:w="28" w:type="dxa"/>
        </w:tblCellMar>
      </w:tblPr>
      <w:tblGrid>
        <w:gridCol w:w="124"/>
        <w:gridCol w:w="256"/>
        <w:gridCol w:w="3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6681" w:type="dxa"/>
        <w:jc w:val="left"/>
        <w:tblInd w:w="0" w:type="dxa"/>
        <w:tblCellMar>
          <w:top w:w="28" w:type="dxa"/>
          <w:left w:w="28" w:type="dxa"/>
          <w:bottom w:w="28" w:type="dxa"/>
          <w:right w:w="28" w:type="dxa"/>
        </w:tblCellMar>
      </w:tblPr>
      <w:tblGrid>
        <w:gridCol w:w="124"/>
        <w:gridCol w:w="256"/>
        <w:gridCol w:w="63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and develop and train existing, employees;</w:t>
            </w:r>
          </w:p>
        </w:tc>
      </w:tr>
    </w:tbl>
    <w:tbl>
      <w:tblPr>
        <w:tblW w:w="8751" w:type="dxa"/>
        <w:jc w:val="left"/>
        <w:tblInd w:w="0" w:type="dxa"/>
        <w:tblCellMar>
          <w:top w:w="28" w:type="dxa"/>
          <w:left w:w="28" w:type="dxa"/>
          <w:bottom w:w="28" w:type="dxa"/>
          <w:right w:w="28" w:type="dxa"/>
        </w:tblCellMar>
      </w:tblPr>
      <w:tblGrid>
        <w:gridCol w:w="124"/>
        <w:gridCol w:w="256"/>
        <w:gridCol w:w="8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CellMar>
          <w:top w:w="28" w:type="dxa"/>
          <w:left w:w="28" w:type="dxa"/>
          <w:bottom w:w="28" w:type="dxa"/>
          <w:right w:w="28" w:type="dxa"/>
        </w:tblCellMar>
      </w:tblPr>
      <w:tblGrid>
        <w:gridCol w:w="124"/>
        <w:gridCol w:w="256"/>
        <w:gridCol w:w="39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on behalf of our university partners, convert prospective students to enrolled students and to retain active students to graduation;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CellMar>
          <w:top w:w="28" w:type="dxa"/>
          <w:left w:w="28" w:type="dxa"/>
          <w:bottom w:w="28" w:type="dxa"/>
          <w:right w:w="28" w:type="dxa"/>
        </w:tblCellMar>
      </w:tblPr>
      <w:tblGrid>
        <w:gridCol w:w="124"/>
        <w:gridCol w:w="256"/>
        <w:gridCol w:w="8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CellMar>
          <w:top w:w="28" w:type="dxa"/>
          <w:left w:w="28" w:type="dxa"/>
          <w:bottom w:w="28" w:type="dxa"/>
          <w:right w:w="28" w:type="dxa"/>
        </w:tblCellMar>
      </w:tblPr>
      <w:tblGrid>
        <w:gridCol w:w="124"/>
        <w:gridCol w:w="256"/>
        <w:gridCol w:w="4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CellMar>
          <w:top w:w="28" w:type="dxa"/>
          <w:left w:w="28" w:type="dxa"/>
          <w:bottom w:w="28" w:type="dxa"/>
          <w:right w:w="28" w:type="dxa"/>
        </w:tblCellMar>
      </w:tblPr>
      <w:tblGrid>
        <w:gridCol w:w="124"/>
        <w:gridCol w:w="256"/>
        <w:gridCol w:w="57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“2022 Form 10-K”) filed with the Securities and Exchange Commission (“SEC”) for the fiscal year ended December 31, 2022, as updated in our subsequent reports filed with the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Explanatory Note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 and at four off-campus classroom and laboratory sites.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January 2019, GCE began providing education services to numerous university partners across the United States, through our wholly owned subsidiary, Orbis Education. GCE, together with Orbis Education, has continued to add additional university partners. In the healthcare field, we work in partnership with a growing number of top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March 31, 2023, GCE provides education services to 27 university partners across the United States.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critical accounting policies are disclosed in the 2022 Form 10-K for the fiscal year ended December 31, 2022. During the three months ended March 31, 2023, there were no significant changes in our critical accounting policies.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4981" w:type="dxa"/>
        <w:jc w:val="left"/>
        <w:tblInd w:w="0" w:type="dxa"/>
        <w:tblCellMar>
          <w:top w:w="0" w:type="dxa"/>
          <w:left w:w="0" w:type="dxa"/>
          <w:bottom w:w="0" w:type="dxa"/>
          <w:right w:w="0" w:type="dxa"/>
        </w:tblCellMar>
      </w:tblPr>
      <w:tblGrid>
        <w:gridCol w:w="2956"/>
        <w:gridCol w:w="326"/>
        <w:gridCol w:w="466"/>
        <w:gridCol w:w="361"/>
        <w:gridCol w:w="466"/>
        <w:gridCol w:w="406"/>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877060" cy="175260"/>
                      <wp:effectExtent l="0" t="0" r="0" b="0"/>
                      <wp:wrapNone/>
                      <wp:docPr id="115" name="Frame115"/>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95910" cy="175260"/>
                      <wp:effectExtent l="0" t="0" r="0" b="0"/>
                      <wp:wrapNone/>
                      <wp:docPr id="117" name="Frame117"/>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9235" cy="175260"/>
                      <wp:effectExtent l="0" t="0" r="0" b="0"/>
                      <wp:wrapNone/>
                      <wp:docPr id="118" name="Frame11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95910" cy="175260"/>
                      <wp:effectExtent l="0" t="0" r="0" b="0"/>
                      <wp:wrapNone/>
                      <wp:docPr id="119" name="Frame119"/>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57810" cy="175260"/>
                      <wp:effectExtent l="0" t="0" r="0" b="0"/>
                      <wp:wrapNone/>
                      <wp:docPr id="120" name="Frame120"/>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406" w:type="dxa"/>
            <w:tcBorders/>
            <w:shd w:fill="auto" w:val="clear"/>
            <w:vAlign w:val="center"/>
          </w:tcPr>
          <w:p>
            <w:pPr>
              <w:pStyle w:val="TableContents"/>
              <w:spacing w:before="0" w:after="1"/>
              <w:ind w:left="0" w:right="0" w:hanging="0"/>
              <w:rPr/>
            </w:pPr>
            <w:r>
              <w:rPr/>
              <w:t>​</w: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1"/>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shd w:fill="auto" w:val="clear"/>
            <w:vAlign w:val="center"/>
          </w:tcPr>
          <w:p>
            <w:pPr>
              <w:pStyle w:val="TableContents"/>
              <w:spacing w:before="0" w:after="1"/>
              <w:ind w:left="0" w:right="0" w:hanging="0"/>
              <w:rPr/>
            </w:pPr>
            <w:r>
              <w:rPr/>
              <w:t>    </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pPr>
            <w:r>
              <w:rPr/>
              <w:t>  </w:t>
            </w:r>
          </w:p>
        </w:tc>
        <w:tc>
          <w:tcPr>
            <w:tcW w:w="361"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pPr>
            <w:r>
              <w:rPr/>
              <w:t>  </w:t>
            </w:r>
          </w:p>
        </w:tc>
        <w:tc>
          <w:tcPr>
            <w:tcW w:w="406" w:type="dxa"/>
            <w:tcBorders/>
            <w:shd w:fill="CCEEFF" w:val="clear"/>
            <w:vAlign w:val="center"/>
          </w:tcPr>
          <w:p>
            <w:pPr>
              <w:pStyle w:val="TableContents"/>
              <w:spacing w:before="0" w:after="1"/>
              <w:ind w:left="0" w:right="0" w:hanging="0"/>
              <w:rPr/>
            </w:pPr>
            <w:r>
              <w:rPr/>
              <w:t> </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61"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406" w:type="dxa"/>
            <w:tcBorders/>
            <w:shd w:fill="CCEEFF" w:val="clear"/>
            <w:vAlign w:val="center"/>
          </w:tcPr>
          <w:p>
            <w:pPr>
              <w:pStyle w:val="TableContents"/>
              <w:spacing w:before="0" w:after="1"/>
              <w:ind w:left="0" w:right="0" w:hanging="0"/>
              <w:rPr/>
            </w:pPr>
            <w:r>
              <w:rPr/>
              <w:t> </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Marketing and communication</w:t>
            </w:r>
          </w:p>
        </w:tc>
        <w:tc>
          <w:tcPr>
            <w:tcW w:w="326"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61" w:type="dxa"/>
            <w:tcBorders/>
            <w:shd w:fill="auto" w:val="clear"/>
            <w:vAlign w:val="center"/>
          </w:tcPr>
          <w:p>
            <w:pPr>
              <w:pStyle w:val="TableContents"/>
              <w:spacing w:before="0" w:after="1"/>
              <w:ind w:left="0" w:right="0" w:hanging="0"/>
              <w:rPr/>
            </w:pPr>
            <w:r>
              <w:rPr/>
              <w:t> </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406" w:type="dxa"/>
            <w:tcBorders/>
            <w:shd w:fill="auto" w:val="clear"/>
            <w:vAlign w:val="center"/>
          </w:tcPr>
          <w:p>
            <w:pPr>
              <w:pStyle w:val="TableContents"/>
              <w:spacing w:before="0" w:after="1"/>
              <w:ind w:left="0" w:right="0" w:hanging="0"/>
              <w:rPr/>
            </w:pPr>
            <w:r>
              <w:rPr/>
              <w:t> </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spacing w:before="0" w:after="1"/>
              <w:ind w:left="0" w:right="0" w:hanging="0"/>
              <w:rPr/>
            </w:pPr>
            <w:r>
              <w:rPr/>
              <w:t> </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406" w:type="dxa"/>
            <w:tcBorders/>
            <w:shd w:fill="CCEEFF" w:val="clear"/>
            <w:vAlign w:val="center"/>
          </w:tcPr>
          <w:p>
            <w:pPr>
              <w:pStyle w:val="TableContents"/>
              <w:spacing w:before="0" w:after="1"/>
              <w:ind w:left="0" w:right="0" w:hanging="0"/>
              <w:rPr/>
            </w:pPr>
            <w:r>
              <w:rPr/>
              <w:t> </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Three Months Ended March 31, 2023 Compared to Three Months Ended March 31, 2022</w:t>
      </w:r>
    </w:p>
    <w:p>
      <w:pPr>
        <w:pStyle w:val="TextBody"/>
        <w:spacing w:before="0" w:after="0"/>
        <w:ind w:left="0" w:right="0" w:firstLine="720"/>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three months ended March 31, 2023 was $250.1 million, an increase of $6.0 million, or 2.5%, as compared to service revenue of $244.1 million for the three months ended March 31, 2022. The increase year over year in service revenue was primarily due to an increase in GCU traditional campus enrollments of 6.6% and an increase in revenue per student year over year, partially offset by a decrease in students in a university partner’s Occupational Therapy Assistants (“OTA”) program of 19.9%. The increase in revenue per student between years is primarily due to the service revenue impact of the increased room, board and other ancillary revenues at GCU in the first quarter of 2023 as compared to the prior year period. In addition, service revenue per student for Accelerated Bachelor of Science in Nursing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March 31, 2023 was negatively impacted by the timing of the Spring semester for the ground traditional campus. The Spring semester started two days later in 2023 and extended four more days into April, which had the effect of shifting $4.5 million in service revenue from the first quarter of 2023 to the second quarter of 2023. Partner enrollments totaled 112,588 at March 31, 2023 as compared to 110,217 at March 31, 2022. University partner enrollments at our off-campus classroom and laboratory sites were 4,315, a decrease of 4.0% over enrollments at March 31, 2022, which includes 360 and 283 GCU students at March 31, 2023 and 2022, respectively. This growth rate has slowed over the past year primarily due to the 19.9% decline in OTA students as the university partner stopped admitting new students for most of 2021 due to clinical placement backlog and although that partner is now admitting students, the number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admitted students remains below previous levels. Year over year ABSN students decreased 2.9% at March 31, 2023. None of our ABSN partners stopped admitting new students due to the clinical faculty challenges that began during the pandemic, however some locations that were scheduled to open were delayed and some existing partners have experienced reduced incoming cohort sizes which has slowed the growth. We believe the growth in the number of OTA and ABSN students is also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 their programs to allow students with the required education experience but without a complete bachelor’s degree to enter their programs. We did open six new off-campus classroom and laboratory sites in the year ended December 31, 2022 and one site in the three months ended March 31, 2023 increasing the total number of these sites to 36 at March 31, 2023 and we anticipate opening three to four more in 2023 which we hope, along with the program change discussed earlier, will re-accelerate the ABSN student enrollment growth. Enrollments at GCU increased to 108,633 at March 31, 2023, an increase of 2.5% over enrollments at March 31, 2022. Enrollments for GCU ground students were 22,568 at March 31, 2023 up from 21,281 at March 31, 2022 primarily due to a 6.6% increase in traditional ground students between years. GCU online enrollments were 86,065 at March 31, 2023, up from 84,722 at March 31, 2022.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xml:space="preserve">. Our technology and academic services expenses for the three months ended March 31, 2023 were $37.5 million, an increase of $1.2 million, or 3.3%, as compared to technology and academic services expenses of $36.3 million for the three months ended March 31, 2022. This increase was primarily due to increases in occupancy and depreciation and in employee compensation and related expenses, including share-based compensation of $0.9 million and $0.6 million, respectively, partially offset by a decrease in other technology and academic costs of $0.2 million. These increases were primarily due to the costs associated with the increased number of off-campus classroom and laboratory sites and the increased headcount to support our 27 university partners, and their increased enrollment growth, tenure-based salary adjustments and the increased number of off-campus classroom and laboratory sites year over year. Our technology and academic services expenses as a percentage of revenue increased 0.1% to 15.0% for the three months ended March 31, 2023, from 14.9% for the three months ended March 31, 2022. This increase was primarily due to partnership agreements with university partners that have off-campus classroom and laboratory sites requiring a higher level of technology and academic services than our agreement with GCU. We anticipate that technology and academic services expenses as a percentage of revenue will continue to increase in the future as we open more off-campus classroom and laboratory sites.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xml:space="preserve">. Our counseling services and support expenses for the three months ended March 31, 2023 were $73.3 million, an increase of $5.8 million, or 8.6%, as compared to counseling services and support expenses of $67.5 million for the three months ended March 31, 2022. This increase was primarily attributable to increases in employee compensation and related expenses including share-based compensation and in other counseling services and support expenses of $4.8 million and $1.3 million, respectively, partially offset by a decrease in occupancy and depreciation of $0.2 million. The increases in employee compensation and related expenses were primarily due to increased headcount to support our university partners, and their planned increases in enrollment, tenure-based salary adjustments and the increased number of off-campus classroom and laboratory sites open year over year. The increase in other counseling services and support expenses is primarily the result of increased travel costs for our 27 university partners. Our counseling services and support expenses as a percentage of revenue increased 1.6% to 29.3% for the three months ended March 31, 2023, from 27.7% for the three months ended March 31, 2022 primarily due to the significant increase year over year in headcount and travel costs. We anticipate that counseling services and support expense as a percentage of revenue will continue to be higher in 2023 than in 2022 as travel expenses continue to increase and we grow our employee base and their compensation to meet our university partners’ growth expectations and retain our employees. </w:t>
      </w:r>
    </w:p>
    <w:p>
      <w:pPr>
        <w:pStyle w:val="TextBody"/>
        <w:spacing w:before="0" w:after="0"/>
        <w:ind w:left="0" w:right="0" w:firstLine="720"/>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xml:space="preserve">. Our marketing and communication expenses for the three months ended March 31, 2023 were $52.9 million, an increase of $2.0 million, or 4.0%, as compared to marketing and communication expenses of $50.9 million for the three months ended March 31, 2022. This increase was primarily attributable to the increased cost to market our university partners’ programs and to the marketing of new university partners and new locations which resulted in increased advertising of $2.0 million and increased employee compensation, including share-based compensation of $0.3 million, partially offset by a decrease in other marketing and communication expenses of $0.3 million. Our marketing and communication expenses as a percentage of revenue increased by 0.3% to 21.1% for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the three months ended March 31, 2023, from 20.8% for the three months ended March 31, 2022, primarily due to the number of university partners and their growth expectations and increased off-campus classroom and laboratory sites opened and sites planned to open in the next 12 months.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three months ended March 31, 2023 were $9.8 million, a decrease of $0.1 million, or 1.1%, as compared to general and administrative expenses of $9.9 million for the three months ended March 31, 2022. Our general and administrative expenses as a percentage of revenue decreased by 0.2% to 3.9% for the three months ended March 31, 2023, from 4.1% for the three months ended March 31, 2022 primarily due to our ability to leverage our other general and administrative expenses across an increasing revenue base.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xml:space="preserve">. Amortization of intangible assets for the three months ended March 31, 2023 and 2022 were $2.1 million for both periods. As a result of the acquisition of our wholly owned subsidiary, Orbis Education, certain identifiable intangible assets were created (primarily customer relationships) that will be amortized over their expected lives.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March 31, 2023 was $2.2 million, as compared to investment interest and other for the three months ended March 31, 2022 of $0.2 million due to higher investment balances and higher returns on those balances.</w:t>
      </w:r>
    </w:p>
    <w:p>
      <w:pPr>
        <w:pStyle w:val="TextBody"/>
        <w:spacing w:before="0" w:after="0"/>
        <w:ind w:left="0" w:right="0" w:firstLine="720"/>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Income tax expense for the three months ended March 31, 2023 was $17.0 million, a decrease of $2.6 million, or 13.0%, as compared to income tax expense of $19.6 million for the three months ended March 31, 2022. This decrease was the result of a decrease in our effective tax rate between periods and a slight decrease in our taxable income. Our effective tax rate was 22.3% during the first quarter of 2023 compared to 25.2% during the first quarter of 2022. In the first quarter of 2023, the effective tax rate was impacted by excess tax benefits of $0.9 million as compared to only $0.1 million in the first quarter of 2022. In the first quarter of 2023 the effective tax rate was favorably impacted by state income tax refunds, while in the first quarter of 2022 the effective tax rate was unfavorably impacted by state audits.</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March 31, 2023 was $59.6 million, an increase of $1.5 million, or 2.6%, as compared to $58.1 million for the three months ended March 31, 2022, due to the factors discussed above.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Seasonality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384" w:type="dxa"/>
        <w:jc w:val="left"/>
        <w:tblInd w:w="0" w:type="dxa"/>
        <w:tblCellMar>
          <w:top w:w="0" w:type="dxa"/>
          <w:left w:w="0" w:type="dxa"/>
          <w:bottom w:w="0" w:type="dxa"/>
          <w:right w:w="0" w:type="dxa"/>
        </w:tblCellMar>
      </w:tblPr>
      <w:tblGrid>
        <w:gridCol w:w="3331"/>
        <w:gridCol w:w="109"/>
        <w:gridCol w:w="271"/>
        <w:gridCol w:w="1004"/>
        <w:gridCol w:w="109"/>
        <w:gridCol w:w="297"/>
        <w:gridCol w:w="1263"/>
      </w:tblGrid>
      <w:tr>
        <w:trPr/>
        <w:tc>
          <w:tcPr>
            <w:tcW w:w="33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72085" cy="175260"/>
                      <wp:effectExtent l="0" t="0" r="0" b="0"/>
                      <wp:wrapNone/>
                      <wp:docPr id="122" name="Frame122"/>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37540" cy="175260"/>
                      <wp:effectExtent l="0" t="0" r="0" b="0"/>
                      <wp:wrapNone/>
                      <wp:docPr id="123" name="Frame123"/>
                      <a:graphic xmlns:a="http://schemas.openxmlformats.org/drawingml/2006/main">
                        <a:graphicData uri="http://schemas.microsoft.com/office/word/2010/wordprocessingShape">
                          <wps:wsp>
                            <wps:cNvSpPr txBox="1"/>
                            <wps:spPr>
                              <a:xfrm>
                                <a:off x="0" y="0"/>
                                <a:ext cx="6375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88595" cy="175260"/>
                      <wp:effectExtent l="0" t="0" r="0" b="0"/>
                      <wp:wrapNone/>
                      <wp:docPr id="125" name="Frame125"/>
                      <a:graphic xmlns:a="http://schemas.openxmlformats.org/drawingml/2006/main">
                        <a:graphicData uri="http://schemas.microsoft.com/office/word/2010/wordprocessingShape">
                          <wps:wsp>
                            <wps:cNvSpPr txBox="1"/>
                            <wps:spPr>
                              <a:xfrm>
                                <a:off x="0" y="0"/>
                                <a:ext cx="188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802005" cy="175260"/>
                      <wp:effectExtent l="0" t="0" r="0" b="0"/>
                      <wp:wrapNone/>
                      <wp:docPr id="126" name="Frame126"/>
                      <a:graphic xmlns:a="http://schemas.openxmlformats.org/drawingml/2006/main">
                        <a:graphicData uri="http://schemas.microsoft.com/office/word/2010/wordprocessingShape">
                          <wps:wsp>
                            <wps:cNvSpPr txBox="1"/>
                            <wps:spPr>
                              <a:xfrm>
                                <a:off x="0" y="0"/>
                                <a:ext cx="8020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27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c>
          <w:tcPr>
            <w:tcW w:w="109"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15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3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1"/>
              <w:ind w:left="0" w:right="0" w:hanging="0"/>
              <w:rPr/>
            </w:pPr>
            <w:r>
              <w:rPr/>
              <w:t>​</w:t>
            </w:r>
          </w:p>
        </w:tc>
        <w:tc>
          <w:tcPr>
            <w:tcW w:w="127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rPr/>
            </w:pPr>
            <w:r>
              <w:rPr/>
              <w:t>​</w:t>
            </w:r>
          </w:p>
        </w:tc>
        <w:tc>
          <w:tcPr>
            <w:tcW w:w="15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194,523</w:t>
            </w:r>
          </w:p>
        </w:tc>
        <w:tc>
          <w:tcPr>
            <w:tcW w:w="109" w:type="dxa"/>
            <w:tcBorders/>
            <w:shd w:fill="CCEEFF" w:val="clear"/>
            <w:vAlign w:val="center"/>
          </w:tcPr>
          <w:p>
            <w:pPr>
              <w:pStyle w:val="TableContents"/>
              <w:spacing w:before="0" w:after="1"/>
              <w:ind w:left="0" w:right="0" w:hanging="0"/>
              <w:rPr/>
            </w:pPr>
            <w:r>
              <w:rPr/>
              <w:t>​</w:t>
            </w:r>
          </w:p>
        </w:tc>
        <w:tc>
          <w:tcPr>
            <w:tcW w:w="2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181,704</w:t>
            </w:r>
          </w:p>
        </w:tc>
      </w:tr>
    </w:tbl>
    <w:p>
      <w:pPr>
        <w:pStyle w:val="TextBody"/>
        <w:spacing w:before="240" w:after="240"/>
        <w:ind w:left="0" w:right="0" w:hanging="0"/>
        <w:rPr>
          <w:rFonts w:ascii="Times New Roman;Times;serif" w:hAnsi="Times New Roman;Times;serif"/>
          <w:b/>
          <w:i/>
          <w:sz w:val="20"/>
        </w:rPr>
      </w:pPr>
      <w:r>
        <w:rPr>
          <w:rFonts w:ascii="Times New Roman;Times;serif" w:hAnsi="Times New Roman;Times;serif"/>
          <w:b/>
          <w:i/>
          <w:sz w:val="20"/>
        </w:rPr>
        <w:t>Overview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liquidity position, as measured by cash and cash equivalents and investments increased by $12.8 million between December 31, 2022 and March 31, 2023, which was largely attributable to cash flows from operations exceeding share repurchases and capital expenditures during the three months ended March 31, 2023.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 from Operating Activities</w:t>
      </w:r>
    </w:p>
    <w:tbl>
      <w:tblPr>
        <w:tblW w:w="6019" w:type="dxa"/>
        <w:jc w:val="left"/>
        <w:tblInd w:w="0" w:type="dxa"/>
        <w:tblCellMar>
          <w:top w:w="0" w:type="dxa"/>
          <w:left w:w="0" w:type="dxa"/>
          <w:bottom w:w="0" w:type="dxa"/>
          <w:right w:w="0" w:type="dxa"/>
        </w:tblCellMar>
      </w:tblPr>
      <w:tblGrid>
        <w:gridCol w:w="3466"/>
        <w:gridCol w:w="109"/>
        <w:gridCol w:w="258"/>
        <w:gridCol w:w="827"/>
        <w:gridCol w:w="133"/>
        <w:gridCol w:w="258"/>
        <w:gridCol w:w="968"/>
      </w:tblGrid>
      <w:tr>
        <w:trPr/>
        <w:tc>
          <w:tcPr>
            <w:tcW w:w="34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3830" cy="175260"/>
                      <wp:effectExtent l="0" t="0" r="0" b="0"/>
                      <wp:wrapNone/>
                      <wp:docPr id="128" name="Frame128"/>
                      <a:graphic xmlns:a="http://schemas.openxmlformats.org/drawingml/2006/main">
                        <a:graphicData uri="http://schemas.microsoft.com/office/word/2010/wordprocessingShape">
                          <wps:wsp>
                            <wps:cNvSpPr txBox="1"/>
                            <wps:spPr>
                              <a:xfrm>
                                <a:off x="0" y="0"/>
                                <a:ext cx="163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25145" cy="175260"/>
                      <wp:effectExtent l="0" t="0" r="0" b="0"/>
                      <wp:wrapNone/>
                      <wp:docPr id="129" name="Frame129"/>
                      <a:graphic xmlns:a="http://schemas.openxmlformats.org/drawingml/2006/main">
                        <a:graphicData uri="http://schemas.microsoft.com/office/word/2010/wordprocessingShape">
                          <wps:wsp>
                            <wps:cNvSpPr txBox="1"/>
                            <wps:spPr>
                              <a:xfrm>
                                <a:off x="0" y="0"/>
                                <a:ext cx="5251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4455" cy="175260"/>
                      <wp:effectExtent l="0" t="0" r="0" b="0"/>
                      <wp:wrapNone/>
                      <wp:docPr id="130" name="Frame130"/>
                      <a:graphic xmlns:a="http://schemas.openxmlformats.org/drawingml/2006/main">
                        <a:graphicData uri="http://schemas.microsoft.com/office/word/2010/wordprocessingShape">
                          <wps:wsp>
                            <wps:cNvSpPr txBox="1"/>
                            <wps:spPr>
                              <a:xfrm>
                                <a:off x="0" y="0"/>
                                <a:ext cx="84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63830" cy="175260"/>
                      <wp:effectExtent l="0" t="0" r="0" b="0"/>
                      <wp:wrapNone/>
                      <wp:docPr id="131" name="Frame131"/>
                      <a:graphic xmlns:a="http://schemas.openxmlformats.org/drawingml/2006/main">
                        <a:graphicData uri="http://schemas.microsoft.com/office/word/2010/wordprocessingShape">
                          <wps:wsp>
                            <wps:cNvSpPr txBox="1"/>
                            <wps:spPr>
                              <a:xfrm>
                                <a:off x="0" y="0"/>
                                <a:ext cx="163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14680" cy="175260"/>
                      <wp:effectExtent l="0" t="0" r="0" b="0"/>
                      <wp:wrapNone/>
                      <wp:docPr id="132" name="Frame132"/>
                      <a:graphic xmlns:a="http://schemas.openxmlformats.org/drawingml/2006/main">
                        <a:graphicData uri="http://schemas.microsoft.com/office/word/2010/wordprocessingShape">
                          <wps:wsp>
                            <wps:cNvSpPr txBox="1"/>
                            <wps:spPr>
                              <a:xfrm>
                                <a:off x="0" y="0"/>
                                <a:ext cx="6146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4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46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1"/>
              <w:ind w:left="0" w:right="0" w:hanging="0"/>
              <w:rPr/>
            </w:pPr>
            <w:r>
              <w:rPr/>
              <w:t>​</w:t>
            </w:r>
          </w:p>
        </w:tc>
        <w:tc>
          <w:tcPr>
            <w:tcW w:w="10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3" w:type="dxa"/>
            <w:tcBorders/>
            <w:shd w:fill="auto" w:val="clear"/>
            <w:vAlign w:val="center"/>
          </w:tcPr>
          <w:p>
            <w:pPr>
              <w:pStyle w:val="TableContents"/>
              <w:spacing w:before="0" w:after="1"/>
              <w:ind w:left="0" w:right="0" w:hanging="0"/>
              <w:rPr/>
            </w:pPr>
            <w:r>
              <w:rPr/>
              <w:t>​</w:t>
            </w:r>
          </w:p>
        </w:tc>
        <w:tc>
          <w:tcPr>
            <w:tcW w:w="12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62,999</w:t>
            </w:r>
          </w:p>
        </w:tc>
        <w:tc>
          <w:tcPr>
            <w:tcW w:w="133"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70,260</w:t>
            </w:r>
          </w:p>
        </w:tc>
      </w:tr>
    </w:tbl>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The decrease in cash generated from operating activities between the three months ended March 31, 2022 and the three months ended March 31, 2023 was primarily due to changes in working capital balances, primarily accounts receivable, accounts payable and accrued liabilities. Accounts payable and accrued liabilities decreased by $12.1 million due to the timing of the payrolls and check runs each quarter. This decrease was offset by an increase in account receivable of $6.8 million due to timing of payments from our university partners resulting in lower accounts receivable balances. We define working capital as the assets and liabilities, other than cash, generated through the Company’s primary operating activities. Changes in these balances are included in the changes in assets and liabilities presented in the consolidated statement of cash flows.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 from Investing Activities</w:t>
      </w:r>
    </w:p>
    <w:tbl>
      <w:tblPr>
        <w:tblW w:w="5599" w:type="dxa"/>
        <w:jc w:val="left"/>
        <w:tblInd w:w="0" w:type="dxa"/>
        <w:tblCellMar>
          <w:top w:w="0" w:type="dxa"/>
          <w:left w:w="0" w:type="dxa"/>
          <w:bottom w:w="0" w:type="dxa"/>
          <w:right w:w="0" w:type="dxa"/>
        </w:tblCellMar>
      </w:tblPr>
      <w:tblGrid>
        <w:gridCol w:w="3046"/>
        <w:gridCol w:w="109"/>
        <w:gridCol w:w="238"/>
        <w:gridCol w:w="898"/>
        <w:gridCol w:w="122"/>
        <w:gridCol w:w="238"/>
        <w:gridCol w:w="948"/>
      </w:tblGrid>
      <w:tr>
        <w:trPr/>
        <w:tc>
          <w:tcPr>
            <w:tcW w:w="30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51130" cy="175260"/>
                      <wp:effectExtent l="0" t="0" r="0" b="0"/>
                      <wp:wrapNone/>
                      <wp:docPr id="134" name="Frame134"/>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70230" cy="175260"/>
                      <wp:effectExtent l="0" t="0" r="0" b="0"/>
                      <wp:wrapNone/>
                      <wp:docPr id="135" name="Frame135"/>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7470" cy="175260"/>
                      <wp:effectExtent l="0" t="0" r="0" b="0"/>
                      <wp:wrapNone/>
                      <wp:docPr id="136" name="Frame136"/>
                      <a:graphic xmlns:a="http://schemas.openxmlformats.org/drawingml/2006/main">
                        <a:graphicData uri="http://schemas.microsoft.com/office/word/2010/wordprocessingShape">
                          <wps:wsp>
                            <wps:cNvSpPr txBox="1"/>
                            <wps:spPr>
                              <a:xfrm>
                                <a:off x="0" y="0"/>
                                <a:ext cx="774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51130" cy="175260"/>
                      <wp:effectExtent l="0" t="0" r="0" b="0"/>
                      <wp:wrapNone/>
                      <wp:docPr id="137" name="Frame137"/>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01980" cy="175260"/>
                      <wp:effectExtent l="0" t="0" r="0" b="0"/>
                      <wp:wrapNone/>
                      <wp:docPr id="138" name="Frame138"/>
                      <a:graphic xmlns:a="http://schemas.openxmlformats.org/drawingml/2006/main">
                        <a:graphicData uri="http://schemas.microsoft.com/office/word/2010/wordprocessingShape">
                          <wps:wsp>
                            <wps:cNvSpPr txBox="1"/>
                            <wps:spPr>
                              <a:xfrm>
                                <a:off x="0" y="0"/>
                                <a:ext cx="6019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4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04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1"/>
              <w:ind w:left="0" w:right="0" w:hanging="0"/>
              <w:rPr/>
            </w:pPr>
            <w:r>
              <w:rPr/>
              <w:t>​</w:t>
            </w:r>
          </w:p>
        </w:tc>
        <w:tc>
          <w:tcPr>
            <w:tcW w:w="113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2" w:type="dxa"/>
            <w:tcBorders/>
            <w:shd w:fill="auto" w:val="clear"/>
            <w:vAlign w:val="center"/>
          </w:tcPr>
          <w:p>
            <w:pPr>
              <w:pStyle w:val="TableContents"/>
              <w:spacing w:before="0" w:after="1"/>
              <w:ind w:left="0" w:right="0" w:hanging="0"/>
              <w:rPr/>
            </w:pPr>
            <w:r>
              <w:rPr/>
              <w:t>​</w:t>
            </w:r>
          </w:p>
        </w:tc>
        <w:tc>
          <w:tcPr>
            <w:tcW w:w="11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(37,134)</w:t>
            </w:r>
          </w:p>
        </w:tc>
        <w:tc>
          <w:tcPr>
            <w:tcW w:w="122"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(69,713)</w:t>
            </w:r>
          </w:p>
        </w:tc>
      </w:tr>
    </w:tbl>
    <w:p>
      <w:pPr>
        <w:pStyle w:val="TextBody"/>
        <w:spacing w:before="240" w:after="160"/>
        <w:ind w:left="0" w:right="0" w:firstLine="720"/>
        <w:rPr>
          <w:rFonts w:ascii="Times New Roman;Times;serif" w:hAnsi="Times New Roman;Times;serif"/>
          <w:sz w:val="20"/>
        </w:rPr>
      </w:pPr>
      <w:r>
        <w:rPr>
          <w:rFonts w:ascii="Times New Roman;Times;serif" w:hAnsi="Times New Roman;Times;serif"/>
          <w:sz w:val="20"/>
        </w:rPr>
        <w:t>Investing activities consumed $37.1 million of cash in the three months ended March 31, 2023 compared to $69.7 million in the three months ended March 31, 2022.</w:t>
      </w:r>
    </w:p>
    <w:p>
      <w:pPr>
        <w:pStyle w:val="TextBody"/>
        <w:spacing w:before="240" w:after="160"/>
        <w:ind w:left="0" w:right="0" w:firstLine="720"/>
        <w:rPr>
          <w:rFonts w:ascii="Times New Roman;Times;serif" w:hAnsi="Times New Roman;Times;serif"/>
          <w:sz w:val="20"/>
        </w:rPr>
      </w:pPr>
      <w:r>
        <w:rPr>
          <w:rFonts w:ascii="Times New Roman;Times;serif" w:hAnsi="Times New Roman;Times;serif"/>
          <w:sz w:val="20"/>
        </w:rPr>
        <w:t xml:space="preserve">In the first three months of 2023 and 2022 cash used in investing activities consisted of the purchase of available-for-sale securities, net of proceeds from the sale of investments of $28.3 million and $62.8 million, respectively. </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In the first three months of 2023 and 2022 cash used in investing activities also included capital expenditures totaling $8.6 million and $6.8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$35.0 million per year for capital expenditures.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 from Financing Activities</w:t>
      </w:r>
    </w:p>
    <w:tbl>
      <w:tblPr>
        <w:tblW w:w="5615" w:type="dxa"/>
        <w:jc w:val="left"/>
        <w:tblInd w:w="0" w:type="dxa"/>
        <w:tblCellMar>
          <w:top w:w="0" w:type="dxa"/>
          <w:left w:w="0" w:type="dxa"/>
          <w:bottom w:w="0" w:type="dxa"/>
          <w:right w:w="0" w:type="dxa"/>
        </w:tblCellMar>
      </w:tblPr>
      <w:tblGrid>
        <w:gridCol w:w="3061"/>
        <w:gridCol w:w="109"/>
        <w:gridCol w:w="227"/>
        <w:gridCol w:w="856"/>
        <w:gridCol w:w="117"/>
        <w:gridCol w:w="227"/>
        <w:gridCol w:w="1018"/>
      </w:tblGrid>
      <w:tr>
        <w:trPr/>
        <w:tc>
          <w:tcPr>
            <w:tcW w:w="30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4145" cy="175260"/>
                      <wp:effectExtent l="0" t="0" r="0" b="0"/>
                      <wp:wrapNone/>
                      <wp:docPr id="140" name="Frame140"/>
                      <a:graphic xmlns:a="http://schemas.openxmlformats.org/drawingml/2006/main">
                        <a:graphicData uri="http://schemas.microsoft.com/office/word/2010/wordprocessingShape">
                          <wps:wsp>
                            <wps:cNvSpPr txBox="1"/>
                            <wps:spPr>
                              <a:xfrm>
                                <a:off x="0" y="0"/>
                                <a:ext cx="1441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43560" cy="175260"/>
                      <wp:effectExtent l="0" t="0" r="0" b="0"/>
                      <wp:wrapNone/>
                      <wp:docPr id="141" name="Frame141"/>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4295" cy="175260"/>
                      <wp:effectExtent l="0" t="0" r="0" b="0"/>
                      <wp:wrapNone/>
                      <wp:docPr id="142" name="Frame142"/>
                      <a:graphic xmlns:a="http://schemas.openxmlformats.org/drawingml/2006/main">
                        <a:graphicData uri="http://schemas.microsoft.com/office/word/2010/wordprocessingShape">
                          <wps:wsp>
                            <wps:cNvSpPr txBox="1"/>
                            <wps:spPr>
                              <a:xfrm>
                                <a:off x="0" y="0"/>
                                <a:ext cx="74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4145" cy="175260"/>
                      <wp:effectExtent l="0" t="0" r="0" b="0"/>
                      <wp:wrapNone/>
                      <wp:docPr id="143" name="Frame143"/>
                      <a:graphic xmlns:a="http://schemas.openxmlformats.org/drawingml/2006/main">
                        <a:graphicData uri="http://schemas.microsoft.com/office/word/2010/wordprocessingShape">
                          <wps:wsp>
                            <wps:cNvSpPr txBox="1"/>
                            <wps:spPr>
                              <a:xfrm>
                                <a:off x="0" y="0"/>
                                <a:ext cx="1441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6430" cy="175260"/>
                      <wp:effectExtent l="0" t="0" r="0" b="0"/>
                      <wp:wrapNone/>
                      <wp:docPr id="144" name="Frame144"/>
                      <a:graphic xmlns:a="http://schemas.openxmlformats.org/drawingml/2006/main">
                        <a:graphicData uri="http://schemas.microsoft.com/office/word/2010/wordprocessingShape">
                          <wps:wsp>
                            <wps:cNvSpPr txBox="1"/>
                            <wps:spPr>
                              <a:xfrm>
                                <a:off x="0" y="0"/>
                                <a:ext cx="646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4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0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1"/>
              <w:ind w:left="0" w:right="0" w:hanging="0"/>
              <w:rPr/>
            </w:pPr>
            <w:r>
              <w:rPr/>
              <w:t>​</w:t>
            </w:r>
          </w:p>
        </w:tc>
        <w:tc>
          <w:tcPr>
            <w:tcW w:w="108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7" w:type="dxa"/>
            <w:tcBorders/>
            <w:shd w:fill="auto" w:val="clear"/>
            <w:vAlign w:val="center"/>
          </w:tcPr>
          <w:p>
            <w:pPr>
              <w:pStyle w:val="TableContents"/>
              <w:spacing w:before="0" w:after="1"/>
              <w:ind w:left="0" w:right="0" w:hanging="0"/>
              <w:rPr/>
            </w:pPr>
            <w:r>
              <w:rPr/>
              <w:t>​</w:t>
            </w:r>
          </w:p>
        </w:tc>
        <w:tc>
          <w:tcPr>
            <w:tcW w:w="12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spacing w:before="0" w:after="1"/>
              <w:ind w:left="0" w:right="0" w:hanging="0"/>
              <w:rPr/>
            </w:pPr>
            <w:r>
              <w:rPr/>
              <w:t>​</w:t>
            </w:r>
          </w:p>
        </w:tc>
        <w:tc>
          <w:tcPr>
            <w:tcW w:w="2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(41,234)</w:t>
            </w:r>
          </w:p>
        </w:tc>
        <w:tc>
          <w:tcPr>
            <w:tcW w:w="117" w:type="dxa"/>
            <w:tcBorders/>
            <w:shd w:fill="CCEEFF" w:val="clear"/>
            <w:vAlign w:val="center"/>
          </w:tcPr>
          <w:p>
            <w:pPr>
              <w:pStyle w:val="TableContents"/>
              <w:spacing w:before="0" w:after="1"/>
              <w:ind w:left="0" w:right="0" w:hanging="0"/>
              <w:rPr/>
            </w:pPr>
            <w:r>
              <w:rPr/>
              <w:t>​</w:t>
            </w:r>
          </w:p>
        </w:tc>
        <w:tc>
          <w:tcPr>
            <w:tcW w:w="2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(399,555)</w:t>
            </w:r>
          </w:p>
        </w:tc>
      </w:tr>
    </w:tbl>
    <w:p>
      <w:pPr>
        <w:pStyle w:val="TextBody"/>
        <w:spacing w:before="240" w:after="160"/>
        <w:ind w:left="0" w:right="0" w:firstLine="720"/>
        <w:rPr>
          <w:rFonts w:ascii="Times New Roman;Times;serif" w:hAnsi="Times New Roman;Times;serif"/>
          <w:sz w:val="20"/>
        </w:rPr>
      </w:pPr>
      <w:r>
        <w:rPr>
          <w:rFonts w:ascii="Times New Roman;Times;serif" w:hAnsi="Times New Roman;Times;serif"/>
          <w:sz w:val="20"/>
        </w:rPr>
        <w:t xml:space="preserve">Financing activities consumed $41.2 million of cash in the three months ended March 31, 2023 compared to $399.6 million in the three months ended March 31, 2022. </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During the three months ended March 31, 2023 and 2022, $34.9 million and $394.9 million, respectively was used to purchase treasury stock in accordance with GCE’s share repurchase program. In 2023 and 2022, $6.3 million and $4.6 million, respectively, of cash was utilized to purchase common shares withheld in lieu of income taxes resulting from the vesting of restricted share awards. A significant amount of the share repurchases in 2022 were from the proceeds received on the repayment of the Secured Note. The Company intends to continue using a significant portion of its cash flows from operations to repurchase its shares but share repurchases in future years will be less than in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 Repurchase Program</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Our Board of Directors has authorized under its existing stock repurchase program, an aggregate authorization for share repurchases since the initiation of the program of $1,845.0 million. The current expiration date on the repurchase authorization by our Board of Directors is December 31, 2023. Repurchases occur at the Company’s discretion and the Company may modify, suspend or discontinue the repurchase authorization at any time.</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 xml:space="preserve">We repurchased 309,978 shares of common stock in the three months ended March 31, 2023. At March 31, 2023, there remains $160.9 million available under our share repurchase authorization.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Off-Balance Sheet Arrangements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spacing w:before="0" w:after="160"/>
        <w:ind w:left="0" w:right="0" w:hanging="0"/>
        <w:rPr>
          <w:rFonts w:ascii="Times New Roman;Times;serif" w:hAnsi="Times New Roman;Times;serif"/>
          <w:b/>
          <w:sz w:val="20"/>
        </w:rPr>
      </w:pPr>
      <w:bookmarkStart w:id="837" w:name="Item3QuantitativeandQualitativeDisclosur"/>
      <w:bookmarkStart w:id="838" w:name="_dde9d39f_084c_4279_a259_2ccde949b049"/>
      <w:bookmarkEnd w:id="837"/>
      <w:bookmarkEnd w:id="838"/>
      <w:r>
        <w:rPr>
          <w:rFonts w:ascii="Times New Roman;Times;serif" w:hAnsi="Times New Roman;Times;serif"/>
          <w:b/>
          <w:sz w:val="20"/>
        </w:rPr>
        <w:t>Item 3.   Quantitative and Qualitative Disclosures About Market Risk</w:t>
      </w:r>
    </w:p>
    <w:p>
      <w:pPr>
        <w:pStyle w:val="TextBody"/>
        <w:spacing w:before="0" w:after="160"/>
        <w:ind w:left="0" w:right="0" w:firstLine="720"/>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March 31, 2023, we have no derivative financial instruments or derivative commodity instruments. We invest cash in excess of current operating requirements in money market instruments and commercial paper at multiple financial institutions.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xml:space="preserve">. We manage interest rate risk by investing excess funds in cash equivalents, BBB or higher rated 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March 31, 2023, a 10% increase or decrease in interest rates would not have a material impact on our future earnings, fair values, or cash flows. </w:t>
      </w:r>
    </w:p>
    <w:p>
      <w:pPr>
        <w:pStyle w:val="TextBody"/>
        <w:spacing w:before="0" w:after="240"/>
        <w:ind w:left="0" w:right="0" w:hanging="0"/>
        <w:rPr>
          <w:rFonts w:ascii="Times New Roman;Times;serif" w:hAnsi="Times New Roman;Times;serif"/>
          <w:b/>
          <w:sz w:val="20"/>
        </w:rPr>
      </w:pPr>
      <w:bookmarkStart w:id="839" w:name="Item4ControlsandProcedures_621985"/>
      <w:bookmarkStart w:id="840" w:name="_de1c3c0a_fb38_438d_83c9_475f934a04cf"/>
      <w:bookmarkEnd w:id="839"/>
      <w:bookmarkEnd w:id="840"/>
      <w:r>
        <w:rPr>
          <w:rFonts w:ascii="Times New Roman;Times;serif" w:hAnsi="Times New Roman;Times;serif"/>
          <w:b/>
          <w:sz w:val="20"/>
        </w:rPr>
        <w:t>Item 4.   Controls and Procedures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rPr>
          <w:rFonts w:ascii="Times New Roman;Times;serif" w:hAnsi="Times New Roman;Times;serif"/>
          <w:sz w:val="20"/>
        </w:rPr>
      </w:pPr>
      <w:r>
        <w:rPr>
          <w:rFonts w:ascii="Times New Roman;Times;serif" w:hAnsi="Times New Roman;Times;serif"/>
          <w:sz w:val="20"/>
        </w:rPr>
        <w:t>that evaluation, our Chief Executive Officer and Chief Financial Officer concluded that our disclosure controls and procedures are effective, as of March 31, 2023,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spacing w:before="0" w:after="240"/>
        <w:ind w:left="0" w:right="0" w:hanging="0"/>
        <w:rPr>
          <w:rFonts w:ascii="Times New Roman;Times;serif" w:hAnsi="Times New Roman;Times;serif"/>
          <w:b/>
          <w:sz w:val="20"/>
        </w:rPr>
      </w:pPr>
      <w:bookmarkStart w:id="841" w:name="PARTIIOTHERINFORMATION_437433"/>
      <w:bookmarkStart w:id="842" w:name="_9cc0f521_c019_459f_9591_e60b907ec6dd"/>
      <w:bookmarkEnd w:id="841"/>
      <w:bookmarkEnd w:id="842"/>
      <w:r>
        <w:rPr>
          <w:rFonts w:ascii="Times New Roman;Times;serif" w:hAnsi="Times New Roman;Times;serif"/>
          <w:b/>
          <w:sz w:val="20"/>
        </w:rPr>
        <w:t>PART II – OTHER INFORMATION</w:t>
      </w:r>
    </w:p>
    <w:p>
      <w:pPr>
        <w:pStyle w:val="TextBody"/>
        <w:spacing w:before="0" w:after="240"/>
        <w:ind w:left="0" w:right="0" w:hanging="0"/>
        <w:rPr>
          <w:rFonts w:ascii="Times New Roman;Times;serif" w:hAnsi="Times New Roman;Times;serif"/>
          <w:b/>
          <w:sz w:val="20"/>
        </w:rPr>
      </w:pPr>
      <w:bookmarkStart w:id="843" w:name="Item1LegalProceedings_770208"/>
      <w:bookmarkEnd w:id="843"/>
      <w:r>
        <w:rPr>
          <w:rFonts w:ascii="Times New Roman;Times;serif" w:hAnsi="Times New Roman;Times;serif"/>
          <w:b/>
          <w:sz w:val="20"/>
        </w:rPr>
        <w:t>Item 1.   Legal Proceedings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 xml:space="preserve">For information regarding our material pending legal proceedings, see the section entitled </w:t>
      </w:r>
      <w:r>
        <w:rPr>
          <w:rFonts w:ascii="Times New Roman;Times;serif" w:hAnsi="Times New Roman;Times;serif"/>
          <w:i/>
          <w:sz w:val="20"/>
        </w:rPr>
        <w:t>Litigation</w:t>
      </w:r>
      <w:r>
        <w:rPr>
          <w:rFonts w:ascii="Times New Roman;Times;serif" w:hAnsi="Times New Roman;Times;serif"/>
          <w:sz w:val="20"/>
        </w:rPr>
        <w:t xml:space="preserve"> within </w:t>
      </w:r>
      <w:r>
        <w:rPr>
          <w:rFonts w:ascii="Times New Roman;Times;serif" w:hAnsi="Times New Roman;Times;serif"/>
          <w:i/>
          <w:sz w:val="20"/>
        </w:rPr>
        <w:t>Note 8 Commitments and Contingencies</w:t>
      </w:r>
      <w:r>
        <w:rPr>
          <w:rFonts w:ascii="Times New Roman;Times;serif" w:hAnsi="Times New Roman;Times;serif"/>
          <w:sz w:val="20"/>
        </w:rPr>
        <w:t xml:space="preserve"> of our notes to consolidated financial statements included in Part I, Item 1 of this report, which section is incorporated by reference into this Part II, Item 1.</w:t>
      </w:r>
    </w:p>
    <w:p>
      <w:pPr>
        <w:pStyle w:val="TextBody"/>
        <w:spacing w:before="0" w:after="160"/>
        <w:ind w:left="0" w:right="0" w:hanging="0"/>
        <w:rPr>
          <w:rFonts w:ascii="Times New Roman;Times;serif" w:hAnsi="Times New Roman;Times;serif"/>
          <w:b/>
          <w:sz w:val="20"/>
        </w:rPr>
      </w:pPr>
      <w:bookmarkStart w:id="844" w:name="Item1ARiskFactors_601971"/>
      <w:bookmarkStart w:id="845" w:name="_16735fb7_eba4_4794_af2c_97116cdcadd8"/>
      <w:bookmarkEnd w:id="844"/>
      <w:bookmarkEnd w:id="845"/>
      <w:r>
        <w:rPr>
          <w:rFonts w:ascii="Times New Roman;Times;serif" w:hAnsi="Times New Roman;Times;serif"/>
          <w:b/>
          <w:sz w:val="20"/>
        </w:rPr>
        <w:t>Item 1A. Risk Factors</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The following additional risk factor should be read in conjunction with the risk factors previously disclosed in Part1, Item 1A, “Risk Factors,” of the 2022 Form 10-K, the information contained in this Quarterly Report on Form 10-Q and our other reports and registration statements filed with the SEC. Except as described herein, there have been no material changes to the risk factors disclosed in the 2022 Form 10-K.</w:t>
      </w:r>
    </w:p>
    <w:p>
      <w:pPr>
        <w:pStyle w:val="TextBody"/>
        <w:pBdr/>
        <w:shd w:fill="FFFFFF" w:val="clear"/>
        <w:spacing w:before="0" w:after="0"/>
        <w:ind w:left="0" w:right="0" w:hanging="0"/>
        <w:rPr>
          <w:rFonts w:ascii="Times New Roman;Times;serif" w:hAnsi="Times New Roman;Times;serif"/>
          <w:b/>
          <w:i/>
          <w:sz w:val="20"/>
        </w:rPr>
      </w:pPr>
      <w:r>
        <w:rPr>
          <w:rFonts w:ascii="Times New Roman;Times;serif" w:hAnsi="Times New Roman;Times;serif"/>
          <w:b/>
          <w:i/>
          <w:sz w:val="20"/>
        </w:rPr>
        <w:t>Our cash and cash equivalents are held at three financial institutions.</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Approximately 73% of our cash and cash equivalents are held at a single financial institution and are in excess of amounts insured by the Federal Deposit Insurance Corporation (“FDIC”). This financial institution is among the largest in the United States, and we therefore believe that such funds are stable and at very low risk. The remaining approximately 27% of our cash and cash equivalents are held at two regional banks. We believe that both of these regional banks have strong balance sheets with high liquidity and low debt, and that their percentage of total uninsured deposits are similar or better than the nation’s largest banks. We believe that we have mitigated as much risk as possible by dispersing the operating funds between three banks. However, we may be subject to losses in excess of the FDIC insured limit in the event of a failure of any of these financial institutions and the subsequent lack of intervention by the federal government.</w:t>
      </w:r>
    </w:p>
    <w:p>
      <w:pPr>
        <w:pStyle w:val="TextBody"/>
        <w:shd w:fill="FFFFFF" w:val="clear"/>
        <w:spacing w:before="0" w:after="0"/>
        <w:ind w:left="72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the first quarter of 2023, we moved the majority of our operational banking services to one of the aforementioned regional banks; therefore, a larger portion of our cash and cash equivalents will be transferred to the same regional bank’s institutional sweep and depository accounts in the future. We will continually review all three institutions’ financial conditions to ensure that our assets are as safeguarded as possible.</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46" w:name="Item2UnregisteredSalesofEquitySecurities"/>
      <w:bookmarkStart w:id="847" w:name="_0fc8c84c_1272_4c61_b8b2_a07055126438"/>
      <w:bookmarkEnd w:id="846"/>
      <w:bookmarkEnd w:id="847"/>
      <w:r>
        <w:rPr>
          <w:rFonts w:ascii="Times New Roman;Times;serif" w:hAnsi="Times New Roman;Times;serif"/>
          <w:b/>
          <w:sz w:val="20"/>
        </w:rPr>
        <w:t>Item 2.   Unregistered Sales of Equity Securities and Use of Proceeds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Our Board of Directors has authorized under its existing stock repurchase program, an aggregate authorization for share repurchases since the initiation of the program of $1,845.0 million. The current expiration date on the repurchase authorization by our Board of Directors is December 31, 2023.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 xml:space="preserve">During the three months ended March 31, 2023, 309,978 shares of common stock were repurchased by the Company. At March 31, 2023, there remains $160.9 million available under our share repurchase authorization. </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2023:</w:t>
      </w:r>
    </w:p>
    <w:tbl>
      <w:tblPr>
        <w:tblW w:w="9666" w:type="dxa"/>
        <w:jc w:val="left"/>
        <w:tblInd w:w="0" w:type="dxa"/>
        <w:tblCellMar>
          <w:top w:w="0" w:type="dxa"/>
          <w:left w:w="0" w:type="dxa"/>
          <w:bottom w:w="0" w:type="dxa"/>
          <w:right w:w="0" w:type="dxa"/>
        </w:tblCellMar>
      </w:tblPr>
      <w:tblGrid>
        <w:gridCol w:w="3181"/>
        <w:gridCol w:w="326"/>
        <w:gridCol w:w="1381"/>
        <w:gridCol w:w="326"/>
        <w:gridCol w:w="211"/>
        <w:gridCol w:w="676"/>
        <w:gridCol w:w="326"/>
        <w:gridCol w:w="1576"/>
        <w:gridCol w:w="266"/>
        <w:gridCol w:w="211"/>
        <w:gridCol w:w="1186"/>
      </w:tblGrid>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76935" cy="175260"/>
                      <wp:effectExtent l="0" t="0" r="0" b="0"/>
                      <wp:wrapNone/>
                      <wp:docPr id="146" name="Frame146"/>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49" name="Frame14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000760" cy="175260"/>
                      <wp:effectExtent l="0" t="0" r="0" b="0"/>
                      <wp:wrapNone/>
                      <wp:docPr id="151" name="Frame151"/>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8910" cy="175260"/>
                      <wp:effectExtent l="0" t="0" r="0" b="0"/>
                      <wp:wrapNone/>
                      <wp:docPr id="152" name="Frame152"/>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53110" cy="175260"/>
                      <wp:effectExtent l="0" t="0" r="0" b="0"/>
                      <wp:wrapNone/>
                      <wp:docPr id="154" name="Frame154"/>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66" w:type="dxa"/>
            <w:tcBorders/>
            <w:shd w:fill="auto" w:val="clear"/>
            <w:vAlign w:val="center"/>
          </w:tcPr>
          <w:p>
            <w:pPr>
              <w:pStyle w:val="TableContents"/>
              <w:spacing w:before="0" w:after="0"/>
              <w:ind w:left="0" w:right="0" w:hanging="0"/>
              <w:jc w:val="center"/>
              <w:rPr/>
            </w:pPr>
            <w:r>
              <w:rPr/>
              <w:t>   </w:t>
            </w:r>
          </w:p>
        </w:tc>
        <w:tc>
          <w:tcPr>
            <w:tcW w:w="13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66" w:type="dxa"/>
            <w:tcBorders/>
            <w:shd w:fill="auto" w:val="clear"/>
            <w:vAlign w:val="center"/>
          </w:tcPr>
          <w:p>
            <w:pPr>
              <w:pStyle w:val="TableContents"/>
              <w:spacing w:before="0" w:after="0"/>
              <w:ind w:left="0" w:right="0" w:hanging="0"/>
              <w:jc w:val="center"/>
              <w:rPr/>
            </w:pPr>
            <w:r>
              <w:rPr/>
              <w:t>​</w:t>
            </w:r>
          </w:p>
        </w:tc>
        <w:tc>
          <w:tcPr>
            <w:tcW w:w="13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15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66" w:type="dxa"/>
            <w:tcBorders/>
            <w:shd w:fill="auto" w:val="clear"/>
            <w:vAlign w:val="center"/>
          </w:tcPr>
          <w:p>
            <w:pPr>
              <w:pStyle w:val="TableContents"/>
              <w:spacing w:before="0" w:after="0"/>
              <w:ind w:left="0" w:right="0" w:hanging="0"/>
              <w:jc w:val="center"/>
              <w:rPr/>
            </w:pPr>
            <w:r>
              <w:rPr/>
              <w:t>​</w:t>
            </w:r>
          </w:p>
        </w:tc>
        <w:tc>
          <w:tcPr>
            <w:tcW w:w="13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3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shd w:fill="auto" w:val="clear"/>
            <w:vAlign w:val="center"/>
          </w:tcPr>
          <w:p>
            <w:pPr>
              <w:pStyle w:val="TableContents"/>
              <w:spacing w:before="0" w:after="0"/>
              <w:ind w:left="0" w:right="0" w:hanging="0"/>
              <w:jc w:val="center"/>
              <w:rPr/>
            </w:pPr>
            <w:r>
              <w:rPr/>
              <w:t>​</w:t>
            </w:r>
          </w:p>
        </w:tc>
        <w:tc>
          <w:tcPr>
            <w:tcW w:w="15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66" w:type="dxa"/>
            <w:tcBorders/>
            <w:shd w:fill="auto" w:val="clear"/>
            <w:vAlign w:val="center"/>
          </w:tcPr>
          <w:p>
            <w:pPr>
              <w:pStyle w:val="TableContents"/>
              <w:spacing w:before="0" w:after="0"/>
              <w:ind w:left="0" w:right="0" w:hanging="0"/>
              <w:jc w:val="center"/>
              <w:rPr/>
            </w:pPr>
            <w:r>
              <w:rPr/>
              <w:t>​</w:t>
            </w:r>
          </w:p>
        </w:tc>
        <w:tc>
          <w:tcPr>
            <w:tcW w:w="13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rPr/>
        <w:tc>
          <w:tcPr>
            <w:tcW w:w="31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Period</w:t>
            </w:r>
          </w:p>
        </w:tc>
        <w:tc>
          <w:tcPr>
            <w:tcW w:w="326" w:type="dxa"/>
            <w:tcBorders/>
            <w:shd w:fill="auto" w:val="clear"/>
            <w:vAlign w:val="center"/>
          </w:tcPr>
          <w:p>
            <w:pPr>
              <w:pStyle w:val="TableContents"/>
              <w:spacing w:before="0" w:after="0"/>
              <w:ind w:left="0" w:right="0" w:hanging="0"/>
              <w:jc w:val="center"/>
              <w:rPr/>
            </w:pPr>
            <w:r>
              <w:rPr/>
              <w:t>​</w:t>
            </w:r>
          </w:p>
        </w:tc>
        <w:tc>
          <w:tcPr>
            <w:tcW w:w="13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shd w:fill="auto" w:val="clear"/>
            <w:vAlign w:val="center"/>
          </w:tcPr>
          <w:p>
            <w:pPr>
              <w:pStyle w:val="TableContents"/>
              <w:spacing w:before="0" w:after="0"/>
              <w:ind w:left="0" w:right="0" w:hanging="0"/>
              <w:jc w:val="center"/>
              <w:rPr/>
            </w:pPr>
            <w:r>
              <w:rPr/>
              <w:t>​</w:t>
            </w:r>
          </w:p>
        </w:tc>
        <w:tc>
          <w:tcPr>
            <w:tcW w:w="15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66" w:type="dxa"/>
            <w:tcBorders/>
            <w:shd w:fill="auto" w:val="clear"/>
            <w:vAlign w:val="center"/>
          </w:tcPr>
          <w:p>
            <w:pPr>
              <w:pStyle w:val="TableContents"/>
              <w:spacing w:before="0" w:after="0"/>
              <w:ind w:left="0" w:right="0" w:hanging="0"/>
              <w:jc w:val="center"/>
              <w:rPr/>
            </w:pPr>
            <w:r>
              <w:rPr/>
              <w:t>​</w:t>
            </w:r>
          </w:p>
        </w:tc>
        <w:tc>
          <w:tcPr>
            <w:tcW w:w="13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rPr/>
        <w:tc>
          <w:tcPr>
            <w:tcW w:w="31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Share Repurchases</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576" w:type="dxa"/>
            <w:tcBorders/>
            <w:shd w:fill="CCEEFF" w:val="clear"/>
            <w:vAlign w:val="center"/>
          </w:tcPr>
          <w:p>
            <w:pPr>
              <w:pStyle w:val="TableContents"/>
              <w:spacing w:before="0" w:after="0"/>
              <w:ind w:left="0" w:right="0" w:hanging="0"/>
              <w:jc w:val="right"/>
              <w:rPr/>
            </w:pPr>
            <w:r>
              <w:rPr/>
              <w:t>  </w:t>
            </w:r>
          </w:p>
        </w:tc>
        <w:tc>
          <w:tcPr>
            <w:tcW w:w="26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  </w:t>
            </w:r>
          </w:p>
        </w:tc>
      </w:tr>
      <w:tr>
        <w:trPr/>
        <w:tc>
          <w:tcPr>
            <w:tcW w:w="3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January 1, 2023 – January 31, 2023</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100,373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112.17</w:t>
            </w:r>
          </w:p>
        </w:tc>
        <w:tc>
          <w:tcPr>
            <w:tcW w:w="326" w:type="dxa"/>
            <w:tcBorders/>
            <w:shd w:fill="auto" w:val="clear"/>
            <w:vAlign w:val="center"/>
          </w:tcPr>
          <w:p>
            <w:pPr>
              <w:pStyle w:val="TableContents"/>
              <w:spacing w:before="0" w:after="0"/>
              <w:ind w:left="0" w:right="0" w:hanging="0"/>
              <w:rPr/>
            </w:pPr>
            <w:r>
              <w:rPr/>
              <w:t> </w:t>
            </w:r>
          </w:p>
        </w:tc>
        <w:tc>
          <w:tcPr>
            <w:tcW w:w="15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100,373</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184,600,000</w:t>
            </w:r>
          </w:p>
        </w:tc>
      </w:tr>
      <w:tr>
        <w:trPr/>
        <w:tc>
          <w:tcPr>
            <w:tcW w:w="3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February 1, 2023 – February 28, 2023</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92,643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115.45</w:t>
            </w:r>
          </w:p>
        </w:tc>
        <w:tc>
          <w:tcPr>
            <w:tcW w:w="326" w:type="dxa"/>
            <w:tcBorders/>
            <w:shd w:fill="CCEEFF" w:val="clear"/>
            <w:vAlign w:val="center"/>
          </w:tcPr>
          <w:p>
            <w:pPr>
              <w:pStyle w:val="TableContents"/>
              <w:spacing w:before="0" w:after="0"/>
              <w:ind w:left="0" w:right="0" w:hanging="0"/>
              <w:rPr/>
            </w:pPr>
            <w:r>
              <w:rPr/>
              <w:t> </w:t>
            </w:r>
          </w:p>
        </w:tc>
        <w:tc>
          <w:tcPr>
            <w:tcW w:w="15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92,643</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173,900,000</w:t>
            </w:r>
          </w:p>
        </w:tc>
      </w:tr>
      <w:tr>
        <w:trPr/>
        <w:tc>
          <w:tcPr>
            <w:tcW w:w="3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1, 2023 – March 31, 2023</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116,962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110.70</w:t>
            </w:r>
          </w:p>
        </w:tc>
        <w:tc>
          <w:tcPr>
            <w:tcW w:w="326" w:type="dxa"/>
            <w:tcBorders/>
            <w:shd w:fill="auto" w:val="clear"/>
            <w:vAlign w:val="center"/>
          </w:tcPr>
          <w:p>
            <w:pPr>
              <w:pStyle w:val="TableContents"/>
              <w:spacing w:before="0" w:after="0"/>
              <w:ind w:left="0" w:right="0" w:hanging="0"/>
              <w:rPr/>
            </w:pPr>
            <w:r>
              <w:rPr/>
              <w:t> </w:t>
            </w:r>
          </w:p>
        </w:tc>
        <w:tc>
          <w:tcPr>
            <w:tcW w:w="15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116,962</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160,900,000</w:t>
            </w:r>
          </w:p>
        </w:tc>
      </w:tr>
      <w:tr>
        <w:trPr/>
        <w:tc>
          <w:tcPr>
            <w:tcW w:w="31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309,978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112.60</w:t>
            </w:r>
          </w:p>
        </w:tc>
        <w:tc>
          <w:tcPr>
            <w:tcW w:w="326" w:type="dxa"/>
            <w:tcBorders/>
            <w:shd w:fill="CCEEFF" w:val="clear"/>
            <w:vAlign w:val="center"/>
          </w:tcPr>
          <w:p>
            <w:pPr>
              <w:pStyle w:val="TableContents"/>
              <w:spacing w:before="0" w:after="0"/>
              <w:ind w:left="0" w:right="0" w:hanging="0"/>
              <w:rPr/>
            </w:pPr>
            <w:r>
              <w:rPr/>
              <w:t> </w:t>
            </w:r>
          </w:p>
        </w:tc>
        <w:tc>
          <w:tcPr>
            <w:tcW w:w="15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309,978</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160,900,000</w:t>
            </w:r>
          </w:p>
        </w:tc>
      </w:tr>
      <w:tr>
        <w:trPr/>
        <w:tc>
          <w:tcPr>
            <w:tcW w:w="31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Tax Withholdings</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57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  </w:t>
            </w:r>
          </w:p>
        </w:tc>
      </w:tr>
      <w:tr>
        <w:trPr/>
        <w:tc>
          <w:tcPr>
            <w:tcW w:w="3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January 1, 2023 – January 31, 2023</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76"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February 1, 2023 – February 28, 2023</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76"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auto" w:val="clear"/>
            <w:vAlign w:val="center"/>
          </w:tcPr>
          <w:p>
            <w:pPr>
              <w:pStyle w:val="TableContents"/>
              <w:spacing w:before="0" w:after="0"/>
              <w:ind w:left="0" w:right="0" w:hanging="0"/>
              <w:jc w:val="right"/>
              <w:rPr/>
            </w:pPr>
            <w:r>
              <w:rPr/>
              <w:t>—</w:t>
            </w:r>
          </w:p>
        </w:tc>
      </w:tr>
      <w:tr>
        <w:trPr/>
        <w:tc>
          <w:tcPr>
            <w:tcW w:w="3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1, 2023 – March 31, 2023</w:t>
            </w:r>
          </w:p>
        </w:tc>
        <w:tc>
          <w:tcPr>
            <w:tcW w:w="326"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76" w:type="dxa"/>
            <w:tcBorders/>
            <w:shd w:fill="CCEEFF" w:val="clear"/>
            <w:vAlign w:val="center"/>
          </w:tcPr>
          <w:p>
            <w:pPr>
              <w:pStyle w:val="TableContents"/>
              <w:spacing w:before="0" w:after="0"/>
              <w:ind w:left="0" w:right="0" w:hanging="0"/>
              <w:jc w:val="right"/>
              <w:rPr/>
            </w:pPr>
            <w:r>
              <w:rPr/>
              <w:t>—</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31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76"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auto" w:val="clear"/>
            <w:vAlign w:val="center"/>
          </w:tcPr>
          <w:p>
            <w:pPr>
              <w:pStyle w:val="TableContents"/>
              <w:spacing w:before="0" w:after="0"/>
              <w:ind w:left="0" w:right="7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848" w:name="Item3DefaultsUponSeniorSecurities_862648"/>
      <w:bookmarkStart w:id="849" w:name="_8eb49053_2088_4ad2_a446_8a0d62e7a094"/>
      <w:bookmarkEnd w:id="848"/>
      <w:bookmarkEnd w:id="849"/>
      <w:r>
        <w:rPr>
          <w:rFonts w:ascii="Times New Roman;Times;serif" w:hAnsi="Times New Roman;Times;serif"/>
          <w:b/>
          <w:sz w:val="20"/>
        </w:rPr>
        <w:t>Item 3.   Defaults Upon Senior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850" w:name="Item4MineSafetyDisclosures_953586"/>
      <w:bookmarkStart w:id="851" w:name="_a2287575_66cd_435b_a65f_b2f19ac9d3e5"/>
      <w:bookmarkEnd w:id="850"/>
      <w:bookmarkEnd w:id="851"/>
      <w:r>
        <w:rPr>
          <w:rFonts w:ascii="Times New Roman;Times;serif" w:hAnsi="Times New Roman;Times;serif"/>
          <w:b/>
          <w:sz w:val="20"/>
        </w:rPr>
        <w:t>Item 4.   Mine Safety Disclosures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852" w:name="Item5OtherInformation_422882"/>
      <w:bookmarkStart w:id="853" w:name="_6745ce84_5ce5_407e_a5a4_0a3b358ba419"/>
      <w:bookmarkEnd w:id="852"/>
      <w:bookmarkEnd w:id="853"/>
      <w:r>
        <w:rPr>
          <w:rFonts w:ascii="Times New Roman;Times;serif" w:hAnsi="Times New Roman;Times;serif"/>
          <w:b/>
          <w:sz w:val="20"/>
        </w:rPr>
        <w:t>Item 5.   Other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40"/>
        <w:ind w:left="0" w:right="0" w:hanging="0"/>
        <w:rPr>
          <w:rFonts w:ascii="Times New Roman;Times;serif" w:hAnsi="Times New Roman;Times;serif"/>
          <w:b/>
          <w:sz w:val="20"/>
        </w:rPr>
      </w:pPr>
      <w:bookmarkStart w:id="854" w:name="Item6Exhibits_355966"/>
      <w:bookmarkStart w:id="855" w:name="_4a844fd0_aa73_4af4_8fa5_13fc589a862b"/>
      <w:bookmarkEnd w:id="854"/>
      <w:bookmarkEnd w:id="855"/>
      <w:r>
        <w:rPr>
          <w:rFonts w:ascii="Times New Roman;Times;serif" w:hAnsi="Times New Roman;Times;serif"/>
          <w:b/>
          <w:sz w:val="20"/>
        </w:rPr>
        <w:t>Item 6.   Exhibits</w:t>
      </w:r>
    </w:p>
    <w:p>
      <w:pPr>
        <w:pStyle w:val="TextBody"/>
        <w:spacing w:before="0" w:after="140"/>
        <w:ind w:left="0" w:right="0" w:firstLine="720"/>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CellMar>
          <w:top w:w="0" w:type="dxa"/>
          <w:left w:w="0" w:type="dxa"/>
          <w:bottom w:w="28" w:type="dxa"/>
          <w:right w:w="0" w:type="dxa"/>
        </w:tblCellMar>
      </w:tblPr>
      <w:tblGrid>
        <w:gridCol w:w="706"/>
        <w:gridCol w:w="326"/>
        <w:gridCol w:w="4411"/>
        <w:gridCol w:w="326"/>
        <w:gridCol w:w="4436"/>
      </w:tblGrid>
      <w:tr>
        <w:trPr/>
        <w:tc>
          <w:tcPr>
            <w:tcW w:w="70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441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443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Method of Filing</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w:anchor="lope-20230331xex10d1.htm">
              <w:r>
                <w:rPr>
                  <w:rStyle w:val="InternetLink"/>
                  <w:rFonts w:ascii="Times New Roman;Times;serif" w:hAnsi="Times New Roman;Times;serif"/>
                  <w:b w:val="false"/>
                  <w:i w:val="false"/>
                  <w:caps w:val="false"/>
                  <w:smallCaps w:val="false"/>
                  <w:sz w:val="20"/>
                </w:rPr>
                <w:t>Third Amended and Restated Executive Employment Agreement, dated May 1, 2023, by and between Grand Canyon Education, Inc. and Brian E. Mueller†</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w:anchor="lope-20230331xex10d2.htm">
              <w:r>
                <w:rPr>
                  <w:rStyle w:val="InternetLink"/>
                  <w:rFonts w:ascii="Times New Roman;Times;serif" w:hAnsi="Times New Roman;Times;serif"/>
                  <w:b w:val="false"/>
                  <w:i w:val="false"/>
                  <w:caps w:val="false"/>
                  <w:smallCaps w:val="false"/>
                  <w:sz w:val="20"/>
                </w:rPr>
                <w:t>Third Amended and Restated Executive Employment Agreement, dated May 1, 2023, by and between Grand Canyon Education, Inc. and W. Stan Meyer†</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w:anchor="lope-20230331xex10d3.htm">
              <w:r>
                <w:rPr>
                  <w:rStyle w:val="InternetLink"/>
                  <w:rFonts w:ascii="Times New Roman;Times;serif" w:hAnsi="Times New Roman;Times;serif"/>
                  <w:b w:val="false"/>
                  <w:i w:val="false"/>
                  <w:caps w:val="false"/>
                  <w:smallCaps w:val="false"/>
                  <w:sz w:val="20"/>
                </w:rPr>
                <w:t>Third Amended and Restated Executive Employment Agreement, dated May 1, 2023, by and between Grand Canyon Education, Inc. and Daniel E. Bachus†</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w:anchor="lope-20230331xex10d4.htm">
              <w:r>
                <w:rPr>
                  <w:rStyle w:val="InternetLink"/>
                  <w:rFonts w:ascii="Times New Roman;Times;serif" w:hAnsi="Times New Roman;Times;serif"/>
                  <w:b w:val="false"/>
                  <w:i w:val="false"/>
                  <w:caps w:val="false"/>
                  <w:smallCaps w:val="false"/>
                  <w:sz w:val="20"/>
                </w:rPr>
                <w:t>Second Amended and Restated Executive Employment Agreement, dated May 1, 2023, by and between Grand Canyon Education, Inc. and Dilek Marsh†</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10.5</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w:anchor="lope-20230331xex10d5.htm">
              <w:r>
                <w:rPr>
                  <w:rStyle w:val="InternetLink"/>
                  <w:rFonts w:ascii="Times New Roman;Times;serif" w:hAnsi="Times New Roman;Times;serif"/>
                  <w:b w:val="false"/>
                  <w:i w:val="false"/>
                  <w:caps w:val="false"/>
                  <w:smallCaps w:val="false"/>
                  <w:sz w:val="20"/>
                </w:rPr>
                <w:t>Third Amended and Restated Executive Employment Agreement, dated May 1, 2023, by and between Grand Canyon Education, Inc. and Daniel J. Briggs†</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w:anchor="lope-2023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w:anchor="lope-2023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as adopted pursuant to Section 302 of the Sarbanes-Oxley Act of 2002.</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w:anchor="lope-2023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hyperlink w:anchor="lope-2023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 ††</w:t>
              </w:r>
            </w:hyperlink>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pPr>
            <w:r>
              <w:rPr/>
              <w:t>​</w:t>
            </w:r>
          </w:p>
        </w:tc>
      </w:tr>
      <w:tr>
        <w:trPr/>
        <w:tc>
          <w:tcPr>
            <w:tcW w:w="70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1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The following financial statements from the Company’s Quarterly Report on Form 10-Q for the quarter ended March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43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436"/>
        <w:gridCol w:w="109"/>
        <w:gridCol w:w="8533"/>
        <w:gridCol w:w="109"/>
        <w:gridCol w:w="1018"/>
      </w:tblGrid>
      <w:tr>
        <w:trPr/>
        <w:tc>
          <w:tcPr>
            <w:tcW w:w="4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85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 2023,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18" w:type="dxa"/>
            <w:tcBorders/>
            <w:shd w:fill="auto" w:val="clear"/>
            <w:vAlign w:val="center"/>
          </w:tcPr>
          <w:p>
            <w:pPr>
              <w:pStyle w:val="TableContents"/>
              <w:spacing w:before="0" w:after="283"/>
              <w:ind w:left="0" w:right="0" w:hanging="0"/>
              <w:rPr>
                <w:sz w:val="4"/>
                <w:szCs w:val="4"/>
              </w:rPr>
            </w:pPr>
            <w:r>
              <w:rPr>
                <w:sz w:val="4"/>
                <w:szCs w:val="4"/>
              </w:rPr>
            </w:r>
          </w:p>
        </w:tc>
      </w:tr>
      <w:tr>
        <w:trPr/>
        <w:tc>
          <w:tcPr>
            <w:tcW w:w="4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53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18" w:type="dxa"/>
            <w:tcBorders/>
            <w:shd w:fill="auto" w:val="clear"/>
            <w:vAlign w:val="center"/>
          </w:tcPr>
          <w:p>
            <w:pPr>
              <w:pStyle w:val="TableContents"/>
              <w:spacing w:before="0" w:after="0"/>
              <w:ind w:left="0" w:right="0" w:hanging="0"/>
              <w:rPr/>
            </w:pPr>
            <w:r>
              <w:rPr/>
              <w:t>​</w:t>
            </w:r>
          </w:p>
        </w:tc>
      </w:tr>
      <w:tr>
        <w:trPr/>
        <w:tc>
          <w:tcPr>
            <w:tcW w:w="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109" w:type="dxa"/>
            <w:tcBorders/>
            <w:shd w:fill="auto" w:val="clear"/>
            <w:vAlign w:val="center"/>
          </w:tcPr>
          <w:p>
            <w:pPr>
              <w:pStyle w:val="TableContents"/>
              <w:spacing w:before="0" w:after="0"/>
              <w:ind w:left="0" w:right="0" w:hanging="0"/>
              <w:rPr/>
            </w:pPr>
            <w:r>
              <w:rPr/>
              <w:t>​</w:t>
            </w:r>
          </w:p>
        </w:tc>
        <w:tc>
          <w:tcPr>
            <w:tcW w:w="85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March 31, 2023, formatted in Inline XBRL (included as Exhibit 101).</w:t>
            </w:r>
          </w:p>
        </w:tc>
        <w:tc>
          <w:tcPr>
            <w:tcW w:w="109" w:type="dxa"/>
            <w:tcBorders/>
            <w:shd w:fill="auto" w:val="clear"/>
            <w:vAlign w:val="center"/>
          </w:tcPr>
          <w:p>
            <w:pPr>
              <w:pStyle w:val="TableContents"/>
              <w:spacing w:before="0" w:after="0"/>
              <w:ind w:left="0" w:right="0" w:hanging="0"/>
              <w:rPr/>
            </w:pPr>
            <w:r>
              <w:rPr/>
              <w:t>​</w:t>
            </w:r>
          </w:p>
        </w:tc>
        <w:tc>
          <w:tcPr>
            <w:tcW w:w="10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bl>
    <w:p>
      <w:pPr>
        <w:pStyle w:val="TextBody"/>
        <w:pBdr/>
        <w:spacing w:before="0" w:after="0"/>
        <w:ind w:left="0" w:right="0" w:hanging="360"/>
        <w:rPr/>
      </w:pPr>
      <w:r>
        <w:rP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856" w:name="SIGNATURES_551969"/>
      <w:bookmarkStart w:id="857" w:name="_742bed7b_6b3b_4d83_b1fd_4d15b619d241"/>
      <w:bookmarkEnd w:id="856"/>
      <w:bookmarkEnd w:id="857"/>
      <w:r>
        <w:rPr>
          <w:rFonts w:ascii="Times New Roman;Times;serif" w:hAnsi="Times New Roman;Times;serif"/>
          <w:b/>
          <w:sz w:val="20"/>
        </w:rPr>
        <w:t>SIGNATURES</w:t>
      </w:r>
    </w:p>
    <w:p>
      <w:pPr>
        <w:pStyle w:val="TextBody"/>
        <w:spacing w:before="0" w:after="0"/>
        <w:ind w:left="0" w:right="0" w:hanging="0"/>
        <w:jc w:val="center"/>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367" w:type="dxa"/>
        <w:jc w:val="left"/>
        <w:tblInd w:w="0" w:type="dxa"/>
        <w:tblCellMar>
          <w:top w:w="0" w:type="dxa"/>
          <w:left w:w="0" w:type="dxa"/>
          <w:bottom w:w="0" w:type="dxa"/>
          <w:right w:w="0" w:type="dxa"/>
        </w:tblCellMar>
      </w:tblPr>
      <w:tblGrid>
        <w:gridCol w:w="1636"/>
        <w:gridCol w:w="326"/>
        <w:gridCol w:w="630"/>
        <w:gridCol w:w="2775"/>
      </w:tblGrid>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30" w:type="dxa"/>
            <w:tcBorders/>
            <w:shd w:fill="auto" w:val="clear"/>
            <w:vAlign w:val="center"/>
          </w:tcPr>
          <w:p>
            <w:pPr>
              <w:pStyle w:val="TableContents"/>
              <w:spacing w:before="0" w:after="0"/>
              <w:ind w:left="0" w:right="0" w:hanging="0"/>
              <w:rPr/>
            </w:pPr>
            <w:r>
              <w:rPr/>
              <w:t>​</w:t>
            </w:r>
          </w:p>
        </w:tc>
        <w:tc>
          <w:tcPr>
            <w:tcW w:w="2775"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405"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GRAND CANYON EDUCATION, INC.</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5" w:type="dxa"/>
            <w:gridSpan w:val="2"/>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2, 2023</w:t>
            </w:r>
          </w:p>
        </w:tc>
        <w:tc>
          <w:tcPr>
            <w:tcW w:w="326" w:type="dxa"/>
            <w:tcBorders/>
            <w:shd w:fill="auto" w:val="clear"/>
            <w:vAlign w:val="center"/>
          </w:tcPr>
          <w:p>
            <w:pPr>
              <w:pStyle w:val="TableContents"/>
              <w:spacing w:before="0" w:after="0"/>
              <w:ind w:left="0" w:right="0" w:hanging="0"/>
              <w:rPr/>
            </w:pPr>
            <w:r>
              <w:rPr/>
              <w:t>​</w:t>
            </w:r>
          </w:p>
        </w:tc>
        <w:tc>
          <w:tcPr>
            <w:tcW w:w="6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77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Daniel E. Bachus</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r>
        <w:br w:type="page"/>
      </w:r>
    </w:p>
    <w:p>
      <w:pPr>
        <w:pStyle w:val="TextBody"/>
        <w:spacing w:before="0" w:after="0"/>
        <w:ind w:left="0" w:right="0" w:hanging="0"/>
        <w:rPr/>
      </w:pPr>
      <w:bookmarkStart w:id="858" w:name="lope-20230331xex10d1.htm"/>
      <w:bookmarkStart w:id="859" w:name="kslope20230331xex10d1"/>
      <w:bookmarkEnd w:id="858"/>
      <w:bookmarkEnd w:id="859"/>
      <w:r>
        <w:rPr/>
        <w:t>​</w:t>
      </w:r>
    </w:p>
    <w:p>
      <w:pPr>
        <w:pStyle w:val="TextBody"/>
        <w:spacing w:before="0" w:after="0"/>
        <w:ind w:left="0" w:right="0" w:hanging="0"/>
        <w:jc w:val="right"/>
        <w:rPr>
          <w:rFonts w:ascii="Arial;Helvetica;sans-serif" w:hAnsi="Arial;Helvetica;sans-serif"/>
          <w:b/>
          <w:sz w:val="22"/>
        </w:rPr>
      </w:pPr>
      <w:r>
        <w:rPr>
          <w:rFonts w:ascii="Arial;Helvetica;sans-serif" w:hAnsi="Arial;Helvetica;sans-serif"/>
          <w:b/>
          <w:sz w:val="22"/>
        </w:rPr>
        <w:t>Exhibit 10.1</w:t>
      </w:r>
    </w:p>
    <w:p>
      <w:pPr>
        <w:pStyle w:val="TextBody"/>
        <w:spacing w:before="0" w:after="0"/>
        <w:ind w:left="0" w:right="0" w:hanging="0"/>
        <w:jc w:val="right"/>
        <w:rPr/>
      </w:pPr>
      <w:r>
        <w:rPr/>
        <w:t>​</w:t>
      </w:r>
    </w:p>
    <w:p>
      <w:pPr>
        <w:pStyle w:val="TextBody"/>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THIRD AMENDED AND RESTATED</w:t>
      </w:r>
    </w:p>
    <w:p>
      <w:pPr>
        <w:pStyle w:val="TextBody"/>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EXECUTIVE EMPLOYMENT AGREEMENT</w:t>
      </w:r>
    </w:p>
    <w:p>
      <w:pPr>
        <w:pStyle w:val="TextBody"/>
        <w:spacing w:before="0" w:after="240"/>
        <w:ind w:left="0" w:right="0" w:hanging="0"/>
        <w:jc w:val="center"/>
        <w:rPr>
          <w:rFonts w:ascii="Arial;Helvetica;sans-serif" w:hAnsi="Arial;Helvetica;sans-serif"/>
          <w:b/>
          <w:sz w:val="22"/>
        </w:rPr>
      </w:pPr>
      <w:r>
        <w:rPr>
          <w:rFonts w:ascii="Arial;Helvetica;sans-serif" w:hAnsi="Arial;Helvetica;sans-serif"/>
          <w:b/>
          <w:sz w:val="22"/>
        </w:rPr>
        <w:t>(Chief Executive Officer)</w:t>
      </w:r>
    </w:p>
    <w:p>
      <w:pPr>
        <w:pStyle w:val="TextBody"/>
        <w:spacing w:before="0" w:after="240"/>
        <w:ind w:left="0" w:right="0" w:firstLine="720"/>
        <w:jc w:val="both"/>
        <w:rPr>
          <w:rFonts w:ascii="Times New Roman;Times;serif" w:hAnsi="Times New Roman;Times;serif"/>
          <w:sz w:val="20"/>
        </w:rPr>
      </w:pPr>
      <w:r>
        <w:rPr>
          <w:rFonts w:ascii="Arial;Helvetica;sans-serif" w:hAnsi="Arial;Helvetica;sans-serif"/>
          <w:color w:val="1F1F1F"/>
          <w:sz w:val="22"/>
        </w:rPr>
        <w:t>This Third Amended and Restated Executive Employment Agreement (the “</w:t>
      </w:r>
      <w:r>
        <w:rPr>
          <w:rFonts w:ascii="Arial;Helvetica;sans-serif" w:hAnsi="Arial;Helvetica;sans-serif"/>
          <w:color w:val="1F1F1F"/>
          <w:sz w:val="22"/>
          <w:u w:val="single"/>
        </w:rPr>
        <w:t>Agreement"</w:t>
      </w:r>
      <w:r>
        <w:rPr>
          <w:rFonts w:ascii="Arial;Helvetica;sans-serif" w:hAnsi="Arial;Helvetica;sans-serif"/>
          <w:color w:val="1F1F1F"/>
          <w:sz w:val="22"/>
        </w:rPr>
        <w:t>) is entered into on May 1, 2023, and is effective as of July 1, 2023 (the “</w:t>
      </w:r>
      <w:r>
        <w:rPr>
          <w:rFonts w:ascii="Arial;Helvetica;sans-serif" w:hAnsi="Arial;Helvetica;sans-serif"/>
          <w:color w:val="1F1F1F"/>
          <w:sz w:val="22"/>
          <w:u w:val="single"/>
        </w:rPr>
        <w:t>Effective Date</w:t>
      </w:r>
      <w:r>
        <w:rPr>
          <w:rFonts w:ascii="Times New Roman;Times;serif" w:hAnsi="Times New Roman;Times;serif"/>
          <w:color w:val="1F1F1F"/>
          <w:sz w:val="20"/>
        </w:rPr>
        <w:t>”</w:t>
      </w:r>
      <w:r>
        <w:rPr>
          <w:rFonts w:ascii="Arial;Helvetica;sans-serif" w:hAnsi="Arial;Helvetica;sans-serif"/>
          <w:color w:val="1F1F1F"/>
          <w:sz w:val="22"/>
        </w:rPr>
        <w:t xml:space="preserve">), by and between Grand Canyon Education, Inc., a Delaware corporation </w:t>
      </w:r>
      <w:r>
        <w:rPr>
          <w:rFonts w:ascii="Arial;Helvetica;sans-serif" w:hAnsi="Arial;Helvetica;sans-serif"/>
          <w:sz w:val="23"/>
        </w:rPr>
        <w:t>(the “</w:t>
      </w:r>
      <w:r>
        <w:rPr>
          <w:rFonts w:ascii="Arial;Helvetica;sans-serif" w:hAnsi="Arial;Helvetica;sans-serif"/>
          <w:color w:val="1F1F1F"/>
          <w:sz w:val="22"/>
        </w:rPr>
        <w:t>Company”) and Brian E. Mueller (“</w:t>
      </w:r>
      <w:r>
        <w:rPr>
          <w:rFonts w:ascii="Arial;Helvetica;sans-serif" w:hAnsi="Arial;Helvetica;sans-serif"/>
          <w:color w:val="1F1F1F"/>
          <w:sz w:val="22"/>
          <w:u w:val="single"/>
        </w:rPr>
        <w:t>Executive</w:t>
      </w:r>
      <w:r>
        <w:rPr>
          <w:rFonts w:ascii="Times New Roman;Times;serif" w:hAnsi="Times New Roman;Times;serif"/>
          <w:color w:val="1F1F1F"/>
          <w:sz w:val="20"/>
        </w:rPr>
        <w:t>”</w:t>
      </w:r>
      <w:r>
        <w:rPr>
          <w:rFonts w:ascii="Arial;Helvetica;sans-serif" w:hAnsi="Arial;Helvetica;sans-serif"/>
          <w:color w:val="1F1F1F"/>
          <w:sz w:val="22"/>
        </w:rPr>
        <w:t>).</w:t>
      </w:r>
    </w:p>
    <w:p>
      <w:pPr>
        <w:pStyle w:val="TextBody"/>
        <w:spacing w:before="0" w:after="240"/>
        <w:ind w:left="0" w:right="0" w:firstLine="720"/>
        <w:jc w:val="both"/>
        <w:rPr>
          <w:rFonts w:ascii="Times New Roman;Times;serif" w:hAnsi="Times New Roman;Times;serif"/>
          <w:sz w:val="20"/>
        </w:rPr>
      </w:pPr>
      <w:r>
        <w:rPr>
          <w:rFonts w:ascii="Arial;Helvetica;sans-serif" w:hAnsi="Arial;Helvetica;sans-serif"/>
          <w:color w:val="1F1F1F"/>
          <w:sz w:val="22"/>
        </w:rPr>
        <w:t xml:space="preserve">WHEREAS, </w:t>
      </w:r>
      <w:r>
        <w:rPr>
          <w:rFonts w:ascii="Arial;Helvetica;sans-serif" w:hAnsi="Arial;Helvetica;sans-serif"/>
          <w:sz w:val="23"/>
        </w:rPr>
        <w:t xml:space="preserve">the </w:t>
      </w:r>
      <w:r>
        <w:rPr>
          <w:rFonts w:ascii="Arial;Helvetica;sans-serif" w:hAnsi="Arial;Helvetica;sans-serif"/>
          <w:color w:val="1F1F1F"/>
          <w:sz w:val="22"/>
        </w:rPr>
        <w:t>Company and Executive are parties to a second amended and restated executive employment agreement effective as of August 16, 2012, and July 1, 2018, (as amended, the “</w:t>
      </w:r>
      <w:r>
        <w:rPr>
          <w:rFonts w:ascii="Arial;Helvetica;sans-serif" w:hAnsi="Arial;Helvetica;sans-serif"/>
          <w:color w:val="1F1F1F"/>
          <w:sz w:val="22"/>
          <w:u w:val="single"/>
        </w:rPr>
        <w:t>Original Agreement”</w:t>
      </w:r>
      <w:r>
        <w:rPr>
          <w:rFonts w:ascii="Arial;Helvetica;sans-serif" w:hAnsi="Arial;Helvetica;sans-serif"/>
          <w:color w:val="1F1F1F"/>
          <w:sz w:val="22"/>
        </w:rPr>
        <w:t>), and Executive has been employed with Company since that time; and</w:t>
      </w:r>
    </w:p>
    <w:p>
      <w:pPr>
        <w:pStyle w:val="TextBody"/>
        <w:spacing w:before="0" w:after="240"/>
        <w:ind w:left="0" w:right="0" w:firstLine="720"/>
        <w:jc w:val="both"/>
        <w:rPr>
          <w:rFonts w:ascii="Times New Roman;Times;serif" w:hAnsi="Times New Roman;Times;serif"/>
          <w:sz w:val="20"/>
        </w:rPr>
      </w:pPr>
      <w:r>
        <w:rPr>
          <w:rFonts w:ascii="Arial;Helvetica;sans-serif" w:hAnsi="Arial;Helvetica;sans-serif"/>
          <w:color w:val="1F1F1F"/>
          <w:sz w:val="22"/>
        </w:rPr>
        <w:t xml:space="preserve">WHEREAS, </w:t>
      </w:r>
      <w:r>
        <w:rPr>
          <w:rFonts w:ascii="Arial;Helvetica;sans-serif" w:hAnsi="Arial;Helvetica;sans-serif"/>
          <w:sz w:val="23"/>
        </w:rPr>
        <w:t xml:space="preserve">the </w:t>
      </w:r>
      <w:r>
        <w:rPr>
          <w:rFonts w:ascii="Arial;Helvetica;sans-serif" w:hAnsi="Arial;Helvetica;sans-serif"/>
          <w:color w:val="1F1F1F"/>
          <w:sz w:val="22"/>
        </w:rPr>
        <w:t>Company and Executive desire to amend and restate the Original Agreement through the execution and delivery of this Agreement.</w:t>
      </w:r>
    </w:p>
    <w:p>
      <w:pPr>
        <w:pStyle w:val="TextBody"/>
        <w:spacing w:before="0" w:after="240"/>
        <w:ind w:left="0" w:right="0" w:firstLine="720"/>
        <w:jc w:val="both"/>
        <w:rPr>
          <w:rFonts w:ascii="Arial;Helvetica;sans-serif" w:hAnsi="Arial;Helvetica;sans-serif"/>
          <w:color w:val="1F1F1F"/>
          <w:sz w:val="22"/>
        </w:rPr>
      </w:pPr>
      <w:r>
        <w:rPr>
          <w:rFonts w:ascii="Arial;Helvetica;sans-serif" w:hAnsi="Arial;Helvetica;sans-serif"/>
          <w:color w:val="1F1F1F"/>
          <w:sz w:val="22"/>
        </w:rPr>
        <w:t>NOW, THEREFORE, for good and valuable consideration, the receipt and sufficiency of which are hereby acknowledged, the parties agree as follows:</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w:t>
      </w:r>
      <w:r>
        <w:rPr>
          <w:rFonts w:ascii="Arial;Helvetica;sans-serif" w:hAnsi="Arial;Helvetica;sans-serif"/>
          <w:color w:val="1F1F1F"/>
          <w:sz w:val="22"/>
          <w:u w:val="single"/>
        </w:rPr>
        <w:t>Employment.</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desires to continue to employ Executive, and Executive desires to continue such employment, upon the terms and conditions set forth herein.</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2.</w:t>
      </w:r>
      <w:r>
        <w:rPr>
          <w:rFonts w:ascii="Arial;Helvetica;sans-serif" w:hAnsi="Arial;Helvetica;sans-serif"/>
          <w:color w:val="1F1F1F"/>
          <w:sz w:val="22"/>
          <w:u w:val="single"/>
        </w:rPr>
        <w:t>Duties</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2.1</w:t>
      </w:r>
      <w:r>
        <w:rPr>
          <w:rFonts w:ascii="Arial;Helvetica;sans-serif" w:hAnsi="Arial;Helvetica;sans-serif"/>
          <w:color w:val="1F1F1F"/>
          <w:sz w:val="22"/>
          <w:u w:val="single"/>
        </w:rPr>
        <w:t>Position</w:t>
      </w:r>
      <w:r>
        <w:rPr>
          <w:rFonts w:ascii="Arial;Helvetica;sans-serif" w:hAnsi="Arial;Helvetica;sans-serif"/>
          <w:color w:val="1F1F1F"/>
          <w:sz w:val="22"/>
        </w:rPr>
        <w:t xml:space="preserve">. Executive is employed </w:t>
      </w:r>
      <w:r>
        <w:rPr>
          <w:rFonts w:ascii="Arial;Helvetica;sans-serif" w:hAnsi="Arial;Helvetica;sans-serif"/>
          <w:sz w:val="22"/>
        </w:rPr>
        <w:t>as Chief Executive Officer</w:t>
      </w:r>
      <w:r>
        <w:rPr>
          <w:rFonts w:ascii="Times New Roman;Times;serif" w:hAnsi="Times New Roman;Times;serif"/>
          <w:color w:val="1F1F1F"/>
          <w:sz w:val="20"/>
        </w:rPr>
        <w:t xml:space="preserve"> </w:t>
      </w:r>
      <w:r>
        <w:rPr>
          <w:rFonts w:ascii="Arial;Helvetica;sans-serif" w:hAnsi="Arial;Helvetica;sans-serif"/>
          <w:color w:val="1F1F1F"/>
          <w:sz w:val="22"/>
        </w:rPr>
        <w:t xml:space="preserve">and shall have the duties and responsibilities reasonably assigned to Executive from time to time by </w:t>
      </w:r>
      <w:r>
        <w:rPr>
          <w:rFonts w:ascii="Arial;Helvetica;sans-serif" w:hAnsi="Arial;Helvetica;sans-serif"/>
          <w:sz w:val="22"/>
        </w:rPr>
        <w:t xml:space="preserve">the </w:t>
      </w:r>
      <w:r>
        <w:rPr>
          <w:rFonts w:ascii="Arial;Helvetica;sans-serif" w:hAnsi="Arial;Helvetica;sans-serif"/>
          <w:color w:val="1F1F1F"/>
          <w:sz w:val="22"/>
        </w:rPr>
        <w:t>Company’s Board of Directors (the “</w:t>
      </w:r>
      <w:r>
        <w:rPr>
          <w:rFonts w:ascii="Arial;Helvetica;sans-serif" w:hAnsi="Arial;Helvetica;sans-serif"/>
          <w:color w:val="1F1F1F"/>
          <w:sz w:val="22"/>
          <w:u w:val="single"/>
        </w:rPr>
        <w:t>Board</w:t>
      </w:r>
      <w:r>
        <w:rPr>
          <w:rFonts w:ascii="Times New Roman;Times;serif" w:hAnsi="Times New Roman;Times;serif"/>
          <w:color w:val="1F1F1F"/>
          <w:sz w:val="20"/>
        </w:rPr>
        <w:t>”</w:t>
      </w:r>
      <w:r>
        <w:rPr>
          <w:rFonts w:ascii="Arial;Helvetica;sans-serif" w:hAnsi="Arial;Helvetica;sans-serif"/>
          <w:color w:val="1F1F1F"/>
          <w:sz w:val="22"/>
        </w:rPr>
        <w:t xml:space="preserve">). Executive shall perform faithfully and diligently all duties assigned to Executive. </w:t>
      </w:r>
      <w:r>
        <w:rPr>
          <w:rFonts w:ascii="Arial;Helvetica;sans-serif" w:hAnsi="Arial;Helvetica;sans-serif"/>
          <w:sz w:val="22"/>
        </w:rPr>
        <w:t xml:space="preserve">The </w:t>
      </w:r>
      <w:r>
        <w:rPr>
          <w:rFonts w:ascii="Arial;Helvetica;sans-serif" w:hAnsi="Arial;Helvetica;sans-serif"/>
          <w:color w:val="1F1F1F"/>
          <w:sz w:val="22"/>
        </w:rPr>
        <w:t>Company reserves the right to modify Executive’s position and duties at any time in its sole and absolute discretion, except that any material diminution in Executive’s duties shall be subject to Section 7.3(ii).</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2.2</w:t>
      </w:r>
      <w:r>
        <w:rPr>
          <w:rFonts w:ascii="Arial;Helvetica;sans-serif" w:hAnsi="Arial;Helvetica;sans-serif"/>
          <w:color w:val="1F1F1F"/>
          <w:sz w:val="22"/>
          <w:u w:val="single"/>
        </w:rPr>
        <w:t>Best Efforts/</w:t>
      </w:r>
      <w:r>
        <w:rPr>
          <w:rFonts w:ascii="Arial;Helvetica;sans-serif" w:hAnsi="Arial;Helvetica;sans-serif"/>
          <w:sz w:val="22"/>
          <w:u w:val="single"/>
        </w:rPr>
        <w:t>Dual Employment</w:t>
      </w:r>
      <w:r>
        <w:rPr>
          <w:rFonts w:ascii="Arial;Helvetica;sans-serif" w:hAnsi="Arial;Helvetica;sans-serif"/>
          <w:sz w:val="22"/>
        </w:rPr>
        <w:t>.</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sz w:val="22"/>
        </w:rPr>
        <w:t>(a)</w:t>
      </w:r>
      <w:r>
        <w:rPr>
          <w:rFonts w:ascii="Arial;Helvetica;sans-serif" w:hAnsi="Arial;Helvetica;sans-serif"/>
          <w:color w:val="1F1F1F"/>
          <w:sz w:val="22"/>
        </w:rPr>
        <w:t xml:space="preserve">Executive will expend Executive’s best efforts on behalf of </w:t>
      </w:r>
      <w:r>
        <w:rPr>
          <w:rFonts w:ascii="Arial;Helvetica;sans-serif" w:hAnsi="Arial;Helvetica;sans-serif"/>
          <w:sz w:val="22"/>
        </w:rPr>
        <w:t xml:space="preserve">the </w:t>
      </w:r>
      <w:r>
        <w:rPr>
          <w:rFonts w:ascii="Arial;Helvetica;sans-serif" w:hAnsi="Arial;Helvetica;sans-serif"/>
          <w:color w:val="1F1F1F"/>
          <w:sz w:val="22"/>
        </w:rPr>
        <w:t xml:space="preserve">Company in the performance of duties assigned to Executive under this Agreement, and will abide by all policies and decisions made by </w:t>
      </w:r>
      <w:r>
        <w:rPr>
          <w:rFonts w:ascii="Arial;Helvetica;sans-serif" w:hAnsi="Arial;Helvetica;sans-serif"/>
          <w:sz w:val="22"/>
        </w:rPr>
        <w:t xml:space="preserve">the </w:t>
      </w:r>
      <w:r>
        <w:rPr>
          <w:rFonts w:ascii="Arial;Helvetica;sans-serif" w:hAnsi="Arial;Helvetica;sans-serif"/>
          <w:color w:val="1F1F1F"/>
          <w:sz w:val="22"/>
        </w:rPr>
        <w:t xml:space="preserve">Company, as well as all applicable federal, state and local laws, regulations or ordinances. Executive will act in the best interest of </w:t>
      </w:r>
      <w:r>
        <w:rPr>
          <w:rFonts w:ascii="Arial;Helvetica;sans-serif" w:hAnsi="Arial;Helvetica;sans-serif"/>
          <w:sz w:val="22"/>
        </w:rPr>
        <w:t xml:space="preserve">the </w:t>
      </w:r>
      <w:r>
        <w:rPr>
          <w:rFonts w:ascii="Arial;Helvetica;sans-serif" w:hAnsi="Arial;Helvetica;sans-serif"/>
          <w:color w:val="1F1F1F"/>
          <w:sz w:val="22"/>
        </w:rPr>
        <w:t>Company at all times in the performance of duties assigned to Executive under this Agreement.</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sz w:val="22"/>
        </w:rPr>
        <w:t>(b)The parties acknowledge that Executive, with the Company’s consent, is or will be employed in an executive capacity by Grand Canyon University (“University”). The parties anticipate that Executive will be able to satisfactorily perform the duties assigned to Executive under this Agreement notwithstanding Executive’s simultaneous employment by the University. Executive represents and warrants that</w:t>
      </w:r>
      <w:r>
        <w:rPr>
          <w:rFonts w:ascii="Times New Roman;Times;serif" w:hAnsi="Times New Roman;Times;serif"/>
          <w:color w:val="1F1F1F"/>
          <w:sz w:val="20"/>
        </w:rPr>
        <w:t xml:space="preserve"> </w:t>
      </w:r>
      <w:r>
        <w:rPr>
          <w:rFonts w:ascii="Arial;Helvetica;sans-serif" w:hAnsi="Arial;Helvetica;sans-serif"/>
          <w:color w:val="1F1F1F"/>
          <w:sz w:val="22"/>
        </w:rPr>
        <w:t xml:space="preserve">Executive shall devote </w:t>
      </w:r>
      <w:r>
        <w:rPr>
          <w:rFonts w:ascii="Arial;Helvetica;sans-serif" w:hAnsi="Arial;Helvetica;sans-serif"/>
          <w:sz w:val="22"/>
        </w:rPr>
        <w:t>not less than fifty percent (50%) of Executive’s</w:t>
      </w:r>
      <w:r>
        <w:rPr>
          <w:rFonts w:ascii="Times New Roman;Times;serif" w:hAnsi="Times New Roman;Times;serif"/>
          <w:color w:val="1F1F1F"/>
          <w:sz w:val="20"/>
        </w:rPr>
        <w:t xml:space="preserve"> </w:t>
      </w:r>
      <w:r>
        <w:rPr>
          <w:rFonts w:ascii="Arial;Helvetica;sans-serif" w:hAnsi="Arial;Helvetica;sans-serif"/>
          <w:color w:val="1F1F1F"/>
          <w:sz w:val="22"/>
        </w:rPr>
        <w:t xml:space="preserve">business time and efforts </w:t>
      </w:r>
      <w:r>
        <w:rPr>
          <w:rFonts w:ascii="Arial;Helvetica;sans-serif" w:hAnsi="Arial;Helvetica;sans-serif"/>
          <w:sz w:val="22"/>
        </w:rPr>
        <w:t xml:space="preserve">over the course of any reasonably representative time period (but not less than one week) </w:t>
      </w:r>
      <w:r>
        <w:rPr>
          <w:rFonts w:ascii="Arial;Helvetica;sans-serif" w:hAnsi="Arial;Helvetica;sans-serif"/>
          <w:color w:val="1F1F1F"/>
          <w:sz w:val="22"/>
        </w:rPr>
        <w:t xml:space="preserve">to the performance of </w:t>
      </w:r>
      <w:r>
        <w:rPr>
          <w:rFonts w:ascii="Arial;Helvetica;sans-serif" w:hAnsi="Arial;Helvetica;sans-serif"/>
          <w:sz w:val="22"/>
        </w:rPr>
        <w:t>duties assigned to Executive under this Agreement. Executive shall not engage in any other paid work, other than his simultaneous employment by the University</w:t>
      </w:r>
      <w:r>
        <w:rPr>
          <w:rFonts w:ascii="Arial;Helvetica;sans-serif" w:hAnsi="Arial;Helvetica;sans-serif"/>
          <w:color w:val="1F1F1F"/>
          <w:sz w:val="22"/>
        </w:rPr>
        <w:t xml:space="preserve">, unless Executive notifies </w:t>
      </w:r>
      <w:r>
        <w:rPr>
          <w:rFonts w:ascii="Arial;Helvetica;sans-serif" w:hAnsi="Arial;Helvetica;sans-serif"/>
          <w:sz w:val="22"/>
        </w:rPr>
        <w:t>the Board or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Arial;Helvetica;sans-serif" w:hAnsi="Arial;Helvetica;sans-serif"/>
          <w:sz w:val="22"/>
        </w:rPr>
        <w:t>its designee</w:t>
      </w:r>
      <w:r>
        <w:rPr>
          <w:rFonts w:ascii="Times New Roman;Times;serif" w:hAnsi="Times New Roman;Times;serif"/>
          <w:color w:val="1F1F1F"/>
          <w:sz w:val="20"/>
        </w:rPr>
        <w:t xml:space="preserve"> </w:t>
      </w:r>
      <w:r>
        <w:rPr>
          <w:rFonts w:ascii="Arial;Helvetica;sans-serif" w:hAnsi="Arial;Helvetica;sans-serif"/>
          <w:color w:val="1F1F1F"/>
          <w:sz w:val="22"/>
        </w:rPr>
        <w:t xml:space="preserve">in advance of Executive's intent to engage in other paid work and receives </w:t>
      </w:r>
      <w:r>
        <w:rPr>
          <w:rFonts w:ascii="Arial;Helvetica;sans-serif" w:hAnsi="Arial;Helvetica;sans-serif"/>
          <w:sz w:val="22"/>
        </w:rPr>
        <w:t>the</w:t>
      </w:r>
      <w:r>
        <w:rPr>
          <w:rFonts w:ascii="Times New Roman;Times;serif" w:hAnsi="Times New Roman;Times;serif"/>
          <w:color w:val="1F1F1F"/>
          <w:sz w:val="20"/>
        </w:rPr>
        <w:t xml:space="preserve"> </w:t>
      </w:r>
      <w:r>
        <w:rPr>
          <w:rFonts w:ascii="Arial;Helvetica;sans-serif" w:hAnsi="Arial;Helvetica;sans-serif"/>
          <w:color w:val="1F1F1F"/>
          <w:sz w:val="22"/>
        </w:rPr>
        <w:t xml:space="preserve">express written consent </w:t>
      </w:r>
      <w:r>
        <w:rPr>
          <w:rFonts w:ascii="Arial;Helvetica;sans-serif" w:hAnsi="Arial;Helvetica;sans-serif"/>
          <w:sz w:val="22"/>
        </w:rPr>
        <w:t xml:space="preserve">of the Board or its designee </w:t>
      </w:r>
      <w:r>
        <w:rPr>
          <w:rFonts w:ascii="Arial;Helvetica;sans-serif" w:hAnsi="Arial;Helvetica;sans-serif"/>
          <w:color w:val="1F1F1F"/>
          <w:sz w:val="22"/>
        </w:rPr>
        <w:t>to do so.</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2.3</w:t>
      </w:r>
      <w:r>
        <w:rPr>
          <w:rFonts w:ascii="Arial;Helvetica;sans-serif" w:hAnsi="Arial;Helvetica;sans-serif"/>
          <w:color w:val="1F1F1F"/>
          <w:sz w:val="22"/>
        </w:rPr>
        <w:t xml:space="preserve">Notwithstanding the foregoing, Executive will be permitted to serve as an outside director on the board of directors for corporate, civic, nonprofit or charitable entities, so long as Executive obtains the consent of </w:t>
      </w:r>
      <w:r>
        <w:rPr>
          <w:rFonts w:ascii="Arial;Helvetica;sans-serif" w:hAnsi="Arial;Helvetica;sans-serif"/>
          <w:sz w:val="22"/>
        </w:rPr>
        <w:t>the Board</w:t>
      </w:r>
      <w:r>
        <w:rPr>
          <w:rFonts w:ascii="Times New Roman;Times;serif" w:hAnsi="Times New Roman;Times;serif"/>
          <w:color w:val="1F1F1F"/>
          <w:sz w:val="20"/>
        </w:rPr>
        <w:t xml:space="preserve"> </w:t>
      </w:r>
      <w:r>
        <w:rPr>
          <w:rFonts w:ascii="Arial;Helvetica;sans-serif" w:hAnsi="Arial;Helvetica;sans-serif"/>
          <w:color w:val="1F1F1F"/>
          <w:sz w:val="22"/>
        </w:rPr>
        <w:t xml:space="preserve">and provided such entities are not competitive with </w:t>
      </w:r>
      <w:r>
        <w:rPr>
          <w:rFonts w:ascii="Arial;Helvetica;sans-serif" w:hAnsi="Arial;Helvetica;sans-serif"/>
          <w:sz w:val="22"/>
        </w:rPr>
        <w:t xml:space="preserve">the </w:t>
      </w:r>
      <w:r>
        <w:rPr>
          <w:rFonts w:ascii="Arial;Helvetica;sans-serif" w:hAnsi="Arial;Helvetica;sans-serif"/>
          <w:color w:val="1F1F1F"/>
          <w:sz w:val="22"/>
        </w:rPr>
        <w:t>Company and subject to the provisions of Section 9.</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2.4</w:t>
      </w:r>
      <w:r>
        <w:rPr>
          <w:rFonts w:ascii="Arial;Helvetica;sans-serif" w:hAnsi="Arial;Helvetica;sans-serif"/>
          <w:color w:val="1F1F1F"/>
          <w:sz w:val="22"/>
          <w:u w:val="single"/>
        </w:rPr>
        <w:t>Work Location</w:t>
      </w:r>
      <w:r>
        <w:rPr>
          <w:rFonts w:ascii="Arial;Helvetica;sans-serif" w:hAnsi="Arial;Helvetica;sans-serif"/>
          <w:color w:val="1F1F1F"/>
          <w:sz w:val="22"/>
        </w:rPr>
        <w:t xml:space="preserve">. Executive's principal place of work shall be located in Phoenix, Arizona, or such other location as </w:t>
      </w:r>
      <w:r>
        <w:rPr>
          <w:rFonts w:ascii="Arial;Helvetica;sans-serif" w:hAnsi="Arial;Helvetica;sans-serif"/>
          <w:sz w:val="22"/>
        </w:rPr>
        <w:t xml:space="preserve">the </w:t>
      </w:r>
      <w:r>
        <w:rPr>
          <w:rFonts w:ascii="Arial;Helvetica;sans-serif" w:hAnsi="Arial;Helvetica;sans-serif"/>
          <w:color w:val="1F1F1F"/>
          <w:sz w:val="22"/>
        </w:rPr>
        <w:t>Company may direct from time to time.</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3.</w:t>
      </w:r>
      <w:r>
        <w:rPr>
          <w:rFonts w:ascii="Arial;Helvetica;sans-serif" w:hAnsi="Arial;Helvetica;sans-serif"/>
          <w:color w:val="1F1F1F"/>
          <w:sz w:val="22"/>
          <w:u w:val="single"/>
        </w:rPr>
        <w:t>Term</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3.1</w:t>
      </w:r>
      <w:r>
        <w:rPr>
          <w:rFonts w:ascii="Arial;Helvetica;sans-serif" w:hAnsi="Arial;Helvetica;sans-serif"/>
          <w:color w:val="1F1F1F"/>
          <w:sz w:val="22"/>
          <w:u w:val="single"/>
        </w:rPr>
        <w:t>Initial Term</w:t>
      </w:r>
      <w:r>
        <w:rPr>
          <w:rFonts w:ascii="Arial;Helvetica;sans-serif" w:hAnsi="Arial;Helvetica;sans-serif"/>
          <w:color w:val="1F1F1F"/>
          <w:sz w:val="22"/>
        </w:rPr>
        <w:t>. The employment relationship pursuant to this Agreement shall be for an initial term commencing on the Effective Date and shall continue in effect for a period through June 30, 2028 (the “</w:t>
      </w:r>
      <w:r>
        <w:rPr>
          <w:rFonts w:ascii="Arial;Helvetica;sans-serif" w:hAnsi="Arial;Helvetica;sans-serif"/>
          <w:color w:val="1F1F1F"/>
          <w:sz w:val="22"/>
          <w:u w:val="single"/>
        </w:rPr>
        <w:t>Initial Term</w:t>
      </w:r>
      <w:r>
        <w:rPr>
          <w:rFonts w:ascii="Arial;Helvetica;sans-serif" w:hAnsi="Arial;Helvetica;sans-serif"/>
          <w:color w:val="1F1F1F"/>
          <w:sz w:val="22"/>
        </w:rPr>
        <w:t>"), unless sooner terminated in accordance with Section 7.</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3.2</w:t>
      </w:r>
      <w:r>
        <w:rPr>
          <w:rFonts w:ascii="Arial;Helvetica;sans-serif" w:hAnsi="Arial;Helvetica;sans-serif"/>
          <w:color w:val="1F1F1F"/>
          <w:sz w:val="22"/>
          <w:u w:val="single"/>
        </w:rPr>
        <w:t>Renewal</w:t>
      </w:r>
      <w:r>
        <w:rPr>
          <w:rFonts w:ascii="Arial;Helvetica;sans-serif" w:hAnsi="Arial;Helvetica;sans-serif"/>
          <w:color w:val="1F1F1F"/>
          <w:sz w:val="22"/>
        </w:rPr>
        <w:t>. Upon expiration of the Initial Term and each Renewal Term, this Agreement will automatically renew for subsequent one (1) year terms (each a “</w:t>
      </w:r>
      <w:r>
        <w:rPr>
          <w:rFonts w:ascii="Arial;Helvetica;sans-serif" w:hAnsi="Arial;Helvetica;sans-serif"/>
          <w:color w:val="1F1F1F"/>
          <w:sz w:val="22"/>
          <w:u w:val="single"/>
        </w:rPr>
        <w:t>Renewal Term</w:t>
      </w:r>
      <w:r>
        <w:rPr>
          <w:rFonts w:ascii="Times New Roman;Times;serif" w:hAnsi="Times New Roman;Times;serif"/>
          <w:color w:val="1F1F1F"/>
          <w:sz w:val="20"/>
        </w:rPr>
        <w:t>”</w:t>
      </w:r>
      <w:r>
        <w:rPr>
          <w:rFonts w:ascii="Arial;Helvetica;sans-serif" w:hAnsi="Arial;Helvetica;sans-serif"/>
          <w:color w:val="1F1F1F"/>
          <w:sz w:val="22"/>
        </w:rPr>
        <w:t xml:space="preserve">) unless either party provides ninety (90) days' advance written notice to the other that </w:t>
      </w:r>
      <w:r>
        <w:rPr>
          <w:rFonts w:ascii="Arial;Helvetica;sans-serif" w:hAnsi="Arial;Helvetica;sans-serif"/>
          <w:sz w:val="22"/>
        </w:rPr>
        <w:t xml:space="preserve">the </w:t>
      </w:r>
      <w:r>
        <w:rPr>
          <w:rFonts w:ascii="Arial;Helvetica;sans-serif" w:hAnsi="Arial;Helvetica;sans-serif"/>
          <w:color w:val="1F1F1F"/>
          <w:sz w:val="22"/>
        </w:rPr>
        <w:t>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Helvetica;sans-serif" w:hAnsi="Arial;Helvetica;sans-serif"/>
          <w:color w:val="1F1F1F"/>
          <w:sz w:val="22"/>
          <w:u w:val="single"/>
        </w:rPr>
        <w:t>Term</w:t>
      </w:r>
      <w:r>
        <w:rPr>
          <w:rFonts w:ascii="Times New Roman;Times;serif" w:hAnsi="Times New Roman;Times;serif"/>
          <w:color w:val="1F1F1F"/>
          <w:sz w:val="20"/>
        </w:rPr>
        <w:t>”</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4.</w:t>
      </w:r>
      <w:r>
        <w:rPr>
          <w:rFonts w:ascii="Arial;Helvetica;sans-serif" w:hAnsi="Arial;Helvetica;sans-serif"/>
          <w:color w:val="1F1F1F"/>
          <w:sz w:val="22"/>
          <w:u w:val="single"/>
        </w:rPr>
        <w:t>Compensation.</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4.1</w:t>
      </w:r>
      <w:r>
        <w:rPr>
          <w:rFonts w:ascii="Arial;Helvetica;sans-serif" w:hAnsi="Arial;Helvetica;sans-serif"/>
          <w:color w:val="1F1F1F"/>
          <w:sz w:val="22"/>
          <w:u w:val="single"/>
        </w:rPr>
        <w:t>Base Salary</w:t>
      </w:r>
      <w:r>
        <w:rPr>
          <w:rFonts w:ascii="Arial;Helvetica;sans-serif" w:hAnsi="Arial;Helvetica;sans-serif"/>
          <w:color w:val="1F1F1F"/>
          <w:sz w:val="22"/>
        </w:rPr>
        <w:t>. As compensation for Executive’s performance of Executive’s duties hereunder, effective beginning on the Effective Date</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shall pay to Executive an initial Base Salary at the rate of</w:t>
      </w:r>
      <w:r>
        <w:rPr>
          <w:rFonts w:ascii="Times New Roman;Times;serif" w:hAnsi="Times New Roman;Times;serif"/>
          <w:sz w:val="20"/>
        </w:rPr>
        <w:t xml:space="preserve"> </w:t>
      </w:r>
      <w:r>
        <w:rPr>
          <w:rFonts w:ascii="Arial;Helvetica;sans-serif" w:hAnsi="Arial;Helvetica;sans-serif"/>
          <w:sz w:val="22"/>
        </w:rPr>
        <w:t xml:space="preserve">Three </w:t>
      </w:r>
      <w:r>
        <w:rPr>
          <w:rFonts w:ascii="Arial;Helvetica;sans-serif" w:hAnsi="Arial;Helvetica;sans-serif"/>
          <w:color w:val="1F1F1F"/>
          <w:sz w:val="22"/>
        </w:rPr>
        <w:t>Hundred</w:t>
      </w:r>
      <w:r>
        <w:rPr>
          <w:rFonts w:ascii="Times New Roman;Times;serif" w:hAnsi="Times New Roman;Times;serif"/>
          <w:sz w:val="20"/>
        </w:rPr>
        <w:t xml:space="preserve"> </w:t>
      </w:r>
      <w:r>
        <w:rPr>
          <w:rFonts w:ascii="Arial;Helvetica;sans-serif" w:hAnsi="Arial;Helvetica;sans-serif"/>
          <w:sz w:val="22"/>
        </w:rPr>
        <w:t xml:space="preserve">Twenty-One </w:t>
      </w:r>
      <w:r>
        <w:rPr>
          <w:rFonts w:ascii="Arial;Helvetica;sans-serif" w:hAnsi="Arial;Helvetica;sans-serif"/>
          <w:color w:val="1F1F1F"/>
          <w:sz w:val="22"/>
        </w:rPr>
        <w:t>Thousand Dollars ($</w:t>
      </w:r>
      <w:r>
        <w:rPr>
          <w:rFonts w:ascii="Arial;Helvetica;sans-serif" w:hAnsi="Arial;Helvetica;sans-serif"/>
          <w:sz w:val="22"/>
        </w:rPr>
        <w:t>321,000.00</w:t>
      </w:r>
      <w:r>
        <w:rPr>
          <w:rFonts w:ascii="Arial;Helvetica;sans-serif" w:hAnsi="Arial;Helvetica;sans-serif"/>
          <w:color w:val="1F1F1F"/>
          <w:sz w:val="22"/>
        </w:rPr>
        <w:t>) per year, payable in accordance with the normal payroll practices of</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less required deductions for state and federal withholding tax, social security and all other employment taxes and payroll deductions.</w:t>
      </w:r>
      <w:r>
        <w:rPr>
          <w:rFonts w:ascii="Times New Roman;Times;serif" w:hAnsi="Times New Roman;Times;serif"/>
          <w:sz w:val="20"/>
        </w:rPr>
        <w:t xml:space="preserve"> </w:t>
      </w:r>
      <w:r>
        <w:rPr>
          <w:rFonts w:ascii="Arial;Helvetica;sans-serif" w:hAnsi="Arial;Helvetica;sans-serif"/>
          <w:sz w:val="22"/>
        </w:rPr>
        <w:t>Executive’s</w:t>
      </w:r>
      <w:r>
        <w:rPr>
          <w:rFonts w:ascii="Times New Roman;Times;serif" w:hAnsi="Times New Roman;Times;serif"/>
          <w:color w:val="1F1F1F"/>
          <w:sz w:val="20"/>
        </w:rPr>
        <w:t xml:space="preserve"> </w:t>
      </w:r>
      <w:r>
        <w:rPr>
          <w:rFonts w:ascii="Arial;Helvetica;sans-serif" w:hAnsi="Arial;Helvetica;sans-serif"/>
          <w:color w:val="1F1F1F"/>
          <w:sz w:val="22"/>
        </w:rPr>
        <w:t>Base Salary shall be reviewed annually by the Compensation Committee of</w:t>
      </w:r>
      <w:r>
        <w:rPr>
          <w:rFonts w:ascii="Times New Roman;Times;serif" w:hAnsi="Times New Roman;Times;serif"/>
          <w:sz w:val="20"/>
        </w:rPr>
        <w:t xml:space="preserve"> </w:t>
      </w:r>
      <w:r>
        <w:rPr>
          <w:rFonts w:ascii="Arial;Helvetica;sans-serif" w:hAnsi="Arial;Helvetica;sans-serif"/>
          <w:sz w:val="22"/>
        </w:rPr>
        <w:t>the Board</w:t>
      </w:r>
      <w:r>
        <w:rPr>
          <w:rFonts w:ascii="Times New Roman;Times;serif" w:hAnsi="Times New Roman;Times;serif"/>
          <w:color w:val="1F1F1F"/>
          <w:sz w:val="20"/>
        </w:rPr>
        <w:t xml:space="preserve"> </w:t>
      </w:r>
      <w:r>
        <w:rPr>
          <w:rFonts w:ascii="Arial;Helvetica;sans-serif" w:hAnsi="Arial;Helvetica;sans-serif"/>
          <w:color w:val="1F1F1F"/>
          <w:sz w:val="22"/>
        </w:rPr>
        <w:t>(the “</w:t>
      </w:r>
      <w:r>
        <w:rPr>
          <w:rFonts w:ascii="Arial;Helvetica;sans-serif" w:hAnsi="Arial;Helvetica;sans-serif"/>
          <w:color w:val="1F1F1F"/>
          <w:sz w:val="22"/>
          <w:u w:val="single"/>
        </w:rPr>
        <w:t>Compensation Committee</w:t>
      </w:r>
      <w:r>
        <w:rPr>
          <w:rFonts w:ascii="Times New Roman;Times;serif" w:hAnsi="Times New Roman;Times;serif"/>
          <w:color w:val="1F1F1F"/>
          <w:sz w:val="20"/>
        </w:rPr>
        <w:t>”</w:t>
      </w:r>
      <w:r>
        <w:rPr>
          <w:rFonts w:ascii="Arial;Helvetica;sans-serif" w:hAnsi="Arial;Helvetica;sans-serif"/>
          <w:color w:val="1F1F1F"/>
          <w:sz w:val="22"/>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3"/>
        </w:rPr>
        <w:t>4.2</w:t>
      </w:r>
      <w:r>
        <w:rPr>
          <w:rFonts w:ascii="Arial;Helvetica;sans-serif" w:hAnsi="Arial;Helvetica;sans-serif"/>
          <w:color w:val="1F1F1F"/>
          <w:sz w:val="22"/>
          <w:u w:val="single"/>
        </w:rPr>
        <w:t>Incentive Compensation.</w:t>
      </w:r>
      <w:r>
        <w:rPr>
          <w:rFonts w:ascii="Times New Roman;Times;serif" w:hAnsi="Times New Roman;Times;serif"/>
          <w:color w:val="1F1F1F"/>
          <w:sz w:val="20"/>
        </w:rPr>
        <w:t xml:space="preserve"> </w:t>
      </w:r>
      <w:r>
        <w:rPr>
          <w:rFonts w:ascii="Arial;Helvetica;sans-serif" w:hAnsi="Arial;Helvetica;sans-serif"/>
          <w:color w:val="1F1F1F"/>
          <w:sz w:val="22"/>
        </w:rPr>
        <w:t xml:space="preserve">Executive will be eligible to earn incentive compensation in the form of an annual bonus for each fiscal year of </w:t>
      </w:r>
      <w:r>
        <w:rPr>
          <w:rFonts w:ascii="Arial;Helvetica;sans-serif" w:hAnsi="Arial;Helvetica;sans-serif"/>
          <w:sz w:val="22"/>
        </w:rPr>
        <w:t xml:space="preserve">the </w:t>
      </w:r>
      <w:r>
        <w:rPr>
          <w:rFonts w:ascii="Arial;Helvetica;sans-serif" w:hAnsi="Arial;Helvetica;sans-serif"/>
          <w:color w:val="1F1F1F"/>
          <w:sz w:val="22"/>
        </w:rPr>
        <w:t>Company, to be awarded under</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Company’s annual cash incentive plan as then in effect, with a target amount equal to one hundred percent ((100%) of Executive's Base Salary (the “</w:t>
      </w:r>
      <w:r>
        <w:rPr>
          <w:rFonts w:ascii="Arial;Helvetica;sans-serif" w:hAnsi="Arial;Helvetica;sans-serif"/>
          <w:color w:val="1F1F1F"/>
          <w:sz w:val="22"/>
          <w:u w:val="single"/>
        </w:rPr>
        <w:t>Target Bonus”</w:t>
      </w:r>
      <w:r>
        <w:rPr>
          <w:rFonts w:ascii="Arial;Helvetica;sans-serif" w:hAnsi="Arial;Helvetica;sans-serif"/>
          <w:color w:val="1F1F1F"/>
          <w:sz w:val="22"/>
        </w:rPr>
        <w:t xml:space="preserve">). </w:t>
      </w:r>
      <w:r>
        <w:rPr>
          <w:rFonts w:ascii="Arial;Helvetica;sans-serif" w:hAnsi="Arial;Helvetica;sans-serif"/>
          <w:sz w:val="22"/>
        </w:rPr>
        <w:t>Executive’s</w:t>
      </w:r>
      <w:r>
        <w:rPr>
          <w:rFonts w:ascii="Times New Roman;Times;serif" w:hAnsi="Times New Roman;Times;serif"/>
          <w:color w:val="1F1F1F"/>
          <w:sz w:val="20"/>
        </w:rPr>
        <w:t xml:space="preserve"> </w:t>
      </w:r>
      <w:r>
        <w:rPr>
          <w:rFonts w:ascii="Arial;Helvetica;sans-serif" w:hAnsi="Arial;Helvetica;sans-serif"/>
          <w:color w:val="1F1F1F"/>
          <w:sz w:val="22"/>
        </w:rPr>
        <w:t xml:space="preserve">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w:t>
      </w:r>
      <w:r>
        <w:rPr>
          <w:rFonts w:ascii="Arial;Helvetica;sans-serif" w:hAnsi="Arial;Helvetica;sans-serif"/>
          <w:sz w:val="22"/>
        </w:rPr>
        <w:t>the Company’s</w:t>
      </w:r>
      <w:r>
        <w:rPr>
          <w:rFonts w:ascii="Times New Roman;Times;serif" w:hAnsi="Times New Roman;Times;serif"/>
          <w:color w:val="1F1F1F"/>
          <w:sz w:val="20"/>
        </w:rPr>
        <w:t xml:space="preserve"> </w:t>
      </w:r>
      <w:r>
        <w:rPr>
          <w:rFonts w:ascii="Arial;Helvetica;sans-serif" w:hAnsi="Arial;Helvetica;sans-serif"/>
          <w:color w:val="1F1F1F"/>
          <w:sz w:val="22"/>
        </w:rPr>
        <w:t>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3"/>
        </w:rPr>
        <w:t>4.3</w:t>
      </w:r>
      <w:r>
        <w:rPr>
          <w:rFonts w:ascii="Arial;Helvetica;sans-serif" w:hAnsi="Arial;Helvetica;sans-serif"/>
          <w:color w:val="1F1F1F"/>
          <w:sz w:val="22"/>
          <w:u w:val="single"/>
        </w:rPr>
        <w:t>Equity Awards</w:t>
      </w:r>
      <w:r>
        <w:rPr>
          <w:rFonts w:ascii="Arial;Helvetica;sans-serif" w:hAnsi="Arial;Helvetica;sans-serif"/>
          <w:color w:val="1F1F1F"/>
          <w:sz w:val="22"/>
        </w:rPr>
        <w:t>. Executive will be eligible to receive stock, option or other equity awards (each, an “</w:t>
      </w:r>
      <w:r>
        <w:rPr>
          <w:rFonts w:ascii="Arial;Helvetica;sans-serif" w:hAnsi="Arial;Helvetica;sans-serif"/>
          <w:color w:val="1F1F1F"/>
          <w:sz w:val="22"/>
          <w:u w:val="single"/>
        </w:rPr>
        <w:t>Equity Award</w:t>
      </w:r>
      <w:r>
        <w:rPr>
          <w:rFonts w:ascii="Times New Roman;Times;serif" w:hAnsi="Times New Roman;Times;serif"/>
          <w:color w:val="1F1F1F"/>
          <w:sz w:val="20"/>
        </w:rPr>
        <w:t>”</w:t>
      </w:r>
      <w:r>
        <w:rPr>
          <w:rFonts w:ascii="Arial;Helvetica;sans-serif" w:hAnsi="Arial;Helvetica;sans-serif"/>
          <w:color w:val="1F1F1F"/>
          <w:sz w:val="22"/>
        </w:rPr>
        <w:t xml:space="preserve">) under </w:t>
      </w:r>
      <w:r>
        <w:rPr>
          <w:rFonts w:ascii="Arial;Helvetica;sans-serif" w:hAnsi="Arial;Helvetica;sans-serif"/>
          <w:sz w:val="22"/>
        </w:rPr>
        <w:t xml:space="preserve">the </w:t>
      </w:r>
      <w:r>
        <w:rPr>
          <w:rFonts w:ascii="Arial;Helvetica;sans-serif" w:hAnsi="Arial;Helvetica;sans-serif"/>
          <w:color w:val="1F1F1F"/>
          <w:sz w:val="22"/>
        </w:rPr>
        <w:t>Company’s equity incentive plan as then in effect (the “</w:t>
      </w:r>
      <w:r>
        <w:rPr>
          <w:rFonts w:ascii="Arial;Helvetica;sans-serif" w:hAnsi="Arial;Helvetica;sans-serif"/>
          <w:color w:val="1F1F1F"/>
          <w:sz w:val="22"/>
          <w:u w:val="single"/>
        </w:rPr>
        <w:t>Plan</w:t>
      </w:r>
      <w:r>
        <w:rPr>
          <w:rFonts w:ascii="Times New Roman;Times;serif" w:hAnsi="Times New Roman;Times;serif"/>
          <w:color w:val="1F1F1F"/>
          <w:sz w:val="20"/>
        </w:rPr>
        <w:t>”</w:t>
      </w:r>
      <w:r>
        <w:rPr>
          <w:rFonts w:ascii="Arial;Helvetica;sans-serif" w:hAnsi="Arial;Helvetica;sans-serif"/>
          <w:color w:val="1F1F1F"/>
          <w:sz w:val="22"/>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5.</w:t>
      </w:r>
      <w:r>
        <w:rPr>
          <w:rFonts w:ascii="Arial;Helvetica;sans-serif" w:hAnsi="Arial;Helvetica;sans-serif"/>
          <w:color w:val="1F1F1F"/>
          <w:sz w:val="22"/>
          <w:u w:val="single"/>
        </w:rPr>
        <w:t>Customary Fringe Benefits</w:t>
      </w:r>
      <w:r>
        <w:rPr>
          <w:rFonts w:ascii="Arial;Helvetica;sans-serif" w:hAnsi="Arial;Helvetica;sans-serif"/>
          <w:color w:val="1F1F1F"/>
          <w:sz w:val="22"/>
        </w:rPr>
        <w:t xml:space="preserve">. Executive will be eligible for all customary and usual fringe benefits generally available to senior management of </w:t>
      </w:r>
      <w:r>
        <w:rPr>
          <w:rFonts w:ascii="Arial;Helvetica;sans-serif" w:hAnsi="Arial;Helvetica;sans-serif"/>
          <w:sz w:val="22"/>
        </w:rPr>
        <w:t xml:space="preserve">the </w:t>
      </w:r>
      <w:r>
        <w:rPr>
          <w:rFonts w:ascii="Arial;Helvetica;sans-serif" w:hAnsi="Arial;Helvetica;sans-serif"/>
          <w:color w:val="1F1F1F"/>
          <w:sz w:val="22"/>
        </w:rPr>
        <w:t xml:space="preserve">Company, subject to the terms and conditions of </w:t>
      </w:r>
      <w:r>
        <w:rPr>
          <w:rFonts w:ascii="Arial;Helvetica;sans-serif" w:hAnsi="Arial;Helvetica;sans-serif"/>
          <w:sz w:val="22"/>
        </w:rPr>
        <w:t>the Company’s</w:t>
      </w:r>
      <w:r>
        <w:rPr>
          <w:rFonts w:ascii="Times New Roman;Times;serif" w:hAnsi="Times New Roman;Times;serif"/>
          <w:color w:val="1F1F1F"/>
          <w:sz w:val="20"/>
        </w:rPr>
        <w:t xml:space="preserve"> </w:t>
      </w:r>
      <w:r>
        <w:rPr>
          <w:rFonts w:ascii="Arial;Helvetica;sans-serif" w:hAnsi="Arial;Helvetica;sans-serif"/>
          <w:color w:val="1F1F1F"/>
          <w:sz w:val="22"/>
        </w:rPr>
        <w:t xml:space="preserve">benefit plan documents. </w:t>
      </w:r>
      <w:r>
        <w:rPr>
          <w:rFonts w:ascii="Arial;Helvetica;sans-serif" w:hAnsi="Arial;Helvetica;sans-serif"/>
          <w:sz w:val="22"/>
        </w:rPr>
        <w:t xml:space="preserve">The </w:t>
      </w:r>
      <w:r>
        <w:rPr>
          <w:rFonts w:ascii="Arial;Helvetica;sans-serif" w:hAnsi="Arial;Helvetica;sans-serif"/>
          <w:color w:val="1F1F1F"/>
          <w:sz w:val="22"/>
        </w:rPr>
        <w:t>Company reserves the right to change or eliminate fringe benefits on a prospective basis, at any time, effective upon notice to Executive.</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6.</w:t>
      </w:r>
      <w:r>
        <w:rPr>
          <w:rFonts w:ascii="Arial;Helvetica;sans-serif" w:hAnsi="Arial;Helvetica;sans-serif"/>
          <w:color w:val="1F1F1F"/>
          <w:sz w:val="22"/>
          <w:u w:val="single"/>
        </w:rPr>
        <w:t>Business Expenses</w:t>
      </w:r>
      <w:r>
        <w:rPr>
          <w:rFonts w:ascii="Arial;Helvetica;sans-serif" w:hAnsi="Arial;Helvetica;sans-serif"/>
          <w:color w:val="1F1F1F"/>
          <w:sz w:val="22"/>
        </w:rPr>
        <w:t xml:space="preserve">. Executive will be reimbursed for all reasonable, out-of- pocket business expenses incurred in the performance of Executive's duties on behalf of </w:t>
      </w:r>
      <w:r>
        <w:rPr>
          <w:rFonts w:ascii="Arial;Helvetica;sans-serif" w:hAnsi="Arial;Helvetica;sans-serif"/>
          <w:sz w:val="22"/>
        </w:rPr>
        <w:t xml:space="preserve">the </w:t>
      </w:r>
      <w:r>
        <w:rPr>
          <w:rFonts w:ascii="Arial;Helvetica;sans-serif" w:hAnsi="Arial;Helvetica;sans-serif"/>
          <w:color w:val="1F1F1F"/>
          <w:sz w:val="22"/>
        </w:rPr>
        <w:t xml:space="preserve">Company. To obtain reimbursement, expenses must be submitted promptly with appropriate supporting documentation and will be reimbursed in accordance with </w:t>
      </w:r>
      <w:r>
        <w:rPr>
          <w:rFonts w:ascii="Arial;Helvetica;sans-serif" w:hAnsi="Arial;Helvetica;sans-serif"/>
          <w:sz w:val="22"/>
        </w:rPr>
        <w:t>the Company’s</w:t>
      </w:r>
      <w:r>
        <w:rPr>
          <w:rFonts w:ascii="Times New Roman;Times;serif" w:hAnsi="Times New Roman;Times;serif"/>
          <w:color w:val="1F1F1F"/>
          <w:sz w:val="20"/>
        </w:rPr>
        <w:t xml:space="preserve"> </w:t>
      </w:r>
      <w:r>
        <w:rPr>
          <w:rFonts w:ascii="Arial;Helvetica;sans-serif" w:hAnsi="Arial;Helvetica;sans-serif"/>
          <w:color w:val="1F1F1F"/>
          <w:sz w:val="22"/>
        </w:rPr>
        <w:t>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w:t>
      </w:r>
      <w:r>
        <w:rPr>
          <w:rFonts w:ascii="Arial;Helvetica;sans-serif" w:hAnsi="Arial;Helvetica;sans-serif"/>
          <w:color w:val="1F1F1F"/>
          <w:sz w:val="22"/>
          <w:u w:val="single"/>
        </w:rPr>
        <w:t>Termination of Executive's Employment</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7.1</w:t>
      </w:r>
      <w:r>
        <w:rPr>
          <w:rFonts w:ascii="Arial;Helvetica;sans-serif" w:hAnsi="Arial;Helvetica;sans-serif"/>
          <w:color w:val="1F1F1F"/>
          <w:sz w:val="22"/>
          <w:u w:val="single"/>
        </w:rPr>
        <w:t>Termination for Cause by Company</w:t>
      </w:r>
      <w:r>
        <w:rPr>
          <w:rFonts w:ascii="Arial;Helvetica;sans-serif" w:hAnsi="Arial;Helvetica;sans-serif"/>
          <w:color w:val="1F1F1F"/>
          <w:sz w:val="22"/>
        </w:rPr>
        <w:t xml:space="preserve">. Although </w:t>
      </w:r>
      <w:r>
        <w:rPr>
          <w:rFonts w:ascii="Arial;Helvetica;sans-serif" w:hAnsi="Arial;Helvetica;sans-serif"/>
          <w:sz w:val="22"/>
        </w:rPr>
        <w:t xml:space="preserve">the </w:t>
      </w:r>
      <w:r>
        <w:rPr>
          <w:rFonts w:ascii="Arial;Helvetica;sans-serif" w:hAnsi="Arial;Helvetica;sans-serif"/>
          <w:color w:val="1F1F1F"/>
          <w:sz w:val="22"/>
        </w:rPr>
        <w:t xml:space="preserve">Company anticipates the continuation of a mutually rewarding employment relationship with Executive, </w:t>
      </w:r>
      <w:r>
        <w:rPr>
          <w:rFonts w:ascii="Arial;Helvetica;sans-serif" w:hAnsi="Arial;Helvetica;sans-serif"/>
          <w:sz w:val="22"/>
        </w:rPr>
        <w:t xml:space="preserve">the </w:t>
      </w:r>
      <w:r>
        <w:rPr>
          <w:rFonts w:ascii="Arial;Helvetica;sans-serif" w:hAnsi="Arial;Helvetica;sans-serif"/>
          <w:color w:val="1F1F1F"/>
          <w:sz w:val="22"/>
        </w:rPr>
        <w:t>Company may terminate Executive’s employment immediately at any time for Cause. For purposes of this Agreement, "</w:t>
      </w:r>
      <w:r>
        <w:rPr>
          <w:rFonts w:ascii="Arial;Helvetica;sans-serif" w:hAnsi="Arial;Helvetica;sans-serif"/>
          <w:color w:val="1F1F1F"/>
          <w:sz w:val="22"/>
          <w:u w:val="single"/>
        </w:rPr>
        <w:t>Cause</w:t>
      </w:r>
      <w:r>
        <w:rPr>
          <w:rFonts w:ascii="Times New Roman;Times;serif" w:hAnsi="Times New Roman;Times;serif"/>
          <w:color w:val="1F1F1F"/>
          <w:sz w:val="20"/>
        </w:rPr>
        <w:t xml:space="preserve"> </w:t>
      </w:r>
      <w:r>
        <w:rPr>
          <w:rFonts w:ascii="Arial;Helvetica;sans-serif" w:hAnsi="Arial;Helvetica;sans-serif"/>
          <w:color w:val="1F1F1F"/>
          <w:sz w:val="22"/>
        </w:rPr>
        <w:t xml:space="preserve">is defined as: (a) acts or omissions constituting gross negligence, recklessness or willful misconduct on the part of Executive with respect to Executive’s obligations or otherwise relating to the business of </w:t>
      </w:r>
      <w:r>
        <w:rPr>
          <w:rFonts w:ascii="Arial;Helvetica;sans-serif" w:hAnsi="Arial;Helvetica;sans-serif"/>
          <w:sz w:val="22"/>
        </w:rPr>
        <w:t xml:space="preserve">the </w:t>
      </w:r>
      <w:r>
        <w:rPr>
          <w:rFonts w:ascii="Arial;Helvetica;sans-serif" w:hAnsi="Arial;Helvetica;sans-serif"/>
          <w:color w:val="1F1F1F"/>
          <w:sz w:val="22"/>
        </w:rPr>
        <w:t xml:space="preserve">Company; (b) Executive’s material breach of this Agreement including, without limitation, any breach of Section 8, Section 9 or Section 11; (c) Executive’s breach of </w:t>
      </w:r>
      <w:r>
        <w:rPr>
          <w:rFonts w:ascii="Arial;Helvetica;sans-serif" w:hAnsi="Arial;Helvetica;sans-serif"/>
          <w:sz w:val="22"/>
        </w:rPr>
        <w:t>the Company’s</w:t>
      </w:r>
      <w:r>
        <w:rPr>
          <w:rFonts w:ascii="Times New Roman;Times;serif" w:hAnsi="Times New Roman;Times;serif"/>
          <w:color w:val="1F1F1F"/>
          <w:sz w:val="20"/>
        </w:rPr>
        <w:t xml:space="preserve"> </w:t>
      </w:r>
      <w:r>
        <w:rPr>
          <w:rFonts w:ascii="Arial;Helvetica;sans-serif" w:hAnsi="Arial;Helvetica;sans-serif"/>
          <w:color w:val="1F1F1F"/>
          <w:sz w:val="22"/>
        </w:rPr>
        <w:t xml:space="preserve">Employee Nondisclosure and Assignment Agreement (a copy of which has been executed and delivered to </w:t>
      </w:r>
      <w:r>
        <w:rPr>
          <w:rFonts w:ascii="Arial;Helvetica;sans-serif" w:hAnsi="Arial;Helvetica;sans-serif"/>
          <w:sz w:val="22"/>
        </w:rPr>
        <w:t>the</w:t>
      </w:r>
      <w:r>
        <w:rPr>
          <w:rFonts w:ascii="Times New Roman;Times;serif" w:hAnsi="Times New Roman;Times;serif"/>
          <w:color w:val="1F1F1F"/>
          <w:sz w:val="20"/>
        </w:rPr>
        <w:t xml:space="preserve"> </w:t>
      </w:r>
      <w:r>
        <w:rPr>
          <w:rFonts w:ascii="Arial;Helvetica;sans-serif" w:hAnsi="Arial;Helvetica;sans-serif"/>
          <w:color w:val="1F1F1F"/>
          <w:sz w:val="22"/>
        </w:rPr>
        <w:t>Company with this Agreement) (the “</w:t>
      </w:r>
      <w:r>
        <w:rPr>
          <w:rFonts w:ascii="Arial;Helvetica;sans-serif" w:hAnsi="Arial;Helvetica;sans-serif"/>
          <w:color w:val="1F1F1F"/>
          <w:sz w:val="22"/>
          <w:u w:val="single"/>
        </w:rPr>
        <w:t>Nondisclosure Agreement”</w:t>
      </w:r>
      <w:r>
        <w:rPr>
          <w:rFonts w:ascii="Arial;Helvetica;sans-serif" w:hAnsi="Arial;Helvetica;sans-serif"/>
          <w:color w:val="1F1F1F"/>
          <w:sz w:val="22"/>
        </w:rPr>
        <w:t>); (d)</w:t>
      </w:r>
      <w:r>
        <w:rPr>
          <w:rFonts w:ascii="Times New Roman;Times;serif" w:hAnsi="Times New Roman;Times;serif"/>
          <w:sz w:val="20"/>
        </w:rPr>
        <w:t> </w:t>
      </w:r>
      <w:r>
        <w:rPr>
          <w:rFonts w:ascii="Arial;Helvetica;sans-serif" w:hAnsi="Arial;Helvetica;sans-serif"/>
          <w:sz w:val="22"/>
        </w:rPr>
        <w:t>Executive’s</w:t>
      </w:r>
      <w:r>
        <w:rPr>
          <w:rFonts w:ascii="Times New Roman;Times;serif" w:hAnsi="Times New Roman;Times;serif"/>
          <w:color w:val="1F1F1F"/>
          <w:sz w:val="20"/>
        </w:rPr>
        <w:t xml:space="preserve"> </w:t>
      </w:r>
      <w:r>
        <w:rPr>
          <w:rFonts w:ascii="Arial;Helvetica;sans-serif" w:hAnsi="Arial;Helvetica;sans-serif"/>
          <w:color w:val="1F1F1F"/>
          <w:sz w:val="22"/>
        </w:rPr>
        <w:t xml:space="preserve">conviction or entry of a plea of </w:t>
      </w:r>
      <w:r>
        <w:rPr>
          <w:rFonts w:ascii="Arial;Helvetica;sans-serif" w:hAnsi="Arial;Helvetica;sans-serif"/>
          <w:i/>
          <w:color w:val="1F1F1F"/>
          <w:sz w:val="22"/>
        </w:rPr>
        <w:t xml:space="preserve">nolo contendere </w:t>
      </w:r>
      <w:r>
        <w:rPr>
          <w:rFonts w:ascii="Arial;Helvetica;sans-serif" w:hAnsi="Arial;Helvetica;sans-serif"/>
          <w:color w:val="1F1F1F"/>
          <w:sz w:val="22"/>
        </w:rPr>
        <w:t>for fraud misappropriation or embezzlement or any felony or crime of moral turpitude; (e)</w:t>
      </w:r>
      <w:r>
        <w:rPr>
          <w:rFonts w:ascii="Times New Roman;Times;serif" w:hAnsi="Times New Roman;Times;serif"/>
          <w:sz w:val="20"/>
        </w:rPr>
        <w:t> </w:t>
      </w:r>
      <w:r>
        <w:rPr>
          <w:rFonts w:ascii="Arial;Helvetica;sans-serif" w:hAnsi="Arial;Helvetica;sans-serif"/>
          <w:sz w:val="22"/>
        </w:rPr>
        <w:t>Executive’s</w:t>
      </w:r>
      <w:r>
        <w:rPr>
          <w:rFonts w:ascii="Times New Roman;Times;serif" w:hAnsi="Times New Roman;Times;serif"/>
          <w:color w:val="1F1F1F"/>
          <w:sz w:val="20"/>
        </w:rPr>
        <w:t xml:space="preserve"> </w:t>
      </w:r>
      <w:r>
        <w:rPr>
          <w:rFonts w:ascii="Arial;Helvetica;sans-serif" w:hAnsi="Arial;Helvetica;sans-serif"/>
          <w:color w:val="1F1F1F"/>
          <w:sz w:val="22"/>
        </w:rPr>
        <w:t xml:space="preserve">inability to perform the essential functions of Executive’s position with or without reasonable accommodation due to a mental or physical disability; (f) Executive’s willful neglect of duties as determined in the sole and exclusive discretion of </w:t>
      </w:r>
      <w:r>
        <w:rPr>
          <w:rFonts w:ascii="Arial;Helvetica;sans-serif" w:hAnsi="Arial;Helvetica;sans-serif"/>
          <w:sz w:val="22"/>
        </w:rPr>
        <w:t>the Board</w:t>
      </w:r>
      <w:r>
        <w:rPr>
          <w:rFonts w:ascii="Arial;Helvetica;sans-serif" w:hAnsi="Arial;Helvetica;sans-serif"/>
          <w:color w:val="1F1F1F"/>
          <w:sz w:val="22"/>
        </w:rPr>
        <w:t xml:space="preserve">, provided that Executive has received written notice of the action or omission giving rise to such determination and has failed to remedy such situation to the satisfaction of </w:t>
      </w:r>
      <w:r>
        <w:rPr>
          <w:rFonts w:ascii="Arial;Helvetica;sans-serif" w:hAnsi="Arial;Helvetica;sans-serif"/>
          <w:sz w:val="22"/>
        </w:rPr>
        <w:t>the Board</w:t>
      </w:r>
      <w:r>
        <w:rPr>
          <w:rFonts w:ascii="Times New Roman;Times;serif" w:hAnsi="Times New Roman;Times;serif"/>
          <w:color w:val="1F1F1F"/>
          <w:sz w:val="20"/>
        </w:rPr>
        <w:t xml:space="preserve"> </w:t>
      </w:r>
      <w:r>
        <w:rPr>
          <w:rFonts w:ascii="Arial;Helvetica;sans-serif" w:hAnsi="Arial;Helvetica;sans-serif"/>
          <w:color w:val="1F1F1F"/>
          <w:sz w:val="22"/>
        </w:rPr>
        <w:t>within thirty (30) days following receipt of such written notice, unless Executive’s action or omission is not subject to cure, in which case no such notice shall be required; or (g) Executive's death. In the event Executive's employment is terminated in accordance with this Section 7 1, Executive shall be entitled to receive only Executive's Base Salary then in effect, prorated to the date of Executive’s termination of employment with Company (the “</w:t>
      </w:r>
      <w:r>
        <w:rPr>
          <w:rFonts w:ascii="Arial;Helvetica;sans-serif" w:hAnsi="Arial;Helvetica;sans-serif"/>
          <w:color w:val="1F1F1F"/>
          <w:sz w:val="22"/>
          <w:u w:val="single"/>
        </w:rPr>
        <w:t>Termination Date</w:t>
      </w:r>
      <w:r>
        <w:rPr>
          <w:rFonts w:ascii="Times New Roman;Times;serif" w:hAnsi="Times New Roman;Times;serif"/>
          <w:color w:val="1F1F1F"/>
          <w:sz w:val="20"/>
        </w:rPr>
        <w:t>”</w:t>
      </w:r>
      <w:r>
        <w:rPr>
          <w:rFonts w:ascii="Arial;Helvetica;sans-serif" w:hAnsi="Arial;Helvetica;sans-serif"/>
          <w:color w:val="1F1F1F"/>
          <w:sz w:val="22"/>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w:t>
      </w:r>
      <w:r>
        <w:rPr>
          <w:rFonts w:ascii="Times New Roman;Times;serif" w:hAnsi="Times New Roman;Times;serif"/>
          <w:sz w:val="20"/>
        </w:rPr>
        <w:t> </w:t>
      </w:r>
      <w:r>
        <w:rPr>
          <w:rFonts w:ascii="Arial;Helvetica;sans-serif" w:hAnsi="Arial;Helvetica;sans-serif"/>
          <w:sz w:val="22"/>
        </w:rPr>
        <w:t>14</w:t>
      </w:r>
      <w:r>
        <w:rPr>
          <w:rFonts w:ascii="Arial;Helvetica;sans-serif" w:hAnsi="Arial;Helvetica;sans-serif"/>
          <w:color w:val="1F1F1F"/>
          <w:sz w:val="22"/>
        </w:rPr>
        <w:t>.8. Executive will not be entitled to receive the Severance Package described in Section 7.2</w:t>
      </w:r>
      <w:r>
        <w:rPr>
          <w:rFonts w:ascii="Arial;Helvetica;sans-serif" w:hAnsi="Arial;Helvetica;sans-serif"/>
          <w:sz w:val="22"/>
        </w:rPr>
        <w:t>. Any termination pursuant to this Section 7.1 shall be evidenced by a resolution or written consent of the Board, and the Company shall provide Executive with a</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Arial;Helvetica;sans-serif" w:hAnsi="Arial;Helvetica;sans-serif"/>
          <w:sz w:val="22"/>
        </w:rPr>
        <w:t>copy of such resolution or written consent, certified by the Secretary of the Company, upon Executive’s written request</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7.2</w:t>
      </w:r>
      <w:r>
        <w:rPr>
          <w:rFonts w:ascii="Arial;Helvetica;sans-serif" w:hAnsi="Arial;Helvetica;sans-serif"/>
          <w:color w:val="1F1F1F"/>
          <w:sz w:val="22"/>
          <w:u w:val="single"/>
        </w:rPr>
        <w:t>Termination Without Cause by Company.</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Helvetica;sans-serif" w:hAnsi="Arial;Helvetica;sans-serif"/>
          <w:color w:val="1F1F1F"/>
          <w:sz w:val="22"/>
          <w:u w:val="single"/>
        </w:rPr>
        <w:t>Severance Package”</w:t>
      </w:r>
      <w:r>
        <w:rPr>
          <w:rFonts w:ascii="Times New Roman;Times;serif" w:hAnsi="Times New Roman;Times;serif"/>
          <w:color w:val="1F1F1F"/>
          <w:sz w:val="20"/>
        </w:rPr>
        <w:t xml:space="preserve"> </w:t>
      </w:r>
      <w:r>
        <w:rPr>
          <w:rFonts w:ascii="Arial;Helvetica;sans-serif" w:hAnsi="Arial;Helvetica;sans-serif"/>
          <w:color w:val="1F1F1F"/>
          <w:sz w:val="22"/>
        </w:rPr>
        <w:t>that shall consist of:</w:t>
      </w:r>
    </w:p>
    <w:p>
      <w:pPr>
        <w:pStyle w:val="TextBody"/>
        <w:spacing w:before="0" w:after="240"/>
        <w:ind w:left="0" w:right="0" w:firstLine="2160"/>
        <w:jc w:val="both"/>
        <w:rPr>
          <w:rFonts w:ascii="Arial;Helvetica;sans-serif" w:hAnsi="Arial;Helvetica;sans-serif"/>
          <w:sz w:val="22"/>
        </w:rPr>
      </w:pPr>
      <w:r>
        <w:rPr>
          <w:rFonts w:ascii="Arial;Helvetica;sans-serif" w:hAnsi="Arial;Helvetica;sans-serif"/>
          <w:sz w:val="22"/>
        </w:rPr>
        <w:t>(c)severance in an amount equal to the sum of (i) twelve (12) months of Executive’s Base Salary then in effect on the Termination Date, and (ii) 100% of Executive’s Target Bonus for the fiscal year in which the Termination Date occurs, with the total of such amounts to be payable over twelve (12) months in equal installments in accordance with the Company’s regular payroll cycle, commencing with the first payroll date occurring on or after the 60th day following the Termination Date;</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sz w:val="22"/>
        </w:rPr>
        <w:t>(d)payment by the Company of the premiums required to continue Executive’s group health care coverage under the applicable provisions of the Consolidated Omnibus Budget Reconciliation Act of 1985 (“</w:t>
      </w:r>
      <w:r>
        <w:rPr>
          <w:rFonts w:ascii="Arial;Helvetica;sans-serif" w:hAnsi="Arial;Helvetica;sans-serif"/>
          <w:sz w:val="22"/>
          <w:u w:val="single"/>
        </w:rPr>
        <w:t>COBRA</w:t>
      </w:r>
      <w:r>
        <w:rPr>
          <w:rFonts w:ascii="Times New Roman;Times;serif" w:hAnsi="Times New Roman;Times;serif"/>
          <w:sz w:val="20"/>
        </w:rPr>
        <w:t>”</w:t>
      </w:r>
      <w:r>
        <w:rPr>
          <w:rFonts w:ascii="Arial;Helvetica;sans-serif" w:hAnsi="Arial;Helvetica;sans-serif"/>
          <w:sz w:val="22"/>
        </w:rPr>
        <w:t>) for a period (the “</w:t>
      </w:r>
      <w:r>
        <w:rPr>
          <w:rFonts w:ascii="Arial;Helvetica;sans-serif" w:hAnsi="Arial;Helvetica;sans-serif"/>
          <w:sz w:val="22"/>
          <w:u w:val="single"/>
        </w:rPr>
        <w:t>COBRA Payment Period</w:t>
      </w:r>
      <w:r>
        <w:rPr>
          <w:rFonts w:ascii="Times New Roman;Times;serif" w:hAnsi="Times New Roman;Times;serif"/>
          <w:sz w:val="20"/>
        </w:rPr>
        <w:t>”</w:t>
      </w:r>
      <w:r>
        <w:rPr>
          <w:rFonts w:ascii="Arial;Helvetica;sans-serif" w:hAnsi="Arial;Helvetica;sans-serif"/>
          <w:sz w:val="22"/>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pStyle w:val="TextBody"/>
        <w:spacing w:before="0" w:after="240"/>
        <w:ind w:left="0" w:right="0" w:firstLine="2160"/>
        <w:jc w:val="both"/>
        <w:rPr>
          <w:rFonts w:ascii="Arial;Helvetica;sans-serif" w:hAnsi="Arial;Helvetica;sans-serif"/>
          <w:sz w:val="22"/>
        </w:rPr>
      </w:pPr>
      <w:r>
        <w:rPr>
          <w:rFonts w:ascii="Arial;Helvetica;sans-serif" w:hAnsi="Arial;Helvetica;sans-serif"/>
          <w:sz w:val="22"/>
        </w:rPr>
        <w:t>(e)acceleration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pStyle w:val="TextBody"/>
        <w:spacing w:before="0" w:after="240"/>
        <w:ind w:left="0" w:right="0" w:hanging="0"/>
        <w:jc w:val="both"/>
        <w:rPr>
          <w:rFonts w:ascii="Times New Roman;Times;serif" w:hAnsi="Times New Roman;Times;serif"/>
          <w:sz w:val="20"/>
        </w:rPr>
      </w:pPr>
      <w:r>
        <w:rPr>
          <w:rFonts w:ascii="Arial;Helvetica;sans-serif" w:hAnsi="Arial;Helvetica;sans-serif"/>
          <w:sz w:val="22"/>
        </w:rPr>
        <w:t>Notwithstanding Section 7.2(b), if</w:t>
      </w:r>
      <w:r>
        <w:rPr>
          <w:rFonts w:ascii="Times New Roman;Times;serif" w:hAnsi="Times New Roman;Times;serif"/>
          <w:sz w:val="20"/>
        </w:rPr>
        <w:t xml:space="preserve"> </w:t>
      </w:r>
      <w:r>
        <w:rPr>
          <w:rFonts w:ascii="Arial;Helvetica;sans-serif" w:hAnsi="Arial;Helvetica;sans-serif"/>
          <w:sz w:val="23"/>
        </w:rPr>
        <w:t xml:space="preserve">the </w:t>
      </w:r>
      <w:r>
        <w:rPr>
          <w:rFonts w:ascii="Arial;Helvetica;sans-serif" w:hAnsi="Arial;Helvetica;sans-serif"/>
          <w:sz w:val="22"/>
        </w:rPr>
        <w:t>Company determines, in its sole discretion, that the payment of the COBRA premiums would result in a violation of the nondiscrimination rules of Section 105(h)(2) of the Internal Revenue Code of 1986, as amended (the “</w:t>
      </w:r>
      <w:r>
        <w:rPr>
          <w:rFonts w:ascii="Arial;Helvetica;sans-serif" w:hAnsi="Arial;Helvetica;sans-serif"/>
          <w:sz w:val="22"/>
          <w:u w:val="single"/>
        </w:rPr>
        <w:t>Code</w:t>
      </w:r>
      <w:r>
        <w:rPr>
          <w:rFonts w:ascii="Times New Roman;Times;serif" w:hAnsi="Times New Roman;Times;serif"/>
          <w:sz w:val="20"/>
        </w:rPr>
        <w:t>”</w:t>
      </w:r>
      <w:r>
        <w:rPr>
          <w:rFonts w:ascii="Arial;Helvetica;sans-serif" w:hAnsi="Arial;Helvetica;sans-serif"/>
          <w:sz w:val="22"/>
        </w:rPr>
        <w:t xml:space="preserve">), or any statute or regulation of similar effect (including but not limited to the 2010 Patient Protection and Affordable Care Act, as amended by the 2010 Health Care and Education Reconciliation Act), then in lieu of providing the COBRA premiums, </w:t>
      </w:r>
      <w:r>
        <w:rPr>
          <w:rFonts w:ascii="Arial;Helvetica;sans-serif" w:hAnsi="Arial;Helvetica;sans-serif"/>
          <w:sz w:val="23"/>
        </w:rPr>
        <w:t xml:space="preserve">the </w:t>
      </w:r>
      <w:r>
        <w:rPr>
          <w:rFonts w:ascii="Arial;Helvetica;sans-serif" w:hAnsi="Arial;Helvetica;sans-serif"/>
          <w:sz w:val="22"/>
        </w:rPr>
        <w:t>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Helvetica;sans-serif" w:hAnsi="Arial;Helvetica;sans-serif"/>
          <w:sz w:val="22"/>
          <w:u w:val="single"/>
        </w:rPr>
        <w:t>Special Severance Payment</w:t>
      </w:r>
      <w:r>
        <w:rPr>
          <w:rFonts w:ascii="Arial;Helvetica;sans-serif" w:hAnsi="Arial;Helvetica;sans-serif"/>
          <w:sz w:val="22"/>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7.3</w:t>
      </w:r>
      <w:r>
        <w:rPr>
          <w:rFonts w:ascii="Arial;Helvetica;sans-serif" w:hAnsi="Arial;Helvetica;sans-serif"/>
          <w:color w:val="1F1F1F"/>
          <w:sz w:val="22"/>
          <w:u w:val="single"/>
        </w:rPr>
        <w:t>Voluntary Resignation by Executive for Good Reason</w:t>
      </w:r>
      <w:r>
        <w:rPr>
          <w:rFonts w:ascii="Arial;Helvetica;sans-serif" w:hAnsi="Arial;Helvetica;sans-serif"/>
          <w:color w:val="1F1F1F"/>
          <w:sz w:val="22"/>
        </w:rPr>
        <w:t xml:space="preserve">. Executive may voluntarily resign Executive's position with </w:t>
      </w:r>
      <w:r>
        <w:rPr>
          <w:rFonts w:ascii="Arial;Helvetica;sans-serif" w:hAnsi="Arial;Helvetica;sans-serif"/>
          <w:sz w:val="22"/>
        </w:rPr>
        <w:t xml:space="preserve">the </w:t>
      </w:r>
      <w:r>
        <w:rPr>
          <w:rFonts w:ascii="Arial;Helvetica;sans-serif" w:hAnsi="Arial;Helvetica;sans-serif"/>
          <w:color w:val="1F1F1F"/>
          <w:sz w:val="22"/>
        </w:rPr>
        <w:t xml:space="preserve">Company for Good Reason at any time on thirty (30) days' advance written notice to </w:t>
      </w:r>
      <w:r>
        <w:rPr>
          <w:rFonts w:ascii="Arial;Helvetica;sans-serif" w:hAnsi="Arial;Helvetica;sans-serif"/>
          <w:sz w:val="22"/>
        </w:rPr>
        <w:t xml:space="preserve">the </w:t>
      </w:r>
      <w:r>
        <w:rPr>
          <w:rFonts w:ascii="Arial;Helvetica;sans-serif" w:hAnsi="Arial;Helvetica;sans-serif"/>
          <w:color w:val="1F1F1F"/>
          <w:sz w:val="22"/>
        </w:rPr>
        <w:t>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Arial;Helvetica;sans-serif" w:hAnsi="Arial;Helvetica;sans-serif"/>
          <w:color w:val="1F1F1F"/>
          <w:sz w:val="22"/>
        </w:rPr>
        <w:t xml:space="preserve">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w:t>
      </w:r>
      <w:r>
        <w:rPr>
          <w:rFonts w:ascii="Arial;Helvetica;sans-serif" w:hAnsi="Arial;Helvetica;sans-serif"/>
          <w:sz w:val="22"/>
        </w:rPr>
        <w:t>14</w:t>
      </w:r>
      <w:r>
        <w:rPr>
          <w:rFonts w:ascii="Arial;Helvetica;sans-serif" w:hAnsi="Arial;Helvetica;sans-serif"/>
          <w:color w:val="1F1F1F"/>
          <w:sz w:val="22"/>
        </w:rPr>
        <w:t>.8. Executive will be deemed to have resigned for Good Reason if Executive voluntarily terminates Executive's employment with</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within ninety (90) days following the first occurrence of a condition constituting Good Reason. “</w:t>
      </w:r>
      <w:r>
        <w:rPr>
          <w:rFonts w:ascii="Arial;Helvetica;sans-serif" w:hAnsi="Arial;Helvetica;sans-serif"/>
          <w:color w:val="1F1F1F"/>
          <w:sz w:val="22"/>
          <w:u w:val="single"/>
        </w:rPr>
        <w:t>Good Reason</w:t>
      </w:r>
      <w:r>
        <w:rPr>
          <w:rFonts w:ascii="Times New Roman;Times;serif" w:hAnsi="Times New Roman;Times;serif"/>
          <w:color w:val="1F1F1F"/>
          <w:sz w:val="20"/>
        </w:rPr>
        <w:t xml:space="preserve">” </w:t>
      </w:r>
      <w:r>
        <w:rPr>
          <w:rFonts w:ascii="Arial;Helvetica;sans-serif" w:hAnsi="Arial;Helvetica;sans-serif"/>
          <w:color w:val="1F1F1F"/>
          <w:sz w:val="22"/>
        </w:rPr>
        <w:t xml:space="preserve">means the occurrence of any of the following conditions without Executive's written consent, which condition(s) remain(s) in effect thirty (30) days after Executive provides written notice to </w:t>
      </w:r>
      <w:r>
        <w:rPr>
          <w:rFonts w:ascii="Arial;Helvetica;sans-serif" w:hAnsi="Arial;Helvetica;sans-serif"/>
          <w:sz w:val="22"/>
        </w:rPr>
        <w:t xml:space="preserve">the </w:t>
      </w:r>
      <w:r>
        <w:rPr>
          <w:rFonts w:ascii="Arial;Helvetica;sans-serif" w:hAnsi="Arial;Helvetica;sans-serif"/>
          <w:color w:val="1F1F1F"/>
          <w:sz w:val="22"/>
        </w:rPr>
        <w:t xml:space="preserve">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w:t>
      </w:r>
      <w:r>
        <w:rPr>
          <w:rFonts w:ascii="Arial;Helvetica;sans-serif" w:hAnsi="Arial;Helvetica;sans-serif"/>
          <w:sz w:val="22"/>
        </w:rPr>
        <w:t xml:space="preserve">the </w:t>
      </w:r>
      <w:r>
        <w:rPr>
          <w:rFonts w:ascii="Arial;Helvetica;sans-serif" w:hAnsi="Arial;Helvetica;sans-serif"/>
          <w:color w:val="1F1F1F"/>
          <w:sz w:val="22"/>
        </w:rPr>
        <w:t xml:space="preserve">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w:t>
      </w:r>
      <w:r>
        <w:rPr>
          <w:rFonts w:ascii="Arial;Helvetica;sans-serif" w:hAnsi="Arial;Helvetica;sans-serif"/>
          <w:sz w:val="22"/>
        </w:rPr>
        <w:t xml:space="preserve">the </w:t>
      </w:r>
      <w:r>
        <w:rPr>
          <w:rFonts w:ascii="Arial;Helvetica;sans-serif" w:hAnsi="Arial;Helvetica;sans-serif"/>
          <w:color w:val="1F1F1F"/>
          <w:sz w:val="22"/>
        </w:rPr>
        <w:t>Company of Executive's intent to exercise Executive's rights pursuant to this Section within thirty (30) days following the first occurrence of such condition(s).</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7.4</w:t>
      </w:r>
      <w:r>
        <w:rPr>
          <w:rFonts w:ascii="Arial;Helvetica;sans-serif" w:hAnsi="Arial;Helvetica;sans-serif"/>
          <w:color w:val="1F1F1F"/>
          <w:sz w:val="22"/>
          <w:u w:val="single"/>
        </w:rPr>
        <w:t>Voluntary Resignation by Executive Without Good Reason</w:t>
      </w:r>
      <w:r>
        <w:rPr>
          <w:rFonts w:ascii="Arial;Helvetica;sans-serif" w:hAnsi="Arial;Helvetica;sans-serif"/>
          <w:color w:val="1F1F1F"/>
          <w:sz w:val="22"/>
        </w:rPr>
        <w:t xml:space="preserve">. Executive may voluntarily resign Executive's position with </w:t>
      </w:r>
      <w:r>
        <w:rPr>
          <w:rFonts w:ascii="Arial;Helvetica;sans-serif" w:hAnsi="Arial;Helvetica;sans-serif"/>
          <w:sz w:val="22"/>
        </w:rPr>
        <w:t xml:space="preserve">the </w:t>
      </w:r>
      <w:r>
        <w:rPr>
          <w:rFonts w:ascii="Arial;Helvetica;sans-serif" w:hAnsi="Arial;Helvetica;sans-serif"/>
          <w:color w:val="1F1F1F"/>
          <w:sz w:val="22"/>
        </w:rPr>
        <w:t xml:space="preserve">Company without Good Reason at any time on thirty (30) days' advance written notice to </w:t>
      </w:r>
      <w:r>
        <w:rPr>
          <w:rFonts w:ascii="Arial;Helvetica;sans-serif" w:hAnsi="Arial;Helvetica;sans-serif"/>
          <w:sz w:val="22"/>
        </w:rPr>
        <w:t xml:space="preserve">the </w:t>
      </w:r>
      <w:r>
        <w:rPr>
          <w:rFonts w:ascii="Arial;Helvetica;sans-serif" w:hAnsi="Arial;Helvetica;sans-serif"/>
          <w:color w:val="1F1F1F"/>
          <w:sz w:val="22"/>
        </w:rPr>
        <w:t>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w:t>
      </w:r>
      <w:r>
        <w:rPr>
          <w:rFonts w:ascii="Times New Roman;Times;serif" w:hAnsi="Times New Roman;Times;serif"/>
          <w:sz w:val="20"/>
        </w:rPr>
        <w:t> </w:t>
      </w:r>
      <w:r>
        <w:rPr>
          <w:rFonts w:ascii="Arial;Helvetica;sans-serif" w:hAnsi="Arial;Helvetica;sans-serif"/>
          <w:sz w:val="22"/>
        </w:rPr>
        <w:t>14</w:t>
      </w:r>
      <w:r>
        <w:rPr>
          <w:rFonts w:ascii="Arial;Helvetica;sans-serif" w:hAnsi="Arial;Helvetica;sans-serif"/>
          <w:color w:val="1F1F1F"/>
          <w:sz w:val="22"/>
        </w:rPr>
        <w:t>.8.</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7.5</w:t>
      </w:r>
      <w:r>
        <w:rPr>
          <w:rFonts w:ascii="Arial;Helvetica;sans-serif" w:hAnsi="Arial;Helvetica;sans-serif"/>
          <w:color w:val="1F1F1F"/>
          <w:sz w:val="22"/>
          <w:u w:val="single"/>
        </w:rPr>
        <w:t>Termination After a Change in Control</w:t>
      </w:r>
      <w:r>
        <w:rPr>
          <w:rFonts w:ascii="Arial;Helvetica;sans-serif" w:hAnsi="Arial;Helvetica;sans-serif"/>
          <w:color w:val="1F1F1F"/>
          <w:sz w:val="22"/>
        </w:rPr>
        <w:t>.</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(a)</w:t>
      </w:r>
      <w:r>
        <w:rPr>
          <w:rFonts w:ascii="Arial;Helvetica;sans-serif" w:hAnsi="Arial;Helvetica;sans-serif"/>
          <w:color w:val="1F1F1F"/>
          <w:sz w:val="22"/>
          <w:u w:val="single"/>
        </w:rPr>
        <w:t>Severance Payment; Equity Award Acceleration.</w:t>
      </w:r>
      <w:r>
        <w:rPr>
          <w:rFonts w:ascii="Times New Roman;Times;serif" w:hAnsi="Times New Roman;Times;serif"/>
          <w:color w:val="1F1F1F"/>
          <w:sz w:val="20"/>
        </w:rPr>
        <w:t xml:space="preserve"> </w:t>
      </w:r>
      <w:r>
        <w:rPr>
          <w:rFonts w:ascii="Arial;Helvetica;sans-serif" w:hAnsi="Arial;Helvetica;sans-serif"/>
          <w:color w:val="1F1F1F"/>
          <w:sz w:val="22"/>
        </w:rPr>
        <w:t xml:space="preserve">If, upon or within twelve (12) months after a Change in Control (as that term is defined below), Executive’s employment is terminated by </w:t>
      </w:r>
      <w:r>
        <w:rPr>
          <w:rFonts w:ascii="Arial;Helvetica;sans-serif" w:hAnsi="Arial;Helvetica;sans-serif"/>
          <w:sz w:val="22"/>
        </w:rPr>
        <w:t xml:space="preserve">the </w:t>
      </w:r>
      <w:r>
        <w:rPr>
          <w:rFonts w:ascii="Arial;Helvetica;sans-serif" w:hAnsi="Arial;Helvetica;sans-serif"/>
          <w:color w:val="1F1F1F"/>
          <w:sz w:val="22"/>
        </w:rPr>
        <w:t xml:space="preserve">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w:t>
      </w:r>
      <w:r>
        <w:rPr>
          <w:rFonts w:ascii="Arial;Helvetica;sans-serif" w:hAnsi="Arial;Helvetica;sans-serif"/>
          <w:sz w:val="22"/>
        </w:rPr>
        <w:t xml:space="preserve">the </w:t>
      </w:r>
      <w:r>
        <w:rPr>
          <w:rFonts w:ascii="Arial;Helvetica;sans-serif" w:hAnsi="Arial;Helvetica;sans-serif"/>
          <w:color w:val="1F1F1F"/>
          <w:sz w:val="22"/>
        </w:rPr>
        <w:t>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w:t>
      </w:r>
      <w:r>
        <w:rPr>
          <w:rFonts w:ascii="Times New Roman;Times;serif" w:hAnsi="Times New Roman;Times;serif"/>
          <w:sz w:val="20"/>
        </w:rPr>
        <w:t> </w:t>
      </w:r>
      <w:r>
        <w:rPr>
          <w:rFonts w:ascii="Arial;Helvetica;sans-serif" w:hAnsi="Arial;Helvetica;sans-serif"/>
          <w:sz w:val="22"/>
        </w:rPr>
        <w:t>14</w:t>
      </w:r>
      <w:r>
        <w:rPr>
          <w:rFonts w:ascii="Arial;Helvetica;sans-serif" w:hAnsi="Arial;Helvetica;sans-serif"/>
          <w:color w:val="1F1F1F"/>
          <w:sz w:val="22"/>
        </w:rPr>
        <w:t>.8.</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(b)</w:t>
      </w:r>
      <w:r>
        <w:rPr>
          <w:rFonts w:ascii="Arial;Helvetica;sans-serif" w:hAnsi="Arial;Helvetica;sans-serif"/>
          <w:color w:val="1F1F1F"/>
          <w:sz w:val="22"/>
          <w:u w:val="single"/>
        </w:rPr>
        <w:t>Parachute Payments</w:t>
      </w:r>
      <w:r>
        <w:rPr>
          <w:rFonts w:ascii="Arial;Helvetica;sans-serif" w:hAnsi="Arial;Helvetica;sans-serif"/>
          <w:color w:val="1F1F1F"/>
          <w:sz w:val="22"/>
        </w:rPr>
        <w:t>.</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w:t>
      </w:r>
      <w:r>
        <w:rPr>
          <w:rFonts w:ascii="Arial;Helvetica;sans-serif" w:hAnsi="Arial;Helvetica;sans-serif"/>
          <w:color w:val="1F1F1F"/>
          <w:sz w:val="22"/>
        </w:rPr>
        <w:t>Notwithstanding any provision of this Agreement to the contrary, if any payment or benefit Executive would receive pursuant to this Agreement or otherwise (collectively, the “</w:t>
      </w:r>
      <w:r>
        <w:rPr>
          <w:rFonts w:ascii="Arial;Helvetica;sans-serif" w:hAnsi="Arial;Helvetica;sans-serif"/>
          <w:color w:val="1F1F1F"/>
          <w:sz w:val="22"/>
          <w:u w:val="single"/>
        </w:rPr>
        <w:t>Payments”</w:t>
      </w:r>
      <w:r>
        <w:rPr>
          <w:rFonts w:ascii="Arial;Helvetica;sans-serif" w:hAnsi="Arial;Helvetica;sans-serif"/>
          <w:color w:val="1F1F1F"/>
          <w:sz w:val="22"/>
        </w:rPr>
        <w:t>) would constitute a “parachute payment” within the meaning of Section 280G of the Code, and, but for this sentence, would be subject to the excise tax imposed by Section 4999 of the Code or any similar or successor provision (the “</w:t>
      </w:r>
      <w:r>
        <w:rPr>
          <w:rFonts w:ascii="Arial;Helvetica;sans-serif" w:hAnsi="Arial;Helvetica;sans-serif"/>
          <w:color w:val="1F1F1F"/>
          <w:sz w:val="22"/>
          <w:u w:val="single"/>
        </w:rPr>
        <w:t>Excise Tax</w:t>
      </w:r>
      <w:r>
        <w:rPr>
          <w:rFonts w:ascii="Times New Roman;Times;serif" w:hAnsi="Times New Roman;Times;serif"/>
          <w:color w:val="1F1F1F"/>
          <w:sz w:val="20"/>
        </w:rPr>
        <w:t>”</w:t>
      </w:r>
      <w:r>
        <w:rPr>
          <w:rFonts w:ascii="Arial;Helvetica;sans-serif" w:hAnsi="Arial;Helvetica;sans-serif"/>
          <w:color w:val="1F1F1F"/>
          <w:sz w:val="22"/>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color w:val="1F1F1F"/>
          <w:sz w:val="22"/>
        </w:rPr>
      </w:pPr>
      <w:r>
        <w:rPr>
          <w:rFonts w:ascii="Arial;Helvetica;sans-serif" w:hAnsi="Arial;Helvetica;sans-serif"/>
          <w:color w:val="1F1F1F"/>
          <w:sz w:val="22"/>
        </w:rPr>
        <w:t>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(ii)</w:t>
      </w:r>
      <w:r>
        <w:rPr>
          <w:rFonts w:ascii="Arial;Helvetica;sans-serif" w:hAnsi="Arial;Helvetica;sans-serif"/>
          <w:color w:val="1F1F1F"/>
          <w:sz w:val="22"/>
        </w:rPr>
        <w:t>The professional firm engaged by</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for general tax purposes as of the day prior to the date of the event that might reasonably be anticipated to result in Payments that would otherwise be subject to the Excise Tax will perform the foregoing calculations. If the tax firm so engaged by </w:t>
      </w:r>
      <w:r>
        <w:rPr>
          <w:rFonts w:ascii="Arial;Helvetica;sans-serif" w:hAnsi="Arial;Helvetica;sans-serif"/>
          <w:sz w:val="22"/>
        </w:rPr>
        <w:t xml:space="preserve">the </w:t>
      </w:r>
      <w:r>
        <w:rPr>
          <w:rFonts w:ascii="Arial;Helvetica;sans-serif" w:hAnsi="Arial;Helvetica;sans-serif"/>
          <w:color w:val="1F1F1F"/>
          <w:sz w:val="22"/>
        </w:rPr>
        <w:t>Company is serving as accountant or auditor for the acquiring company,</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will appoint a nationally recognized tax firm to make the determinations required by this Section. </w:t>
      </w:r>
      <w:r>
        <w:rPr>
          <w:rFonts w:ascii="Arial;Helvetica;sans-serif" w:hAnsi="Arial;Helvetica;sans-serif"/>
          <w:sz w:val="22"/>
        </w:rPr>
        <w:t xml:space="preserve">The </w:t>
      </w:r>
      <w:r>
        <w:rPr>
          <w:rFonts w:ascii="Arial;Helvetica;sans-serif" w:hAnsi="Arial;Helvetica;sans-serif"/>
          <w:color w:val="1F1F1F"/>
          <w:sz w:val="22"/>
        </w:rPr>
        <w:t xml:space="preserve">Company will bear all expenses with respect to the determinations by the tax firm required to be made by this Section. </w:t>
      </w:r>
      <w:r>
        <w:rPr>
          <w:rFonts w:ascii="Arial;Helvetica;sans-serif" w:hAnsi="Arial;Helvetica;sans-serif"/>
          <w:sz w:val="22"/>
        </w:rPr>
        <w:t xml:space="preserve">The </w:t>
      </w:r>
      <w:r>
        <w:rPr>
          <w:rFonts w:ascii="Arial;Helvetica;sans-serif" w:hAnsi="Arial;Helvetica;sans-serif"/>
          <w:color w:val="1F1F1F"/>
          <w:sz w:val="22"/>
        </w:rPr>
        <w:t xml:space="preserve">Company and Executive shall furnish the tax firm such information and documents as the tax firm may reasonably request in order to make its required determination. The tax firm will provide its calculations, together with detailed supporting documentation, to </w:t>
      </w:r>
      <w:r>
        <w:rPr>
          <w:rFonts w:ascii="Arial;Helvetica;sans-serif" w:hAnsi="Arial;Helvetica;sans-serif"/>
          <w:sz w:val="22"/>
        </w:rPr>
        <w:t xml:space="preserve">the </w:t>
      </w:r>
      <w:r>
        <w:rPr>
          <w:rFonts w:ascii="Arial;Helvetica;sans-serif" w:hAnsi="Arial;Helvetica;sans-serif"/>
          <w:color w:val="1F1F1F"/>
          <w:sz w:val="22"/>
        </w:rPr>
        <w:t xml:space="preserve">Company and Executive as soon as practicable following its engagement. Any good faith determinations of the tax firm made hereunder will be final, binding and conclusive upon </w:t>
      </w:r>
      <w:r>
        <w:rPr>
          <w:rFonts w:ascii="Arial;Helvetica;sans-serif" w:hAnsi="Arial;Helvetica;sans-serif"/>
          <w:sz w:val="22"/>
        </w:rPr>
        <w:t xml:space="preserve">the </w:t>
      </w:r>
      <w:r>
        <w:rPr>
          <w:rFonts w:ascii="Arial;Helvetica;sans-serif" w:hAnsi="Arial;Helvetica;sans-serif"/>
          <w:color w:val="1F1F1F"/>
          <w:sz w:val="22"/>
        </w:rPr>
        <w:t>Company and Executive.</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(c)</w:t>
      </w:r>
      <w:r>
        <w:rPr>
          <w:rFonts w:ascii="Arial;Helvetica;sans-serif" w:hAnsi="Arial;Helvetica;sans-serif"/>
          <w:color w:val="1F1F1F"/>
          <w:sz w:val="22"/>
          <w:u w:val="single"/>
        </w:rPr>
        <w:t>Change in Control</w:t>
      </w:r>
      <w:r>
        <w:rPr>
          <w:rFonts w:ascii="Arial;Helvetica;sans-serif" w:hAnsi="Arial;Helvetica;sans-serif"/>
          <w:color w:val="1F1F1F"/>
          <w:sz w:val="22"/>
        </w:rPr>
        <w:t>. A Change in Control is defined as any one of the following occurrences:</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w:t>
      </w:r>
      <w:r>
        <w:rPr>
          <w:rFonts w:ascii="Arial;Helvetica;sans-serif" w:hAnsi="Arial;Helvetica;sans-serif"/>
          <w:color w:val="1F1F1F"/>
          <w:sz w:val="22"/>
        </w:rPr>
        <w:t>Any “person” (as such term is used in Sections 13(d) and 14(d) of the Securities Exchange Act of 1934 (the “</w:t>
      </w:r>
      <w:r>
        <w:rPr>
          <w:rFonts w:ascii="Arial;Helvetica;sans-serif" w:hAnsi="Arial;Helvetica;sans-serif"/>
          <w:color w:val="1F1F1F"/>
          <w:sz w:val="22"/>
          <w:u w:val="single"/>
        </w:rPr>
        <w:t>Exchange Act</w:t>
      </w:r>
      <w:r>
        <w:rPr>
          <w:rFonts w:ascii="Times New Roman;Times;serif" w:hAnsi="Times New Roman;Times;serif"/>
          <w:color w:val="1F1F1F"/>
          <w:sz w:val="20"/>
        </w:rPr>
        <w:t>”</w:t>
      </w:r>
      <w:r>
        <w:rPr>
          <w:rFonts w:ascii="Arial;Helvetica;sans-serif" w:hAnsi="Arial;Helvetica;sans-serif"/>
          <w:color w:val="1F1F1F"/>
          <w:sz w:val="22"/>
        </w:rPr>
        <w:t>)), becomes the “beneficial owner” (as such term is defined in Rule 13d-3 promulgated under the Exchange Act), directly or indirectly, of securities of</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representing more than fifty percent (50%) of the total fair market value or total combined voting power of </w:t>
      </w:r>
      <w:r>
        <w:rPr>
          <w:rFonts w:ascii="Arial;Helvetica;sans-serif" w:hAnsi="Arial;Helvetica;sans-serif"/>
          <w:sz w:val="22"/>
        </w:rPr>
        <w:t xml:space="preserve">the </w:t>
      </w:r>
      <w:r>
        <w:rPr>
          <w:rFonts w:ascii="Arial;Helvetica;sans-serif" w:hAnsi="Arial;Helvetica;sans-serif"/>
          <w:color w:val="1F1F1F"/>
          <w:sz w:val="22"/>
        </w:rPr>
        <w:t>Company’s then 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including, without limitation, pursuant to or in connection with a public offering of securities, (C) any acquisition of securities by </w:t>
      </w:r>
      <w:r>
        <w:rPr>
          <w:rFonts w:ascii="Arial;Helvetica;sans-serif" w:hAnsi="Arial;Helvetica;sans-serif"/>
          <w:sz w:val="22"/>
        </w:rPr>
        <w:t xml:space="preserve">the </w:t>
      </w:r>
      <w:r>
        <w:rPr>
          <w:rFonts w:ascii="Arial;Helvetica;sans-serif" w:hAnsi="Arial;Helvetica;sans-serif"/>
          <w:color w:val="1F1F1F"/>
          <w:sz w:val="22"/>
        </w:rPr>
        <w:t xml:space="preserve">Company, (D) any acquisition of securities by a trustee or other fiduciary under an employee benefit plan of </w:t>
      </w:r>
      <w:r>
        <w:rPr>
          <w:rFonts w:ascii="Arial;Helvetica;sans-serif" w:hAnsi="Arial;Helvetica;sans-serif"/>
          <w:sz w:val="22"/>
        </w:rPr>
        <w:t xml:space="preserve">the </w:t>
      </w:r>
      <w:r>
        <w:rPr>
          <w:rFonts w:ascii="Arial;Helvetica;sans-serif" w:hAnsi="Arial;Helvetica;sans-serif"/>
          <w:color w:val="1F1F1F"/>
          <w:sz w:val="22"/>
        </w:rPr>
        <w:t xml:space="preserve">Company, or (E) any acquisition of securities by an entity owned directly or indirectly by the stockholders of </w:t>
      </w:r>
      <w:r>
        <w:rPr>
          <w:rFonts w:ascii="Arial;Helvetica;sans-serif" w:hAnsi="Arial;Helvetica;sans-serif"/>
          <w:sz w:val="22"/>
        </w:rPr>
        <w:t xml:space="preserve">the </w:t>
      </w:r>
      <w:r>
        <w:rPr>
          <w:rFonts w:ascii="Arial;Helvetica;sans-serif" w:hAnsi="Arial;Helvetica;sans-serif"/>
          <w:color w:val="1F1F1F"/>
          <w:sz w:val="22"/>
        </w:rPr>
        <w:t>Company in substantially the same proportions as their ownership of the voting securities of</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or</w:t>
      </w:r>
    </w:p>
    <w:p>
      <w:pPr>
        <w:pStyle w:val="TextBody"/>
        <w:spacing w:before="0" w:after="0"/>
        <w:ind w:left="0" w:right="0" w:firstLine="2880"/>
        <w:jc w:val="both"/>
        <w:rPr>
          <w:rFonts w:ascii="Times New Roman;Times;serif" w:hAnsi="Times New Roman;Times;serif"/>
          <w:sz w:val="20"/>
        </w:rPr>
      </w:pPr>
      <w:r>
        <w:rPr>
          <w:rFonts w:ascii="Arial;Helvetica;sans-serif" w:hAnsi="Arial;Helvetica;sans-serif"/>
          <w:color w:val="1F1F1F"/>
          <w:sz w:val="23"/>
        </w:rPr>
        <w:t>(ii)</w:t>
      </w:r>
      <w:r>
        <w:rPr>
          <w:rFonts w:ascii="Arial;Helvetica;sans-serif" w:hAnsi="Arial;Helvetica;sans-serif"/>
          <w:color w:val="1F1F1F"/>
          <w:sz w:val="22"/>
        </w:rPr>
        <w:t xml:space="preserve">the sale or disposition of all or substantially all of </w:t>
      </w:r>
      <w:r>
        <w:rPr>
          <w:rFonts w:ascii="Arial;Helvetica;sans-serif" w:hAnsi="Arial;Helvetica;sans-serif"/>
          <w:sz w:val="22"/>
        </w:rPr>
        <w:t>the Company’s</w:t>
      </w:r>
      <w:r>
        <w:rPr>
          <w:rFonts w:ascii="Times New Roman;Times;serif" w:hAnsi="Times New Roman;Times;serif"/>
          <w:color w:val="1F1F1F"/>
          <w:sz w:val="20"/>
        </w:rPr>
        <w:t xml:space="preserve"> </w:t>
      </w:r>
      <w:r>
        <w:rPr>
          <w:rFonts w:ascii="Arial;Helvetica;sans-serif" w:hAnsi="Arial;Helvetica;sans-serif"/>
          <w:color w:val="1F1F1F"/>
          <w:sz w:val="22"/>
        </w:rPr>
        <w:t xml:space="preserve">assets (other than a sale or disposition to one or more subsidiaries of </w:t>
      </w:r>
      <w:r>
        <w:rPr>
          <w:rFonts w:ascii="Arial;Helvetica;sans-serif" w:hAnsi="Arial;Helvetica;sans-serif"/>
          <w:sz w:val="22"/>
        </w:rPr>
        <w:t xml:space="preserve">the </w:t>
      </w:r>
      <w:r>
        <w:rPr>
          <w:rFonts w:ascii="Arial;Helvetica;sans-serif" w:hAnsi="Arial;Helvetica;sans-serif"/>
          <w:color w:val="1F1F1F"/>
          <w:sz w:val="22"/>
        </w:rPr>
        <w:t>Company), or any transaction having similar effect is consummated; or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0"/>
        <w:ind w:left="0" w:right="0" w:hanging="0"/>
        <w:rPr/>
      </w:pPr>
      <w:r>
        <w:rPr/>
        <w:t>​</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(iii)</w:t>
      </w:r>
      <w:r>
        <w:rPr>
          <w:rFonts w:ascii="Arial;Helvetica;sans-serif" w:hAnsi="Arial;Helvetica;sans-serif"/>
          <w:sz w:val="22"/>
        </w:rPr>
        <w:t xml:space="preserve">the </w:t>
      </w:r>
      <w:r>
        <w:rPr>
          <w:rFonts w:ascii="Arial;Helvetica;sans-serif" w:hAnsi="Arial;Helvetica;sans-serif"/>
          <w:color w:val="1F1F1F"/>
          <w:sz w:val="22"/>
        </w:rPr>
        <w:t xml:space="preserve">Company is party to a merger or consolidation that results in the holders of voting securities of </w:t>
      </w:r>
      <w:r>
        <w:rPr>
          <w:rFonts w:ascii="Arial;Helvetica;sans-serif" w:hAnsi="Arial;Helvetica;sans-serif"/>
          <w:sz w:val="22"/>
        </w:rPr>
        <w:t xml:space="preserve">the </w:t>
      </w:r>
      <w:r>
        <w:rPr>
          <w:rFonts w:ascii="Arial;Helvetica;sans-serif" w:hAnsi="Arial;Helvetica;sans-serif"/>
          <w:color w:val="1F1F1F"/>
          <w:sz w:val="22"/>
        </w:rPr>
        <w:t xml:space="preserve">Company outstanding immediately prior thereto failing to continue to represent (either by remaining outstanding or by being converted into voting securities of the surviving entity) more than 50% of the combined voting power of the voting securities of </w:t>
      </w:r>
      <w:r>
        <w:rPr>
          <w:rFonts w:ascii="Arial;Helvetica;sans-serif" w:hAnsi="Arial;Helvetica;sans-serif"/>
          <w:sz w:val="22"/>
        </w:rPr>
        <w:t xml:space="preserve">the </w:t>
      </w:r>
      <w:r>
        <w:rPr>
          <w:rFonts w:ascii="Arial;Helvetica;sans-serif" w:hAnsi="Arial;Helvetica;sans-serif"/>
          <w:color w:val="1F1F1F"/>
          <w:sz w:val="22"/>
        </w:rPr>
        <w:t>Company or such surviving entity outstanding immediately after such merger or consolidation; or</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(iv)</w:t>
      </w:r>
      <w:r>
        <w:rPr>
          <w:rFonts w:ascii="Arial;Helvetica;sans-serif" w:hAnsi="Arial;Helvetica;sans-serif"/>
          <w:color w:val="1F1F1F"/>
          <w:sz w:val="22"/>
        </w:rPr>
        <w:t xml:space="preserve">the dissolution or liquidation of </w:t>
      </w:r>
      <w:r>
        <w:rPr>
          <w:rFonts w:ascii="Arial;Helvetica;sans-serif" w:hAnsi="Arial;Helvetica;sans-serif"/>
          <w:sz w:val="22"/>
        </w:rPr>
        <w:t xml:space="preserve">the </w:t>
      </w:r>
      <w:r>
        <w:rPr>
          <w:rFonts w:ascii="Arial;Helvetica;sans-serif" w:hAnsi="Arial;Helvetica;sans-serif"/>
          <w:color w:val="1F1F1F"/>
          <w:sz w:val="22"/>
        </w:rPr>
        <w:t>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7.6</w:t>
      </w:r>
      <w:r>
        <w:rPr>
          <w:rFonts w:ascii="Arial;Helvetica;sans-serif" w:hAnsi="Arial;Helvetica;sans-serif"/>
          <w:color w:val="1F1F1F"/>
          <w:sz w:val="22"/>
          <w:u w:val="single"/>
        </w:rPr>
        <w:t>Termination of Employment Upon Nonrenewal.</w:t>
      </w:r>
      <w:r>
        <w:rPr>
          <w:rFonts w:ascii="Times New Roman;Times;serif" w:hAnsi="Times New Roman;Times;serif"/>
          <w:color w:val="1F1F1F"/>
          <w:sz w:val="20"/>
        </w:rPr>
        <w:t xml:space="preserve"> </w:t>
      </w:r>
      <w:r>
        <w:rPr>
          <w:rFonts w:ascii="Arial;Helvetica;sans-serif" w:hAnsi="Arial;Helvetica;sans-serif"/>
          <w:color w:val="1F1F1F"/>
          <w:sz w:val="22"/>
        </w:rPr>
        <w:t xml:space="preserve">In the event either party decides not to renew this Agreement for a subsequent term in accordance with Section 3.2, this Agreement will expire automatically upon completion of the then effective Term, and Executive’s employment with </w:t>
      </w:r>
      <w:r>
        <w:rPr>
          <w:rFonts w:ascii="Arial;Helvetica;sans-serif" w:hAnsi="Arial;Helvetica;sans-serif"/>
          <w:sz w:val="22"/>
        </w:rPr>
        <w:t xml:space="preserve">the </w:t>
      </w:r>
      <w:r>
        <w:rPr>
          <w:rFonts w:ascii="Arial;Helvetica;sans-serif" w:hAnsi="Arial;Helvetica;sans-serif"/>
          <w:color w:val="1F1F1F"/>
          <w:sz w:val="22"/>
        </w:rPr>
        <w:t>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w:t>
      </w:r>
      <w:r>
        <w:rPr>
          <w:rFonts w:ascii="Times New Roman;Times;serif" w:hAnsi="Times New Roman;Times;serif"/>
          <w:sz w:val="20"/>
        </w:rPr>
        <w:t> </w:t>
      </w:r>
      <w:r>
        <w:rPr>
          <w:rFonts w:ascii="Arial;Helvetica;sans-serif" w:hAnsi="Arial;Helvetica;sans-serif"/>
          <w:sz w:val="22"/>
        </w:rPr>
        <w:t>14</w:t>
      </w:r>
      <w:r>
        <w:rPr>
          <w:rFonts w:ascii="Arial;Helvetica;sans-serif" w:hAnsi="Arial;Helvetica;sans-serif"/>
          <w:color w:val="1F1F1F"/>
          <w:sz w:val="22"/>
        </w:rPr>
        <w:t>.8.</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7.7</w:t>
      </w:r>
      <w:r>
        <w:rPr>
          <w:rFonts w:ascii="Arial;Helvetica;sans-serif" w:hAnsi="Arial;Helvetica;sans-serif"/>
          <w:color w:val="1F1F1F"/>
          <w:sz w:val="22"/>
          <w:u w:val="single"/>
        </w:rPr>
        <w:t>Conditions to Severance Package</w:t>
      </w:r>
      <w:r>
        <w:rPr>
          <w:rFonts w:ascii="Arial;Helvetica;sans-serif" w:hAnsi="Arial;Helvetica;sans-serif"/>
          <w:color w:val="1F1F1F"/>
          <w:sz w:val="22"/>
        </w:rPr>
        <w:t xml:space="preserve">. Executive will only be entitled to receive the Severance Package if, on or before the 60th day following the Termination Date, Executive executes a full general release, releasing all claims, known or unknown, that Executive may have against </w:t>
      </w:r>
      <w:r>
        <w:rPr>
          <w:rFonts w:ascii="Arial;Helvetica;sans-serif" w:hAnsi="Arial;Helvetica;sans-serif"/>
          <w:sz w:val="22"/>
        </w:rPr>
        <w:t xml:space="preserve">the </w:t>
      </w:r>
      <w:r>
        <w:rPr>
          <w:rFonts w:ascii="Arial;Helvetica;sans-serif" w:hAnsi="Arial;Helvetica;sans-serif"/>
          <w:color w:val="1F1F1F"/>
          <w:sz w:val="22"/>
        </w:rPr>
        <w:t>Company and its officers, directors, employees and affiliated companies arising out of or any way related to Executive's employment or termination of employment with</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w:t>
      </w:r>
      <w:r>
        <w:rPr>
          <w:rFonts w:ascii="Arial;Helvetica;sans-serif" w:hAnsi="Arial;Helvetica;sans-serif"/>
          <w:sz w:val="22"/>
        </w:rPr>
        <w:t xml:space="preserve">the </w:t>
      </w:r>
      <w:r>
        <w:rPr>
          <w:rFonts w:ascii="Arial;Helvetica;sans-serif" w:hAnsi="Arial;Helvetica;sans-serif"/>
          <w:color w:val="1F1F1F"/>
          <w:sz w:val="22"/>
        </w:rPr>
        <w:t>Company shall have the right to (a) terminate further provision of any portion of the Severance Package not yet paid or provided, (b) seek reimbursement from Executive for any and all portions of the Severance Package previously paid or provided to Executive</w:t>
      </w:r>
      <w:r>
        <w:rPr>
          <w:rFonts w:ascii="Arial;Helvetica;sans-serif" w:hAnsi="Arial;Helvetica;sans-serif"/>
          <w:sz w:val="22"/>
        </w:rPr>
        <w:t>,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7.8</w:t>
      </w:r>
      <w:r>
        <w:rPr>
          <w:rFonts w:ascii="Arial;Helvetica;sans-serif" w:hAnsi="Arial;Helvetica;sans-serif"/>
          <w:color w:val="1F1F1F"/>
          <w:sz w:val="22"/>
          <w:u w:val="single"/>
        </w:rPr>
        <w:t>Resignation of Board or Other Positions</w:t>
      </w:r>
      <w:r>
        <w:rPr>
          <w:rFonts w:ascii="Arial;Helvetica;sans-serif" w:hAnsi="Arial;Helvetica;sans-serif"/>
          <w:color w:val="1F1F1F"/>
          <w:sz w:val="22"/>
        </w:rPr>
        <w:t xml:space="preserve">. Executive agrees that should Executive's employment terminate for any reason, Executive will immediately resign all other positions (including board membership) Executive may hold on behalf of </w:t>
      </w:r>
      <w:r>
        <w:rPr>
          <w:rFonts w:ascii="Arial;Helvetica;sans-serif" w:hAnsi="Arial;Helvetica;sans-serif"/>
          <w:sz w:val="22"/>
        </w:rPr>
        <w:t xml:space="preserve">the </w:t>
      </w:r>
      <w:r>
        <w:rPr>
          <w:rFonts w:ascii="Arial;Helvetica;sans-serif" w:hAnsi="Arial;Helvetica;sans-serif"/>
          <w:color w:val="1F1F1F"/>
          <w:sz w:val="22"/>
        </w:rPr>
        <w:t>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7.9</w:t>
      </w:r>
      <w:r>
        <w:rPr>
          <w:rFonts w:ascii="Arial;Helvetica;sans-serif" w:hAnsi="Arial;Helvetica;sans-serif"/>
          <w:color w:val="1F1F1F"/>
          <w:sz w:val="22"/>
          <w:u w:val="single"/>
        </w:rPr>
        <w:t>Application of Section 409A</w:t>
      </w:r>
      <w:r>
        <w:rPr>
          <w:rFonts w:ascii="Arial;Helvetica;sans-serif" w:hAnsi="Arial;Helvetica;sans-serif"/>
          <w:color w:val="1F1F1F"/>
          <w:sz w:val="22"/>
        </w:rPr>
        <w:t>.</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(a)Notwithstanding anything set forth in this Agreement to the contrary, no amount payable pursuant to this Agreement on account of Executive's termination of employment with</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which constitutes a “deferral of compensation” within the meaning of the Treasury Regulations issued pursuant to Section 409A of the Code (the “</w:t>
      </w:r>
      <w:r>
        <w:rPr>
          <w:rFonts w:ascii="Arial;Helvetica;sans-serif" w:hAnsi="Arial;Helvetica;sans-serif"/>
          <w:color w:val="1F1F1F"/>
          <w:sz w:val="22"/>
          <w:u w:val="single"/>
        </w:rPr>
        <w:t>Section 409A Regulations”</w:t>
      </w:r>
      <w:r>
        <w:rPr>
          <w:rFonts w:ascii="Arial;Helvetica;sans-serif" w:hAnsi="Arial;Helvetica;sans-serif"/>
          <w:color w:val="1F1F1F"/>
          <w:sz w:val="22"/>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Arial;Helvetica;sans-serif" w:hAnsi="Arial;Helvetica;sans-serif"/>
          <w:color w:val="1F1F1F"/>
          <w:sz w:val="22"/>
        </w:rPr>
        <w:t>on account of Executive's separation from service shall be paid to Executive before the date (the “</w:t>
      </w:r>
      <w:r>
        <w:rPr>
          <w:rFonts w:ascii="Arial;Helvetica;sans-serif" w:hAnsi="Arial;Helvetica;sans-serif"/>
          <w:color w:val="1F1F1F"/>
          <w:sz w:val="22"/>
          <w:u w:val="single"/>
        </w:rPr>
        <w:t>Delayed Payment Date</w:t>
      </w:r>
      <w:r>
        <w:rPr>
          <w:rFonts w:ascii="Times New Roman;Times;serif" w:hAnsi="Times New Roman;Times;serif"/>
          <w:color w:val="1F1F1F"/>
          <w:sz w:val="20"/>
        </w:rPr>
        <w:t>”</w:t>
      </w:r>
      <w:r>
        <w:rPr>
          <w:rFonts w:ascii="Arial;Helvetica;sans-serif" w:hAnsi="Arial;Helvetica;sans-serif"/>
          <w:color w:val="1F1F1F"/>
          <w:sz w:val="22"/>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(b)</w:t>
      </w:r>
      <w:r>
        <w:rPr>
          <w:rFonts w:ascii="Arial;Helvetica;sans-serif" w:hAnsi="Arial;Helvetica;sans-serif"/>
          <w:sz w:val="22"/>
        </w:rPr>
        <w:t>It is the intent of the Company and Executive that any right of Executive to receive installment payments hereunder shall, for all purposes of Section 409A of the Code, be treated as a right to a series of separate payments.</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(c)</w:t>
      </w:r>
      <w:r>
        <w:rPr>
          <w:rFonts w:ascii="Arial;Helvetica;sans-serif" w:hAnsi="Arial;Helvetica;sans-serif"/>
          <w:sz w:val="22"/>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Helvetica;sans-serif" w:hAnsi="Arial;Helvetica;sans-serif"/>
          <w:b/>
          <w:sz w:val="22"/>
        </w:rPr>
        <w:t>However, the Company does not guarantee any particular tax effect for income provided to Executive pursuant to this Agreement.</w:t>
      </w:r>
      <w:r>
        <w:rPr>
          <w:rFonts w:ascii="Times New Roman;Times;serif" w:hAnsi="Times New Roman;Times;serif"/>
          <w:sz w:val="20"/>
        </w:rPr>
        <w:t xml:space="preserve"> </w:t>
      </w:r>
      <w:r>
        <w:rPr>
          <w:rFonts w:ascii="Arial;Helvetica;sans-serif" w:hAnsi="Arial;Helvetica;sans-serif"/>
          <w:sz w:val="22"/>
        </w:rPr>
        <w:t>In any event, except 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8.</w:t>
      </w:r>
      <w:r>
        <w:rPr>
          <w:rFonts w:ascii="Arial;Helvetica;sans-serif" w:hAnsi="Arial;Helvetica;sans-serif"/>
          <w:sz w:val="22"/>
          <w:u w:val="single"/>
        </w:rPr>
        <w:t>No Violation of Rights of Third Parties.</w:t>
      </w:r>
      <w:r>
        <w:rPr>
          <w:rFonts w:ascii="Times New Roman;Times;serif" w:hAnsi="Times New Roman;Times;serif"/>
          <w:sz w:val="20"/>
        </w:rPr>
        <w:t xml:space="preserve"> </w:t>
      </w:r>
      <w:r>
        <w:rPr>
          <w:rFonts w:ascii="Arial;Helvetica;sans-serif" w:hAnsi="Arial;Helvetica;sans-serif"/>
          <w:sz w:val="22"/>
        </w:rPr>
        <w:t>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9.</w:t>
      </w:r>
      <w:r>
        <w:rPr>
          <w:rFonts w:ascii="Arial;Helvetica;sans-serif" w:hAnsi="Arial;Helvetica;sans-serif"/>
          <w:sz w:val="22"/>
          <w:u w:val="single"/>
        </w:rPr>
        <w:t>Other Covenants.</w:t>
      </w:r>
      <w:r>
        <w:rPr>
          <w:rFonts w:ascii="Times New Roman;Times;serif" w:hAnsi="Times New Roman;Times;serif"/>
          <w:sz w:val="20"/>
        </w:rPr>
        <w:t xml:space="preserve"> </w:t>
      </w:r>
      <w:r>
        <w:rPr>
          <w:rFonts w:ascii="Arial;Helvetica;sans-serif" w:hAnsi="Arial;Helvetica;sans-serif"/>
          <w:sz w:val="22"/>
        </w:rPr>
        <w:t>Executive hereby makes the following covenants, each of which Executive acknowledges and agrees are a material part of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9.1</w:t>
      </w:r>
      <w:r>
        <w:rPr>
          <w:rFonts w:ascii="Arial;Helvetica;sans-serif" w:hAnsi="Arial;Helvetica;sans-serif"/>
          <w:sz w:val="22"/>
        </w:rPr>
        <w:t>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including University. Executive acknowledges that the Company has specifically instructed Executive not to breach any such agreement or make any such disclosures to the 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9.2</w:t>
      </w:r>
      <w:r>
        <w:rPr>
          <w:rFonts w:ascii="Arial;Helvetica;sans-serif" w:hAnsi="Arial;Helvetica;sans-serif"/>
          <w:sz w:val="22"/>
        </w:rPr>
        <w:t>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 The parties acknowledge and agree that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sz w:val="22"/>
        </w:rPr>
      </w:pPr>
      <w:r>
        <w:rPr>
          <w:rFonts w:ascii="Arial;Helvetica;sans-serif" w:hAnsi="Arial;Helvetica;sans-serif"/>
          <w:sz w:val="22"/>
        </w:rPr>
        <w:t>Executive’s simultaneous employment by the University shall not be deemed to be a conflict of interest for purposes of this Section 9.2.</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9.3</w:t>
      </w:r>
      <w:r>
        <w:rPr>
          <w:rFonts w:ascii="Arial;Helvetica;sans-serif" w:hAnsi="Arial;Helvetica;sans-serif"/>
          <w:sz w:val="22"/>
        </w:rPr>
        <w:t>During the Term and after the termination thereof, neither Executive nor the Company will disparage each other, or the Company’s products, services, agents or employees.</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9.4</w:t>
      </w:r>
      <w:r>
        <w:rPr>
          <w:rFonts w:ascii="Arial;Helvetica;sans-serif" w:hAnsi="Arial;Helvetica;sans-serif"/>
          <w:sz w:val="22"/>
        </w:rPr>
        <w:t>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10.</w:t>
      </w:r>
      <w:r>
        <w:rPr>
          <w:rFonts w:ascii="Arial;Helvetica;sans-serif" w:hAnsi="Arial;Helvetica;sans-serif"/>
          <w:sz w:val="22"/>
          <w:u w:val="single"/>
        </w:rPr>
        <w:t>Confidentiality and Proprietary Rights</w:t>
      </w:r>
      <w:r>
        <w:rPr>
          <w:rFonts w:ascii="Arial;Helvetica;sans-serif" w:hAnsi="Arial;Helvetica;sans-serif"/>
          <w:sz w:val="22"/>
        </w:rPr>
        <w:t>. Executive agrees to abide by the Nondisclosure Agreement, which is incorporated herein by reference.</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11.</w:t>
      </w:r>
      <w:r>
        <w:rPr>
          <w:rFonts w:ascii="Arial;Helvetica;sans-serif" w:hAnsi="Arial;Helvetica;sans-serif"/>
          <w:sz w:val="22"/>
          <w:u w:val="single"/>
        </w:rPr>
        <w:t>Non-Competition; Nonsolicitation of Company’s Employees.</w:t>
      </w:r>
      <w:r>
        <w:rPr>
          <w:rFonts w:ascii="Times New Roman;Times;serif" w:hAnsi="Times New Roman;Times;serif"/>
          <w:sz w:val="20"/>
        </w:rPr>
        <w:t xml:space="preserve"> </w:t>
      </w:r>
      <w:r>
        <w:rPr>
          <w:rFonts w:ascii="Arial;Helvetica;sans-serif" w:hAnsi="Arial;Helvetica;sans-serif"/>
          <w:sz w:val="22"/>
        </w:rPr>
        <w:t>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is national in scope and that the Company, in the course of such business, competes with other companies located 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2% of any class of securities which are listed for trading on any securities exchange or which are traded in the over-the-counter market), manage, control, participate in, consult with, render services for, be employed by, or in any manner engage in the operation of (i) a post-secondary education institution (other than the University), (ii) any business that develops or administers services to degree-granting institutions of higher education, or (iii) any other business of the Company in which Executive had significant involvement prior to Executive's separation; (b) solicit funds on behalf of, or for the benefit of, any post-secondary education institution (other than the University) or any other entity that competes with the Company; (c) induce or attempt to induce any employee of the Company to leave the employ of the Company, or in any way interfere with the relationship between the Company and any employee thereof, or (d) induce or attempt to induce any customer, supplier, licensee or other business relation of the Company to cease doing business with, or modify its business relationship with, the Company, or in any way interfere with or hinder the relationship between any such customer, supplier, licensee or business relation and the Company; provided, however, that Company acknowledges that Executive will serve simultaneously as the President of the University, and that this section of this Agreement shall not apply to or restrict Executive’s performance of any of Executive’s duties in that role with the University.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12.</w:t>
      </w:r>
      <w:r>
        <w:rPr>
          <w:rFonts w:ascii="Arial;Helvetica;sans-serif" w:hAnsi="Arial;Helvetica;sans-serif"/>
          <w:sz w:val="22"/>
          <w:u w:val="single"/>
        </w:rPr>
        <w:t>Injunctive Relief</w:t>
      </w:r>
      <w:r>
        <w:rPr>
          <w:rFonts w:ascii="Arial;Helvetica;sans-serif" w:hAnsi="Arial;Helvetica;sans-serif"/>
          <w:sz w:val="22"/>
        </w:rPr>
        <w:t>. Executive acknowledges that Executive's breach of the covenants contained in Sections 9, 10 and 11 hereof (collectively “</w:t>
      </w:r>
      <w:r>
        <w:rPr>
          <w:rFonts w:ascii="Arial;Helvetica;sans-serif" w:hAnsi="Arial;Helvetica;sans-serif"/>
          <w:sz w:val="22"/>
          <w:u w:val="single"/>
        </w:rPr>
        <w:t>Covenants”</w:t>
      </w:r>
      <w:r>
        <w:rPr>
          <w:rFonts w:ascii="Arial;Helvetica;sans-serif" w:hAnsi="Arial;Helvetica;sans-serif"/>
          <w:sz w:val="22"/>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13.</w:t>
      </w:r>
      <w:r>
        <w:rPr>
          <w:rFonts w:ascii="Arial;Helvetica;sans-serif" w:hAnsi="Arial;Helvetica;sans-serif"/>
          <w:sz w:val="22"/>
          <w:u w:val="single"/>
        </w:rPr>
        <w:t>Insurance; Indemnification</w:t>
      </w:r>
      <w:r>
        <w:rPr>
          <w:rFonts w:ascii="Arial;Helvetica;sans-serif" w:hAnsi="Arial;Helvetica;sans-seri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13.1</w:t>
      </w:r>
      <w:r>
        <w:rPr>
          <w:rFonts w:ascii="Arial;Helvetica;sans-serif" w:hAnsi="Arial;Helvetica;sans-serif"/>
          <w:sz w:val="22"/>
        </w:rPr>
        <w:t>During the Term, Executive will be covered by the Company’s director and officer insurance policy to the same extent as all other directors and senior executive officers of the 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13.2</w:t>
      </w:r>
      <w:r>
        <w:rPr>
          <w:rFonts w:ascii="Arial;Helvetica;sans-serif" w:hAnsi="Arial;Helvetica;sans-serif"/>
          <w:sz w:val="22"/>
        </w:rPr>
        <w:t>Following the execution of this Agreement, the director and officer indemnification agreement executed by the Company and Executive will continue in effect in accordance with its terms.</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w:t>
      </w:r>
      <w:r>
        <w:rPr>
          <w:rFonts w:ascii="Arial;Helvetica;sans-serif" w:hAnsi="Arial;Helvetica;sans-serif"/>
          <w:sz w:val="22"/>
          <w:u w:val="single"/>
        </w:rPr>
        <w:t>General Provisions.</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14.1</w:t>
      </w:r>
      <w:r>
        <w:rPr>
          <w:rFonts w:ascii="Arial;Helvetica;sans-serif" w:hAnsi="Arial;Helvetica;sans-serif"/>
          <w:sz w:val="22"/>
          <w:u w:val="single"/>
        </w:rPr>
        <w:t>Successors and Assigns</w:t>
      </w:r>
      <w:r>
        <w:rPr>
          <w:rFonts w:ascii="Arial;Helvetica;sans-serif" w:hAnsi="Arial;Helvetica;sans-serif"/>
          <w:sz w:val="22"/>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14.2</w:t>
      </w:r>
      <w:r>
        <w:rPr>
          <w:rFonts w:ascii="Arial;Helvetica;sans-serif" w:hAnsi="Arial;Helvetica;sans-serif"/>
          <w:sz w:val="22"/>
          <w:u w:val="single"/>
        </w:rPr>
        <w:t>Waiver</w:t>
      </w:r>
      <w:r>
        <w:rPr>
          <w:rFonts w:ascii="Arial;Helvetica;sans-serif" w:hAnsi="Arial;Helvetica;sans-serif"/>
          <w:sz w:val="22"/>
        </w:rPr>
        <w:t>. Either party's failure to enforce any provision of this Agreement shall not in any way be construed as a waiver of any such provision, or prevent that party thereafter from enforcing each and every other provision of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14.3</w:t>
      </w:r>
      <w:r>
        <w:rPr>
          <w:rFonts w:ascii="Arial;Helvetica;sans-serif" w:hAnsi="Arial;Helvetica;sans-serif"/>
          <w:sz w:val="22"/>
          <w:u w:val="single"/>
        </w:rPr>
        <w:t>Attorneys’ Fees</w:t>
      </w:r>
      <w:r>
        <w:rPr>
          <w:rFonts w:ascii="Arial;Helvetica;sans-serif" w:hAnsi="Arial;Helvetica;sans-serif"/>
          <w:sz w:val="22"/>
        </w:rPr>
        <w:t>. In the event of a dispute involving the interpretation or enforcement of this Agreement, a court shall award attorneys' fees and costs to the prevailing party.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14.4</w:t>
      </w:r>
      <w:r>
        <w:rPr>
          <w:rFonts w:ascii="Arial;Helvetica;sans-serif" w:hAnsi="Arial;Helvetica;sans-serif"/>
          <w:sz w:val="22"/>
          <w:u w:val="single"/>
        </w:rPr>
        <w:t>Severability</w:t>
      </w:r>
      <w:r>
        <w:rPr>
          <w:rFonts w:ascii="Arial;Helvetica;sans-serif" w:hAnsi="Arial;Helvetica;sans-serif"/>
          <w:sz w:val="22"/>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14.5</w:t>
      </w:r>
      <w:r>
        <w:rPr>
          <w:rFonts w:ascii="Arial;Helvetica;sans-serif" w:hAnsi="Arial;Helvetica;sans-serif"/>
          <w:sz w:val="22"/>
          <w:u w:val="single"/>
        </w:rPr>
        <w:t>Interpretation; Construction.</w:t>
      </w:r>
      <w:r>
        <w:rPr>
          <w:rFonts w:ascii="Times New Roman;Times;serif" w:hAnsi="Times New Roman;Times;serif"/>
          <w:sz w:val="20"/>
        </w:rPr>
        <w:t xml:space="preserve"> </w:t>
      </w:r>
      <w:r>
        <w:rPr>
          <w:rFonts w:ascii="Arial;Helvetica;sans-serif" w:hAnsi="Arial;Helvetica;sans-serif"/>
          <w:sz w:val="22"/>
        </w:rPr>
        <w:t>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14.6</w:t>
      </w:r>
      <w:r>
        <w:rPr>
          <w:rFonts w:ascii="Arial;Helvetica;sans-serif" w:hAnsi="Arial;Helvetica;sans-serif"/>
          <w:sz w:val="22"/>
          <w:u w:val="single"/>
        </w:rPr>
        <w:t>Governing Law; Forum</w:t>
      </w:r>
      <w:r>
        <w:rPr>
          <w:rFonts w:ascii="Arial;Helvetica;sans-serif" w:hAnsi="Arial;Helvetica;sans-serif"/>
          <w:sz w:val="22"/>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14.7</w:t>
      </w:r>
      <w:r>
        <w:rPr>
          <w:rFonts w:ascii="Arial;Helvetica;sans-serif" w:hAnsi="Arial;Helvetica;sans-serif"/>
          <w:sz w:val="22"/>
          <w:u w:val="single"/>
        </w:rPr>
        <w:t>Notices</w:t>
      </w:r>
      <w:r>
        <w:rPr>
          <w:rFonts w:ascii="Arial;Helvetica;sans-serif" w:hAnsi="Arial;Helvetica;sans-serif"/>
          <w:sz w:val="22"/>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14.8</w:t>
      </w:r>
      <w:r>
        <w:rPr>
          <w:rFonts w:ascii="Arial;Helvetica;sans-serif" w:hAnsi="Arial;Helvetica;sans-serif"/>
          <w:sz w:val="22"/>
          <w:u w:val="single"/>
        </w:rPr>
        <w:t>Survival</w:t>
      </w:r>
      <w:r>
        <w:rPr>
          <w:rFonts w:ascii="Arial;Helvetica;sans-serif" w:hAnsi="Arial;Helvetica;sans-serif"/>
          <w:sz w:val="22"/>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15.</w:t>
      </w:r>
      <w:r>
        <w:rPr>
          <w:rFonts w:ascii="Arial;Helvetica;sans-serif" w:hAnsi="Arial;Helvetica;sans-serif"/>
          <w:sz w:val="22"/>
          <w:u w:val="single"/>
        </w:rPr>
        <w:t>Entire Agreement.</w:t>
      </w:r>
      <w:r>
        <w:rPr>
          <w:rFonts w:ascii="Times New Roman;Times;serif" w:hAnsi="Times New Roman;Times;serif"/>
          <w:sz w:val="20"/>
        </w:rPr>
        <w:t xml:space="preserve"> </w:t>
      </w:r>
      <w:r>
        <w:rPr>
          <w:rFonts w:ascii="Arial;Helvetica;sans-serif" w:hAnsi="Arial;Helvetica;sans-serif"/>
          <w:sz w:val="22"/>
        </w:rPr>
        <w:t>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sz w:val="22"/>
        </w:rPr>
      </w:pPr>
      <w:r>
        <w:rPr>
          <w:rFonts w:ascii="Arial;Helvetica;sans-serif" w:hAnsi="Arial;Helvetica;sans-serif"/>
          <w:sz w:val="22"/>
        </w:rPr>
        <w:t>THE PARTIES TO THIS AGREEMENT HAVE READ THE FOREGOING AGREEMENT AND FULLY UNDERSTAND EACH AND EVERY PROVISION CONTAINED HEREIN. WHEREFORE, THE PARTIES HAVE EXECUTED THIS AGREEMENT ON THE DATES SHOWN BELOW.</w:t>
      </w:r>
    </w:p>
    <w:tbl>
      <w:tblPr>
        <w:tblW w:w="4824" w:type="dxa"/>
        <w:jc w:val="left"/>
        <w:tblInd w:w="0" w:type="dxa"/>
        <w:tblCellMar>
          <w:top w:w="0" w:type="dxa"/>
          <w:left w:w="0" w:type="dxa"/>
          <w:bottom w:w="0" w:type="dxa"/>
          <w:right w:w="0" w:type="dxa"/>
        </w:tblCellMar>
      </w:tblPr>
      <w:tblGrid>
        <w:gridCol w:w="751"/>
        <w:gridCol w:w="109"/>
        <w:gridCol w:w="109"/>
        <w:gridCol w:w="1061"/>
        <w:gridCol w:w="2174"/>
        <w:gridCol w:w="466"/>
        <w:gridCol w:w="154"/>
      </w:tblGrid>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1" w:type="dxa"/>
            <w:tcBorders/>
            <w:shd w:fill="auto" w:val="clear"/>
            <w:vAlign w:val="center"/>
          </w:tcPr>
          <w:p>
            <w:pPr>
              <w:pStyle w:val="TableContents"/>
              <w:spacing w:before="0" w:after="0"/>
              <w:ind w:left="0" w:right="0" w:hanging="0"/>
              <w:rPr/>
            </w:pPr>
            <w:r>
              <w:rPr/>
              <w:t>​</w:t>
            </w:r>
          </w:p>
        </w:tc>
        <w:tc>
          <w:tcPr>
            <w:tcW w:w="2174" w:type="dxa"/>
            <w:tcBorders/>
            <w:shd w:fill="auto" w:val="clear"/>
            <w:vAlign w:val="center"/>
          </w:tcPr>
          <w:p>
            <w:pPr>
              <w:pStyle w:val="TableContents"/>
              <w:spacing w:before="0" w:after="0"/>
              <w:ind w:left="0" w:right="0" w:hanging="0"/>
              <w:rPr/>
            </w:pPr>
            <w:r>
              <w:rPr/>
              <w:t>​</w:t>
            </w:r>
          </w:p>
        </w:tc>
        <w:tc>
          <w:tcPr>
            <w:tcW w:w="620" w:type="dxa"/>
            <w:gridSpan w:val="2"/>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701" w:type="dxa"/>
            <w:gridSpan w:val="3"/>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EXECUTIVE</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701" w:type="dxa"/>
            <w:gridSpan w:val="3"/>
            <w:tcBorders/>
            <w:shd w:fill="auto" w:val="cle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Dated: </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By:</w:t>
            </w:r>
          </w:p>
        </w:tc>
        <w:tc>
          <w:tcPr>
            <w:tcW w:w="2640"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Name:</w:t>
            </w:r>
          </w:p>
        </w:tc>
        <w:tc>
          <w:tcPr>
            <w:tcW w:w="2640"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Brian E. Mueller</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701" w:type="dxa"/>
            <w:gridSpan w:val="3"/>
            <w:tcBorders/>
            <w:shd w:fill="auto" w:val="cle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Address:</w:t>
            </w:r>
          </w:p>
        </w:tc>
        <w:tc>
          <w:tcPr>
            <w:tcW w:w="2640" w:type="dxa"/>
            <w:gridSpan w:val="2"/>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2600 West Camelback Road </w:t>
              <w:br/>
              <w:t>Phoenix, Arizona 85017</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701" w:type="dxa"/>
            <w:gridSpan w:val="3"/>
            <w:tcBorders/>
            <w:shd w:fill="auto" w:val="cle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701" w:type="dxa"/>
            <w:gridSpan w:val="3"/>
            <w:tcBorders/>
            <w:shd w:fill="auto" w:val="cle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701" w:type="dxa"/>
            <w:gridSpan w:val="3"/>
            <w:tcBorders/>
            <w:shd w:fill="auto"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GRAND CANYON EDUCATION, INC.</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701" w:type="dxa"/>
            <w:gridSpan w:val="3"/>
            <w:tcBorders/>
            <w:shd w:fill="auto" w:val="cle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Dated: </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By:</w:t>
            </w:r>
          </w:p>
        </w:tc>
        <w:tc>
          <w:tcPr>
            <w:tcW w:w="2640"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Name:</w:t>
            </w:r>
          </w:p>
        </w:tc>
        <w:tc>
          <w:tcPr>
            <w:tcW w:w="2640"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Sara Dial</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Title:</w:t>
            </w:r>
          </w:p>
        </w:tc>
        <w:tc>
          <w:tcPr>
            <w:tcW w:w="2640" w:type="dxa"/>
            <w:gridSpan w:val="2"/>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Lead Independent Director</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1" w:type="dxa"/>
            <w:tcBorders/>
            <w:shd w:fill="auto" w:val="clear"/>
            <w:vAlign w:val="center"/>
          </w:tcPr>
          <w:p>
            <w:pPr>
              <w:pStyle w:val="TableContents"/>
              <w:spacing w:before="0" w:after="0"/>
              <w:ind w:left="0" w:right="0" w:hanging="0"/>
              <w:rPr/>
            </w:pPr>
            <w:r>
              <w:rPr/>
              <w:t>​</w:t>
            </w:r>
          </w:p>
        </w:tc>
        <w:tc>
          <w:tcPr>
            <w:tcW w:w="2174" w:type="dxa"/>
            <w:tcBorders/>
            <w:shd w:fill="auto" w:val="clear"/>
            <w:vAlign w:val="center"/>
          </w:tcPr>
          <w:p>
            <w:pPr>
              <w:pStyle w:val="TableContents"/>
              <w:spacing w:before="0" w:after="0"/>
              <w:ind w:left="0" w:right="0" w:hanging="0"/>
              <w:rPr/>
            </w:pPr>
            <w:r>
              <w:rPr/>
              <w:t>​</w:t>
            </w:r>
          </w:p>
        </w:tc>
        <w:tc>
          <w:tcPr>
            <w:tcW w:w="620" w:type="dxa"/>
            <w:gridSpan w:val="2"/>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6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Address:</w:t>
            </w:r>
          </w:p>
        </w:tc>
        <w:tc>
          <w:tcPr>
            <w:tcW w:w="2640" w:type="dxa"/>
            <w:gridSpan w:val="2"/>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xml:space="preserve">2600 West Camelback Road </w:t>
              <w:br/>
              <w:t>Phoenix, Arizona 85017</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rPr/>
      </w:pPr>
      <w:r>
        <w:rPr/>
      </w:r>
      <w:r>
        <w:br w:type="page"/>
      </w:r>
    </w:p>
    <w:p>
      <w:pPr>
        <w:pStyle w:val="TextBody"/>
        <w:spacing w:before="0" w:after="0"/>
        <w:ind w:left="0" w:right="0" w:hanging="0"/>
        <w:jc w:val="right"/>
        <w:rPr>
          <w:rFonts w:ascii="Arial;Helvetica;sans-serif" w:hAnsi="Arial;Helvetica;sans-serif"/>
          <w:b/>
          <w:sz w:val="22"/>
        </w:rPr>
      </w:pPr>
      <w:bookmarkStart w:id="860" w:name="lope-20230331xex10d2.htm"/>
      <w:bookmarkStart w:id="861" w:name="kslope20230331xex10d2"/>
      <w:bookmarkEnd w:id="860"/>
      <w:bookmarkEnd w:id="861"/>
      <w:r>
        <w:rPr>
          <w:rFonts w:ascii="Arial;Helvetica;sans-serif" w:hAnsi="Arial;Helvetica;sans-serif"/>
          <w:b/>
          <w:sz w:val="22"/>
        </w:rPr>
        <w:t>Exhibit 10.2</w: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THIRD AMENDED AND RESTATED</w:t>
      </w:r>
    </w:p>
    <w:p>
      <w:pPr>
        <w:pStyle w:val="TextBody"/>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EXECUTIVE EMPLOYMENT AGREEMENT</w:t>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(Chief Operating Officer)</w:t>
      </w:r>
    </w:p>
    <w:p>
      <w:pPr>
        <w:pStyle w:val="TextBody"/>
        <w:spacing w:before="0" w:after="0"/>
        <w:ind w:left="0" w:right="0" w:hanging="0"/>
        <w:jc w:val="center"/>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color w:val="1F1F1F"/>
          <w:sz w:val="22"/>
        </w:rPr>
        <w:t>This Third Amended and Restated Executive Employment Agreement (the “</w:t>
      </w:r>
      <w:r>
        <w:rPr>
          <w:rFonts w:ascii="Arial;Helvetica;sans-serif" w:hAnsi="Arial;Helvetica;sans-serif"/>
          <w:color w:val="1F1F1F"/>
          <w:sz w:val="22"/>
          <w:u w:val="single"/>
        </w:rPr>
        <w:t>Agreement"</w:t>
      </w:r>
      <w:r>
        <w:rPr>
          <w:rFonts w:ascii="Arial;Helvetica;sans-serif" w:hAnsi="Arial;Helvetica;sans-serif"/>
          <w:color w:val="1F1F1F"/>
          <w:sz w:val="22"/>
        </w:rPr>
        <w:t>) is entered into on May 1, 2023, and is effective as of July 1, 2023 (the “</w:t>
      </w:r>
      <w:r>
        <w:rPr>
          <w:rFonts w:ascii="Arial;Helvetica;sans-serif" w:hAnsi="Arial;Helvetica;sans-serif"/>
          <w:color w:val="1F1F1F"/>
          <w:sz w:val="22"/>
          <w:u w:val="single"/>
        </w:rPr>
        <w:t>Effective Date</w:t>
      </w:r>
      <w:r>
        <w:rPr>
          <w:rFonts w:ascii="Arial;Helvetica;sans-serif" w:hAnsi="Arial;Helvetica;sans-serif"/>
          <w:color w:val="1F1F1F"/>
          <w:sz w:val="20"/>
        </w:rPr>
        <w:t>”</w:t>
      </w:r>
      <w:r>
        <w:rPr>
          <w:rFonts w:ascii="Arial;Helvetica;sans-serif" w:hAnsi="Arial;Helvetica;sans-serif"/>
          <w:color w:val="1F1F1F"/>
          <w:sz w:val="22"/>
        </w:rPr>
        <w:t xml:space="preserve">), by and between Grand Canyon Education, Inc., a Delaware corporation </w:t>
      </w:r>
      <w:r>
        <w:rPr>
          <w:rFonts w:ascii="Arial;Helvetica;sans-serif" w:hAnsi="Arial;Helvetica;sans-serif"/>
          <w:sz w:val="23"/>
        </w:rPr>
        <w:t xml:space="preserve">(the </w:t>
      </w:r>
      <w:r>
        <w:rPr>
          <w:rFonts w:ascii="Arial;Helvetica;sans-serif" w:hAnsi="Arial;Helvetica;sans-serif"/>
          <w:color w:val="1F1F1F"/>
          <w:sz w:val="20"/>
        </w:rPr>
        <w:t>“</w:t>
      </w:r>
      <w:r>
        <w:rPr>
          <w:rFonts w:ascii="Arial;Helvetica;sans-serif" w:hAnsi="Arial;Helvetica;sans-serif"/>
          <w:color w:val="1F1F1F"/>
          <w:sz w:val="22"/>
        </w:rPr>
        <w:t>Company”) and W. Stan Meyer (“</w:t>
      </w:r>
      <w:r>
        <w:rPr>
          <w:rFonts w:ascii="Arial;Helvetica;sans-serif" w:hAnsi="Arial;Helvetica;sans-serif"/>
          <w:color w:val="1F1F1F"/>
          <w:sz w:val="22"/>
          <w:u w:val="single"/>
        </w:rPr>
        <w:t>Executive</w:t>
      </w:r>
      <w:r>
        <w:rPr>
          <w:rFonts w:ascii="Arial;Helvetica;sans-serif" w:hAnsi="Arial;Helvetica;sans-serif"/>
          <w:color w:val="1F1F1F"/>
          <w:sz w:val="20"/>
        </w:rPr>
        <w:t>”</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color w:val="1F1F1F"/>
          <w:sz w:val="22"/>
        </w:rPr>
        <w:t>WHEREAS, the Company and Executive are parties to a second amended and restated executive employment agreement effective as of August 16, 2012, and July 1, 2018, (as amended, the “</w:t>
      </w:r>
      <w:r>
        <w:rPr>
          <w:rFonts w:ascii="Arial;Helvetica;sans-serif" w:hAnsi="Arial;Helvetica;sans-serif"/>
          <w:color w:val="1F1F1F"/>
          <w:sz w:val="22"/>
          <w:u w:val="single"/>
        </w:rPr>
        <w:t>Original Agreement”</w:t>
      </w:r>
      <w:r>
        <w:rPr>
          <w:rFonts w:ascii="Arial;Helvetica;sans-serif" w:hAnsi="Arial;Helvetica;sans-serif"/>
          <w:color w:val="1F1F1F"/>
          <w:sz w:val="22"/>
        </w:rPr>
        <w:t xml:space="preserve">), and Executive has been employed with </w:t>
      </w:r>
      <w:r>
        <w:rPr>
          <w:rFonts w:ascii="Arial;Helvetica;sans-serif" w:hAnsi="Arial;Helvetica;sans-serif"/>
          <w:sz w:val="23"/>
        </w:rPr>
        <w:t xml:space="preserve">the </w:t>
      </w:r>
      <w:r>
        <w:rPr>
          <w:rFonts w:ascii="Arial;Helvetica;sans-serif" w:hAnsi="Arial;Helvetica;sans-serif"/>
          <w:color w:val="1F1F1F"/>
          <w:sz w:val="22"/>
        </w:rPr>
        <w:t>Company since that time;</w:t>
      </w:r>
      <w:r>
        <w:rPr>
          <w:rFonts w:ascii="Arial;Helvetica;sans-serif" w:hAnsi="Arial;Helvetica;sans-serif"/>
          <w:sz w:val="20"/>
        </w:rPr>
        <w:t xml:space="preserve"> </w:t>
      </w:r>
      <w:r>
        <w:rPr>
          <w:rFonts w:ascii="Arial;Helvetica;sans-serif" w:hAnsi="Arial;Helvetica;sans-serif"/>
          <w:sz w:val="23"/>
        </w:rPr>
        <w:t>and</w:t>
      </w:r>
    </w:p>
    <w:p>
      <w:pPr>
        <w:pStyle w:val="TextBody"/>
        <w:spacing w:before="0" w:after="0"/>
        <w:ind w:left="0" w:right="0" w:hanging="0"/>
        <w:jc w:val="both"/>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color w:val="1F1F1F"/>
          <w:sz w:val="22"/>
        </w:rPr>
        <w:t>WHEREAS,</w:t>
      </w:r>
      <w:r>
        <w:rPr>
          <w:rFonts w:ascii="Arial;Helvetica;sans-serif" w:hAnsi="Arial;Helvetica;sans-serif"/>
          <w:sz w:val="20"/>
        </w:rPr>
        <w:t xml:space="preserve"> </w:t>
      </w:r>
      <w:r>
        <w:rPr>
          <w:rFonts w:ascii="Arial;Helvetica;sans-serif" w:hAnsi="Arial;Helvetica;sans-serif"/>
          <w:sz w:val="23"/>
        </w:rPr>
        <w:t xml:space="preserve">the </w:t>
      </w:r>
      <w:r>
        <w:rPr>
          <w:rFonts w:ascii="Arial;Helvetica;sans-serif" w:hAnsi="Arial;Helvetica;sans-serif"/>
          <w:color w:val="1F1F1F"/>
          <w:sz w:val="22"/>
        </w:rPr>
        <w:t>Company and Executive desire to amend and restate the Original Agreement through the execution and delivery of this Agreement.</w:t>
      </w:r>
    </w:p>
    <w:p>
      <w:pPr>
        <w:pStyle w:val="TextBody"/>
        <w:spacing w:before="0" w:after="0"/>
        <w:ind w:left="0" w:right="0" w:hanging="0"/>
        <w:jc w:val="both"/>
        <w:rPr/>
      </w:pPr>
      <w:r>
        <w:rPr/>
        <w:t>​</w:t>
      </w:r>
    </w:p>
    <w:p>
      <w:pPr>
        <w:pStyle w:val="TextBody"/>
        <w:spacing w:before="0" w:after="0"/>
        <w:ind w:left="0" w:right="0" w:firstLine="720"/>
        <w:jc w:val="both"/>
        <w:rPr>
          <w:rFonts w:ascii="Arial;Helvetica;sans-serif" w:hAnsi="Arial;Helvetica;sans-serif"/>
          <w:color w:val="1F1F1F"/>
          <w:sz w:val="22"/>
        </w:rPr>
      </w:pPr>
      <w:r>
        <w:rPr>
          <w:rFonts w:ascii="Arial;Helvetica;sans-serif" w:hAnsi="Arial;Helvetica;sans-serif"/>
          <w:color w:val="1F1F1F"/>
          <w:sz w:val="22"/>
        </w:rPr>
        <w:t>NOW, THEREFORE, for good and valuable consideration, the receipt and sufficiency of which are hereby acknowledged, the parties agree as follows: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w:t>
      </w:r>
      <w:r>
        <w:rPr>
          <w:rFonts w:ascii="Arial;Helvetica;sans-serif" w:hAnsi="Arial;Helvetica;sans-serif"/>
          <w:color w:val="1F1F1F"/>
          <w:sz w:val="22"/>
          <w:u w:val="single"/>
        </w:rPr>
        <w:t>Employment.</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desires to continue to employ Executive, and Executive desires to continue such employment, upon the terms and conditions set forth herein.</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w:t>
      </w:r>
      <w:r>
        <w:rPr>
          <w:rFonts w:ascii="Arial;Helvetica;sans-serif" w:hAnsi="Arial;Helvetica;sans-serif"/>
          <w:color w:val="1F1F1F"/>
          <w:sz w:val="22"/>
          <w:u w:val="single"/>
        </w:rPr>
        <w:t>Duties</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2.1</w:t>
      </w:r>
      <w:r>
        <w:rPr>
          <w:rFonts w:ascii="Arial;Helvetica;sans-serif" w:hAnsi="Arial;Helvetica;sans-serif"/>
          <w:color w:val="1F1F1F"/>
          <w:sz w:val="22"/>
          <w:u w:val="single"/>
        </w:rPr>
        <w:t>Position</w:t>
      </w:r>
      <w:r>
        <w:rPr>
          <w:rFonts w:ascii="Arial;Helvetica;sans-serif" w:hAnsi="Arial;Helvetica;sans-serif"/>
          <w:color w:val="1F1F1F"/>
          <w:sz w:val="22"/>
        </w:rPr>
        <w:t xml:space="preserve">. Executive is employed </w:t>
      </w:r>
      <w:r>
        <w:rPr>
          <w:rFonts w:ascii="Arial;Helvetica;sans-serif" w:hAnsi="Arial;Helvetica;sans-serif"/>
          <w:sz w:val="22"/>
        </w:rPr>
        <w:t>as Chief Operating Officer</w:t>
      </w:r>
      <w:r>
        <w:rPr>
          <w:rFonts w:ascii="Arial;Helvetica;sans-serif" w:hAnsi="Arial;Helvetica;sans-serif"/>
          <w:color w:val="1F1F1F"/>
          <w:sz w:val="20"/>
        </w:rPr>
        <w:t xml:space="preserve"> </w:t>
      </w:r>
      <w:r>
        <w:rPr>
          <w:rFonts w:ascii="Arial;Helvetica;sans-serif" w:hAnsi="Arial;Helvetica;sans-serif"/>
          <w:color w:val="1F1F1F"/>
          <w:sz w:val="22"/>
        </w:rPr>
        <w:t xml:space="preserve">and shall have the duties and responsibilities reasonably assigned to Executive from time to time by </w:t>
      </w:r>
      <w:r>
        <w:rPr>
          <w:rFonts w:ascii="Arial;Helvetica;sans-serif" w:hAnsi="Arial;Helvetica;sans-serif"/>
          <w:sz w:val="22"/>
        </w:rPr>
        <w:t xml:space="preserve">the </w:t>
      </w:r>
      <w:r>
        <w:rPr>
          <w:rFonts w:ascii="Arial;Helvetica;sans-serif" w:hAnsi="Arial;Helvetica;sans-serif"/>
          <w:color w:val="1F1F1F"/>
          <w:sz w:val="22"/>
        </w:rPr>
        <w:t>Company’s Chief Executive Officer (“</w:t>
      </w:r>
      <w:r>
        <w:rPr>
          <w:rFonts w:ascii="Arial;Helvetica;sans-serif" w:hAnsi="Arial;Helvetica;sans-serif"/>
          <w:color w:val="1F1F1F"/>
          <w:sz w:val="22"/>
          <w:u w:val="single"/>
        </w:rPr>
        <w:t>CEO</w:t>
      </w:r>
      <w:r>
        <w:rPr>
          <w:rFonts w:ascii="Arial;Helvetica;sans-serif" w:hAnsi="Arial;Helvetica;sans-serif"/>
          <w:color w:val="1F1F1F"/>
          <w:sz w:val="20"/>
        </w:rPr>
        <w:t>”</w:t>
      </w:r>
      <w:r>
        <w:rPr>
          <w:rFonts w:ascii="Arial;Helvetica;sans-serif" w:hAnsi="Arial;Helvetica;sans-serif"/>
          <w:color w:val="1F1F1F"/>
          <w:sz w:val="22"/>
        </w:rPr>
        <w:t>), or Board of Directors (the “</w:t>
      </w:r>
      <w:r>
        <w:rPr>
          <w:rFonts w:ascii="Arial;Helvetica;sans-serif" w:hAnsi="Arial;Helvetica;sans-serif"/>
          <w:color w:val="1F1F1F"/>
          <w:sz w:val="22"/>
          <w:u w:val="single"/>
        </w:rPr>
        <w:t>Board</w:t>
      </w:r>
      <w:r>
        <w:rPr>
          <w:rFonts w:ascii="Arial;Helvetica;sans-serif" w:hAnsi="Arial;Helvetica;sans-serif"/>
          <w:color w:val="1F1F1F"/>
          <w:sz w:val="20"/>
        </w:rPr>
        <w:t>”</w:t>
      </w:r>
      <w:r>
        <w:rPr>
          <w:rFonts w:ascii="Arial;Helvetica;sans-serif" w:hAnsi="Arial;Helvetica;sans-serif"/>
          <w:color w:val="1F1F1F"/>
          <w:sz w:val="22"/>
        </w:rPr>
        <w:t xml:space="preserve">). Executive shall perform faithfully and diligently all duties assigned to Executive. </w:t>
      </w:r>
      <w:r>
        <w:rPr>
          <w:rFonts w:ascii="Arial;Helvetica;sans-serif" w:hAnsi="Arial;Helvetica;sans-serif"/>
          <w:sz w:val="22"/>
        </w:rPr>
        <w:t xml:space="preserve">The </w:t>
      </w:r>
      <w:r>
        <w:rPr>
          <w:rFonts w:ascii="Arial;Helvetica;sans-serif" w:hAnsi="Arial;Helvetica;sans-serif"/>
          <w:color w:val="1F1F1F"/>
          <w:sz w:val="22"/>
        </w:rPr>
        <w:t>Company reserves the right to modify Executive’s position and duties at any time in its sole and absolute discretion, except that any material diminution in Executive’s duties shall be subject to Section 7.3(ii).</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2.2</w:t>
      </w:r>
      <w:r>
        <w:rPr>
          <w:rFonts w:ascii="Arial;Helvetica;sans-serif" w:hAnsi="Arial;Helvetica;sans-serif"/>
          <w:color w:val="1F1F1F"/>
          <w:sz w:val="22"/>
          <w:u w:val="single"/>
        </w:rPr>
        <w:t>Best Efforts/Full-time</w:t>
      </w:r>
      <w:r>
        <w:rPr>
          <w:rFonts w:ascii="Arial;Helvetica;sans-serif" w:hAnsi="Arial;Helvetica;sans-serif"/>
          <w:color w:val="1F1F1F"/>
          <w:sz w:val="22"/>
        </w:rPr>
        <w:t>. Executive will expend Executive’s best efforts on behalf of</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in the performance of duties assigned to Executive under this Agreement, and will abide by all policies and decisions made by </w:t>
      </w:r>
      <w:r>
        <w:rPr>
          <w:rFonts w:ascii="Arial;Helvetica;sans-serif" w:hAnsi="Arial;Helvetica;sans-serif"/>
          <w:sz w:val="22"/>
        </w:rPr>
        <w:t xml:space="preserve">the </w:t>
      </w:r>
      <w:r>
        <w:rPr>
          <w:rFonts w:ascii="Arial;Helvetica;sans-serif" w:hAnsi="Arial;Helvetica;sans-serif"/>
          <w:color w:val="1F1F1F"/>
          <w:sz w:val="22"/>
        </w:rPr>
        <w:t xml:space="preserve">Company, as well as all applicable federal, state and local laws, regulations or ordinances. Executive will act in the best interest of </w:t>
      </w:r>
      <w:r>
        <w:rPr>
          <w:rFonts w:ascii="Arial;Helvetica;sans-serif" w:hAnsi="Arial;Helvetica;sans-serif"/>
          <w:sz w:val="22"/>
        </w:rPr>
        <w:t xml:space="preserve">the </w:t>
      </w:r>
      <w:r>
        <w:rPr>
          <w:rFonts w:ascii="Arial;Helvetica;sans-serif" w:hAnsi="Arial;Helvetica;sans-serif"/>
          <w:color w:val="1F1F1F"/>
          <w:sz w:val="22"/>
        </w:rPr>
        <w:t xml:space="preserve">Company at all times in the performance of duties assigned to Executive under this Agreement. Executive shall devote Executive's full business time and efforts to the performance of Executive’s assigned duties for </w:t>
      </w:r>
      <w:r>
        <w:rPr>
          <w:rFonts w:ascii="Arial;Helvetica;sans-serif" w:hAnsi="Arial;Helvetica;sans-serif"/>
          <w:sz w:val="22"/>
        </w:rPr>
        <w:t xml:space="preserve">the </w:t>
      </w:r>
      <w:r>
        <w:rPr>
          <w:rFonts w:ascii="Arial;Helvetica;sans-serif" w:hAnsi="Arial;Helvetica;sans-serif"/>
          <w:color w:val="1F1F1F"/>
          <w:sz w:val="22"/>
        </w:rPr>
        <w:t xml:space="preserve">Company, unless Executive notifies </w:t>
      </w:r>
      <w:r>
        <w:rPr>
          <w:rFonts w:ascii="Arial;Helvetica;sans-serif" w:hAnsi="Arial;Helvetica;sans-serif"/>
          <w:sz w:val="22"/>
        </w:rPr>
        <w:t>the Board and CEO</w:t>
      </w:r>
      <w:r>
        <w:rPr>
          <w:rFonts w:ascii="Arial;Helvetica;sans-serif" w:hAnsi="Arial;Helvetica;sans-serif"/>
          <w:color w:val="1F1F1F"/>
          <w:sz w:val="20"/>
        </w:rPr>
        <w:t xml:space="preserve"> </w:t>
      </w:r>
      <w:r>
        <w:rPr>
          <w:rFonts w:ascii="Arial;Helvetica;sans-serif" w:hAnsi="Arial;Helvetica;sans-serif"/>
          <w:color w:val="1F1F1F"/>
          <w:sz w:val="22"/>
        </w:rPr>
        <w:t xml:space="preserve">in advance of Executive's intent to engage in other paid work and receives </w:t>
      </w:r>
      <w:r>
        <w:rPr>
          <w:rFonts w:ascii="Arial;Helvetica;sans-serif" w:hAnsi="Arial;Helvetica;sans-serif"/>
          <w:sz w:val="22"/>
        </w:rPr>
        <w:t>the Board’s and CEO’s</w:t>
      </w:r>
      <w:r>
        <w:rPr>
          <w:rFonts w:ascii="Arial;Helvetica;sans-serif" w:hAnsi="Arial;Helvetica;sans-serif"/>
          <w:color w:val="1F1F1F"/>
          <w:sz w:val="20"/>
        </w:rPr>
        <w:t xml:space="preserve"> </w:t>
      </w:r>
      <w:r>
        <w:rPr>
          <w:rFonts w:ascii="Arial;Helvetica;sans-serif" w:hAnsi="Arial;Helvetica;sans-serif"/>
          <w:color w:val="1F1F1F"/>
          <w:sz w:val="22"/>
        </w:rPr>
        <w:t xml:space="preserve">express written consent to do so. Notwithstanding the foregoing, Executive will be permitted to serve as an outside director on the board of directors for corporate, civic, nonprofit or charitable entities, so long as Executive obtains the consent of </w:t>
      </w:r>
      <w:r>
        <w:rPr>
          <w:rFonts w:ascii="Arial;Helvetica;sans-serif" w:hAnsi="Arial;Helvetica;sans-serif"/>
          <w:sz w:val="22"/>
        </w:rPr>
        <w:t>the Board</w:t>
      </w:r>
      <w:r>
        <w:rPr>
          <w:rFonts w:ascii="Arial;Helvetica;sans-serif" w:hAnsi="Arial;Helvetica;sans-serif"/>
          <w:color w:val="1F1F1F"/>
          <w:sz w:val="20"/>
        </w:rPr>
        <w:t xml:space="preserve"> </w:t>
      </w:r>
      <w:r>
        <w:rPr>
          <w:rFonts w:ascii="Arial;Helvetica;sans-serif" w:hAnsi="Arial;Helvetica;sans-serif"/>
          <w:color w:val="1F1F1F"/>
          <w:sz w:val="22"/>
        </w:rPr>
        <w:t xml:space="preserve">and provided such entities are not competitive with </w:t>
      </w:r>
      <w:r>
        <w:rPr>
          <w:rFonts w:ascii="Arial;Helvetica;sans-serif" w:hAnsi="Arial;Helvetica;sans-serif"/>
          <w:sz w:val="22"/>
        </w:rPr>
        <w:t xml:space="preserve">the </w:t>
      </w:r>
      <w:r>
        <w:rPr>
          <w:rFonts w:ascii="Arial;Helvetica;sans-serif" w:hAnsi="Arial;Helvetica;sans-serif"/>
          <w:color w:val="1F1F1F"/>
          <w:sz w:val="22"/>
        </w:rPr>
        <w:t>Company and subject to the provisions of Section 9.</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2.3</w:t>
      </w:r>
      <w:r>
        <w:rPr>
          <w:rFonts w:ascii="Arial;Helvetica;sans-serif" w:hAnsi="Arial;Helvetica;sans-serif"/>
          <w:color w:val="1F1F1F"/>
          <w:sz w:val="22"/>
          <w:u w:val="single"/>
        </w:rPr>
        <w:t>Work Location</w:t>
      </w:r>
      <w:r>
        <w:rPr>
          <w:rFonts w:ascii="Arial;Helvetica;sans-serif" w:hAnsi="Arial;Helvetica;sans-serif"/>
          <w:color w:val="1F1F1F"/>
          <w:sz w:val="22"/>
        </w:rPr>
        <w:t xml:space="preserve">. Executive's principal place of work shall be located in Phoenix, Arizona, or such other location as </w:t>
      </w:r>
      <w:r>
        <w:rPr>
          <w:rFonts w:ascii="Arial;Helvetica;sans-serif" w:hAnsi="Arial;Helvetica;sans-serif"/>
          <w:sz w:val="22"/>
        </w:rPr>
        <w:t xml:space="preserve">the </w:t>
      </w:r>
      <w:r>
        <w:rPr>
          <w:rFonts w:ascii="Arial;Helvetica;sans-serif" w:hAnsi="Arial;Helvetica;sans-serif"/>
          <w:color w:val="1F1F1F"/>
          <w:sz w:val="22"/>
        </w:rPr>
        <w:t>Company may direct from time to time.</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HorizontalLine"/>
        <w:rPr/>
      </w:pPr>
      <w:r>
        <w:rPr/>
      </w:r>
    </w:p>
    <w:p>
      <w:pPr>
        <w:pStyle w:val="TextBody"/>
        <w:spacing w:before="0" w:after="0"/>
        <w:ind w:left="0" w:right="0" w:hanging="0"/>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3.</w:t>
      </w:r>
      <w:r>
        <w:rPr>
          <w:rFonts w:ascii="Arial;Helvetica;sans-serif" w:hAnsi="Arial;Helvetica;sans-serif"/>
          <w:color w:val="1F1F1F"/>
          <w:sz w:val="22"/>
          <w:u w:val="single"/>
        </w:rPr>
        <w:t>Term</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3.1</w:t>
      </w:r>
      <w:r>
        <w:rPr>
          <w:rFonts w:ascii="Arial;Helvetica;sans-serif" w:hAnsi="Arial;Helvetica;sans-serif"/>
          <w:color w:val="1F1F1F"/>
          <w:sz w:val="22"/>
          <w:u w:val="single"/>
        </w:rPr>
        <w:t>Initial Term</w:t>
      </w:r>
      <w:r>
        <w:rPr>
          <w:rFonts w:ascii="Arial;Helvetica;sans-serif" w:hAnsi="Arial;Helvetica;sans-serif"/>
          <w:color w:val="1F1F1F"/>
          <w:sz w:val="22"/>
        </w:rPr>
        <w:t>. The employment relationship pursuant to this Agreement shall be for an initial term commencing on the Effective Date and shall continue in effect for a period through June 30, 2028 (the “</w:t>
      </w:r>
      <w:r>
        <w:rPr>
          <w:rFonts w:ascii="Arial;Helvetica;sans-serif" w:hAnsi="Arial;Helvetica;sans-serif"/>
          <w:color w:val="1F1F1F"/>
          <w:sz w:val="22"/>
          <w:u w:val="single"/>
        </w:rPr>
        <w:t>Initial Term</w:t>
      </w:r>
      <w:r>
        <w:rPr>
          <w:rFonts w:ascii="Arial;Helvetica;sans-serif" w:hAnsi="Arial;Helvetica;sans-serif"/>
          <w:color w:val="1F1F1F"/>
          <w:sz w:val="22"/>
        </w:rPr>
        <w:t>"), unless sooner terminated in accordance with Section 7.</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3.2</w:t>
      </w:r>
      <w:r>
        <w:rPr>
          <w:rFonts w:ascii="Arial;Helvetica;sans-serif" w:hAnsi="Arial;Helvetica;sans-serif"/>
          <w:color w:val="1F1F1F"/>
          <w:sz w:val="22"/>
          <w:u w:val="single"/>
        </w:rPr>
        <w:t>Renewal</w:t>
      </w:r>
      <w:r>
        <w:rPr>
          <w:rFonts w:ascii="Arial;Helvetica;sans-serif" w:hAnsi="Arial;Helvetica;sans-serif"/>
          <w:color w:val="1F1F1F"/>
          <w:sz w:val="22"/>
        </w:rPr>
        <w:t>. Upon expiration of the Initial Term and each Renewal Term, this Agreement will automatically renew for subsequent one (1) year terms (each a “</w:t>
      </w:r>
      <w:r>
        <w:rPr>
          <w:rFonts w:ascii="Arial;Helvetica;sans-serif" w:hAnsi="Arial;Helvetica;sans-serif"/>
          <w:color w:val="1F1F1F"/>
          <w:sz w:val="22"/>
          <w:u w:val="single"/>
        </w:rPr>
        <w:t>Renewal Term</w:t>
      </w:r>
      <w:r>
        <w:rPr>
          <w:rFonts w:ascii="Arial;Helvetica;sans-serif" w:hAnsi="Arial;Helvetica;sans-serif"/>
          <w:color w:val="1F1F1F"/>
          <w:sz w:val="20"/>
        </w:rPr>
        <w:t>”</w:t>
      </w:r>
      <w:r>
        <w:rPr>
          <w:rFonts w:ascii="Arial;Helvetica;sans-serif" w:hAnsi="Arial;Helvetica;sans-serif"/>
          <w:color w:val="1F1F1F"/>
          <w:sz w:val="22"/>
        </w:rPr>
        <w:t>) unless either party provides ninety (90) days' advance written notice to the other that</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Helvetica;sans-serif" w:hAnsi="Arial;Helvetica;sans-serif"/>
          <w:color w:val="1F1F1F"/>
          <w:sz w:val="22"/>
          <w:u w:val="single"/>
        </w:rPr>
        <w:t>Term</w:t>
      </w:r>
      <w:r>
        <w:rPr>
          <w:rFonts w:ascii="Arial;Helvetica;sans-serif" w:hAnsi="Arial;Helvetica;sans-serif"/>
          <w:color w:val="1F1F1F"/>
          <w:sz w:val="20"/>
        </w:rPr>
        <w:t>”</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4.</w:t>
      </w:r>
      <w:r>
        <w:rPr>
          <w:rFonts w:ascii="Arial;Helvetica;sans-serif" w:hAnsi="Arial;Helvetica;sans-serif"/>
          <w:color w:val="1F1F1F"/>
          <w:sz w:val="22"/>
          <w:u w:val="single"/>
        </w:rPr>
        <w:t>Compensation.</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4.1</w:t>
      </w:r>
      <w:r>
        <w:rPr>
          <w:rFonts w:ascii="Arial;Helvetica;sans-serif" w:hAnsi="Arial;Helvetica;sans-serif"/>
          <w:color w:val="1F1F1F"/>
          <w:sz w:val="22"/>
          <w:u w:val="single"/>
        </w:rPr>
        <w:t>Base Salary</w:t>
      </w:r>
      <w:r>
        <w:rPr>
          <w:rFonts w:ascii="Arial;Helvetica;sans-serif" w:hAnsi="Arial;Helvetica;sans-serif"/>
          <w:color w:val="1F1F1F"/>
          <w:sz w:val="22"/>
        </w:rPr>
        <w:t>. As compensation for Executive’s performance of Executive’s duties hereunder, effective beginning on the Effective Date</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shall pay to Executive an initial Base Salary at the rate of</w:t>
      </w:r>
      <w:r>
        <w:rPr>
          <w:rFonts w:ascii="Arial;Helvetica;sans-serif" w:hAnsi="Arial;Helvetica;sans-serif"/>
          <w:sz w:val="20"/>
        </w:rPr>
        <w:t xml:space="preserve"> </w:t>
      </w:r>
      <w:r>
        <w:rPr>
          <w:rFonts w:ascii="Arial;Helvetica;sans-serif" w:hAnsi="Arial;Helvetica;sans-serif"/>
          <w:sz w:val="22"/>
        </w:rPr>
        <w:t xml:space="preserve">Three </w:t>
      </w:r>
      <w:r>
        <w:rPr>
          <w:rFonts w:ascii="Arial;Helvetica;sans-serif" w:hAnsi="Arial;Helvetica;sans-serif"/>
          <w:color w:val="1F1F1F"/>
          <w:sz w:val="22"/>
        </w:rPr>
        <w:t>Hundred Ninety Thousand Dollars ($</w:t>
      </w:r>
      <w:r>
        <w:rPr>
          <w:rFonts w:ascii="Arial;Helvetica;sans-serif" w:hAnsi="Arial;Helvetica;sans-serif"/>
          <w:sz w:val="22"/>
        </w:rPr>
        <w:t>390,000.00</w:t>
      </w:r>
      <w:r>
        <w:rPr>
          <w:rFonts w:ascii="Arial;Helvetica;sans-serif" w:hAnsi="Arial;Helvetica;sans-serif"/>
          <w:color w:val="1F1F1F"/>
          <w:sz w:val="22"/>
        </w:rPr>
        <w:t>) per year, payable in accordance with the normal payroll practices of</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less required deductions for state and federal withholding tax, social security and all other employment taxes and payroll deductions.</w:t>
      </w:r>
      <w:r>
        <w:rPr>
          <w:rFonts w:ascii="Arial;Helvetica;sans-serif" w:hAnsi="Arial;Helvetica;sans-serif"/>
          <w:sz w:val="20"/>
        </w:rPr>
        <w:t xml:space="preserve"> </w:t>
      </w:r>
      <w:r>
        <w:rPr>
          <w:rFonts w:ascii="Arial;Helvetica;sans-serif" w:hAnsi="Arial;Helvetica;sans-serif"/>
          <w:sz w:val="22"/>
        </w:rPr>
        <w:t>Executive’s</w:t>
      </w:r>
      <w:r>
        <w:rPr>
          <w:rFonts w:ascii="Arial;Helvetica;sans-serif" w:hAnsi="Arial;Helvetica;sans-serif"/>
          <w:color w:val="1F1F1F"/>
          <w:sz w:val="20"/>
        </w:rPr>
        <w:t xml:space="preserve"> </w:t>
      </w:r>
      <w:r>
        <w:rPr>
          <w:rFonts w:ascii="Arial;Helvetica;sans-serif" w:hAnsi="Arial;Helvetica;sans-serif"/>
          <w:color w:val="1F1F1F"/>
          <w:sz w:val="22"/>
        </w:rPr>
        <w:t>Base Salary shall be reviewed annually by the Compensation Committee of</w:t>
      </w:r>
      <w:r>
        <w:rPr>
          <w:rFonts w:ascii="Arial;Helvetica;sans-serif" w:hAnsi="Arial;Helvetica;sans-serif"/>
          <w:sz w:val="20"/>
        </w:rPr>
        <w:t xml:space="preserve"> </w:t>
      </w:r>
      <w:r>
        <w:rPr>
          <w:rFonts w:ascii="Arial;Helvetica;sans-serif" w:hAnsi="Arial;Helvetica;sans-serif"/>
          <w:sz w:val="22"/>
        </w:rPr>
        <w:t>the Board</w:t>
      </w:r>
      <w:r>
        <w:rPr>
          <w:rFonts w:ascii="Arial;Helvetica;sans-serif" w:hAnsi="Arial;Helvetica;sans-serif"/>
          <w:color w:val="1F1F1F"/>
          <w:sz w:val="20"/>
        </w:rPr>
        <w:t xml:space="preserve"> </w:t>
      </w:r>
      <w:r>
        <w:rPr>
          <w:rFonts w:ascii="Arial;Helvetica;sans-serif" w:hAnsi="Arial;Helvetica;sans-serif"/>
          <w:color w:val="1F1F1F"/>
          <w:sz w:val="22"/>
        </w:rPr>
        <w:t>(the “</w:t>
      </w:r>
      <w:r>
        <w:rPr>
          <w:rFonts w:ascii="Arial;Helvetica;sans-serif" w:hAnsi="Arial;Helvetica;sans-serif"/>
          <w:color w:val="1F1F1F"/>
          <w:sz w:val="22"/>
          <w:u w:val="single"/>
        </w:rPr>
        <w:t>Compensation Committee</w:t>
      </w:r>
      <w:r>
        <w:rPr>
          <w:rFonts w:ascii="Arial;Helvetica;sans-serif" w:hAnsi="Arial;Helvetica;sans-serif"/>
          <w:color w:val="1F1F1F"/>
          <w:sz w:val="20"/>
        </w:rPr>
        <w:t>”</w:t>
      </w:r>
      <w:r>
        <w:rPr>
          <w:rFonts w:ascii="Arial;Helvetica;sans-serif" w:hAnsi="Arial;Helvetica;sans-serif"/>
          <w:color w:val="1F1F1F"/>
          <w:sz w:val="22"/>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3"/>
        </w:rPr>
        <w:t>4.2</w:t>
      </w:r>
      <w:r>
        <w:rPr>
          <w:rFonts w:ascii="Arial;Helvetica;sans-serif" w:hAnsi="Arial;Helvetica;sans-serif"/>
          <w:color w:val="1F1F1F"/>
          <w:sz w:val="22"/>
          <w:u w:val="single"/>
        </w:rPr>
        <w:t>Incentive Compensation.</w:t>
      </w:r>
      <w:r>
        <w:rPr>
          <w:rFonts w:ascii="Arial;Helvetica;sans-serif" w:hAnsi="Arial;Helvetica;sans-serif"/>
          <w:color w:val="1F1F1F"/>
          <w:sz w:val="20"/>
        </w:rPr>
        <w:t xml:space="preserve"> </w:t>
      </w:r>
      <w:r>
        <w:rPr>
          <w:rFonts w:ascii="Arial;Helvetica;sans-serif" w:hAnsi="Arial;Helvetica;sans-serif"/>
          <w:color w:val="1F1F1F"/>
          <w:sz w:val="22"/>
        </w:rPr>
        <w:t xml:space="preserve">Executive will be eligible to earn incentive compensation in the form of an annual bonus for each fiscal year of </w:t>
      </w:r>
      <w:r>
        <w:rPr>
          <w:rFonts w:ascii="Arial;Helvetica;sans-serif" w:hAnsi="Arial;Helvetica;sans-serif"/>
          <w:sz w:val="22"/>
        </w:rPr>
        <w:t xml:space="preserve">the </w:t>
      </w:r>
      <w:r>
        <w:rPr>
          <w:rFonts w:ascii="Arial;Helvetica;sans-serif" w:hAnsi="Arial;Helvetica;sans-serif"/>
          <w:color w:val="1F1F1F"/>
          <w:sz w:val="22"/>
        </w:rPr>
        <w:t>Company, to be awarded under</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Company’s annual cash incentive plan as then in effect, with a target amount equal to seventy-five percent (75%) of Executive's Base Salary (the “</w:t>
      </w:r>
      <w:r>
        <w:rPr>
          <w:rFonts w:ascii="Arial;Helvetica;sans-serif" w:hAnsi="Arial;Helvetica;sans-serif"/>
          <w:color w:val="1F1F1F"/>
          <w:sz w:val="22"/>
          <w:u w:val="single"/>
        </w:rPr>
        <w:t>Target Bonus</w:t>
      </w:r>
      <w:r>
        <w:rPr>
          <w:rFonts w:ascii="Arial;Helvetica;sans-serif" w:hAnsi="Arial;Helvetica;sans-serif"/>
          <w:color w:val="1F1F1F"/>
          <w:sz w:val="22"/>
        </w:rPr>
        <w:t xml:space="preserve">").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w:t>
      </w:r>
      <w:r>
        <w:rPr>
          <w:rFonts w:ascii="Arial;Helvetica;sans-serif" w:hAnsi="Arial;Helvetica;sans-serif"/>
          <w:sz w:val="22"/>
        </w:rPr>
        <w:t>the Company’s</w:t>
      </w:r>
      <w:r>
        <w:rPr>
          <w:rFonts w:ascii="Arial;Helvetica;sans-serif" w:hAnsi="Arial;Helvetica;sans-serif"/>
          <w:color w:val="1F1F1F"/>
          <w:sz w:val="20"/>
        </w:rPr>
        <w:t xml:space="preserve"> </w:t>
      </w:r>
      <w:r>
        <w:rPr>
          <w:rFonts w:ascii="Arial;Helvetica;sans-serif" w:hAnsi="Arial;Helvetica;sans-serif"/>
          <w:color w:val="1F1F1F"/>
          <w:sz w:val="22"/>
        </w:rPr>
        <w:t>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3"/>
        </w:rPr>
        <w:t>4.3</w:t>
      </w:r>
      <w:r>
        <w:rPr>
          <w:rFonts w:ascii="Arial;Helvetica;sans-serif" w:hAnsi="Arial;Helvetica;sans-serif"/>
          <w:color w:val="1F1F1F"/>
          <w:sz w:val="22"/>
          <w:u w:val="single"/>
        </w:rPr>
        <w:t>Equity Awards</w:t>
      </w:r>
      <w:r>
        <w:rPr>
          <w:rFonts w:ascii="Arial;Helvetica;sans-serif" w:hAnsi="Arial;Helvetica;sans-serif"/>
          <w:color w:val="1F1F1F"/>
          <w:sz w:val="22"/>
        </w:rPr>
        <w:t>. Executive will be eligible to receive stock, option or other equity awards (each, an “</w:t>
      </w:r>
      <w:r>
        <w:rPr>
          <w:rFonts w:ascii="Arial;Helvetica;sans-serif" w:hAnsi="Arial;Helvetica;sans-serif"/>
          <w:color w:val="1F1F1F"/>
          <w:sz w:val="22"/>
          <w:u w:val="single"/>
        </w:rPr>
        <w:t>Equity Award</w:t>
      </w:r>
      <w:r>
        <w:rPr>
          <w:rFonts w:ascii="Arial;Helvetica;sans-serif" w:hAnsi="Arial;Helvetica;sans-serif"/>
          <w:color w:val="1F1F1F"/>
          <w:sz w:val="20"/>
        </w:rPr>
        <w:t>”</w:t>
      </w:r>
      <w:r>
        <w:rPr>
          <w:rFonts w:ascii="Arial;Helvetica;sans-serif" w:hAnsi="Arial;Helvetica;sans-serif"/>
          <w:color w:val="1F1F1F"/>
          <w:sz w:val="22"/>
        </w:rPr>
        <w:t xml:space="preserve">) under </w:t>
      </w:r>
      <w:r>
        <w:rPr>
          <w:rFonts w:ascii="Arial;Helvetica;sans-serif" w:hAnsi="Arial;Helvetica;sans-serif"/>
          <w:sz w:val="22"/>
        </w:rPr>
        <w:t xml:space="preserve">the </w:t>
      </w:r>
      <w:r>
        <w:rPr>
          <w:rFonts w:ascii="Arial;Helvetica;sans-serif" w:hAnsi="Arial;Helvetica;sans-serif"/>
          <w:color w:val="1F1F1F"/>
          <w:sz w:val="22"/>
        </w:rPr>
        <w:t>Company’s equity incentive plan as then in effect (the “</w:t>
      </w:r>
      <w:r>
        <w:rPr>
          <w:rFonts w:ascii="Arial;Helvetica;sans-serif" w:hAnsi="Arial;Helvetica;sans-serif"/>
          <w:color w:val="1F1F1F"/>
          <w:sz w:val="22"/>
          <w:u w:val="single"/>
        </w:rPr>
        <w:t>Plan</w:t>
      </w:r>
      <w:r>
        <w:rPr>
          <w:rFonts w:ascii="Arial;Helvetica;sans-serif" w:hAnsi="Arial;Helvetica;sans-serif"/>
          <w:color w:val="1F1F1F"/>
          <w:sz w:val="20"/>
        </w:rPr>
        <w:t>”</w:t>
      </w:r>
      <w:r>
        <w:rPr>
          <w:rFonts w:ascii="Arial;Helvetica;sans-serif" w:hAnsi="Arial;Helvetica;sans-serif"/>
          <w:color w:val="1F1F1F"/>
          <w:sz w:val="22"/>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5.</w:t>
      </w:r>
      <w:r>
        <w:rPr>
          <w:rFonts w:ascii="Arial;Helvetica;sans-serif" w:hAnsi="Arial;Helvetica;sans-serif"/>
          <w:color w:val="1F1F1F"/>
          <w:sz w:val="22"/>
          <w:u w:val="single"/>
        </w:rPr>
        <w:t>Customary Fringe Benefits</w:t>
      </w:r>
      <w:r>
        <w:rPr>
          <w:rFonts w:ascii="Arial;Helvetica;sans-serif" w:hAnsi="Arial;Helvetica;sans-serif"/>
          <w:color w:val="1F1F1F"/>
          <w:sz w:val="22"/>
        </w:rPr>
        <w:t xml:space="preserve">. Executive will be eligible for all customary and usual fringe benefits generally available to senior management of </w:t>
      </w:r>
      <w:r>
        <w:rPr>
          <w:rFonts w:ascii="Arial;Helvetica;sans-serif" w:hAnsi="Arial;Helvetica;sans-serif"/>
          <w:sz w:val="22"/>
        </w:rPr>
        <w:t xml:space="preserve">the </w:t>
      </w:r>
      <w:r>
        <w:rPr>
          <w:rFonts w:ascii="Arial;Helvetica;sans-serif" w:hAnsi="Arial;Helvetica;sans-serif"/>
          <w:color w:val="1F1F1F"/>
          <w:sz w:val="22"/>
        </w:rPr>
        <w:t xml:space="preserve">Company, subject to the terms and conditions of </w:t>
      </w:r>
      <w:r>
        <w:rPr>
          <w:rFonts w:ascii="Arial;Helvetica;sans-serif" w:hAnsi="Arial;Helvetica;sans-serif"/>
          <w:sz w:val="22"/>
        </w:rPr>
        <w:t>the Company’s</w:t>
      </w:r>
      <w:r>
        <w:rPr>
          <w:rFonts w:ascii="Arial;Helvetica;sans-serif" w:hAnsi="Arial;Helvetica;sans-serif"/>
          <w:color w:val="1F1F1F"/>
          <w:sz w:val="20"/>
        </w:rPr>
        <w:t xml:space="preserve"> </w:t>
      </w:r>
      <w:r>
        <w:rPr>
          <w:rFonts w:ascii="Arial;Helvetica;sans-serif" w:hAnsi="Arial;Helvetica;sans-serif"/>
          <w:color w:val="1F1F1F"/>
          <w:sz w:val="22"/>
        </w:rPr>
        <w:t xml:space="preserve">benefit plan documents. </w:t>
      </w:r>
      <w:r>
        <w:rPr>
          <w:rFonts w:ascii="Arial;Helvetica;sans-serif" w:hAnsi="Arial;Helvetica;sans-serif"/>
          <w:sz w:val="22"/>
        </w:rPr>
        <w:t xml:space="preserve">The </w:t>
      </w:r>
      <w:r>
        <w:rPr>
          <w:rFonts w:ascii="Arial;Helvetica;sans-serif" w:hAnsi="Arial;Helvetica;sans-serif"/>
          <w:color w:val="1F1F1F"/>
          <w:sz w:val="22"/>
        </w:rPr>
        <w:t>Company reserves the right to</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color w:val="1F1F1F"/>
          <w:sz w:val="22"/>
        </w:rPr>
      </w:pPr>
      <w:r>
        <w:rPr>
          <w:rFonts w:ascii="Arial;Helvetica;sans-serif" w:hAnsi="Arial;Helvetica;sans-serif"/>
          <w:color w:val="1F1F1F"/>
          <w:sz w:val="22"/>
        </w:rPr>
        <w:t>change or eliminate fringe benefits on a prospective basis, at any time, effective upon notice to Executive.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6.</w:t>
      </w:r>
      <w:r>
        <w:rPr>
          <w:rFonts w:ascii="Arial;Helvetica;sans-serif" w:hAnsi="Arial;Helvetica;sans-serif"/>
          <w:color w:val="1F1F1F"/>
          <w:sz w:val="22"/>
          <w:u w:val="single"/>
        </w:rPr>
        <w:t>Business Expenses</w:t>
      </w:r>
      <w:r>
        <w:rPr>
          <w:rFonts w:ascii="Arial;Helvetica;sans-serif" w:hAnsi="Arial;Helvetica;sans-serif"/>
          <w:color w:val="1F1F1F"/>
          <w:sz w:val="22"/>
        </w:rPr>
        <w:t xml:space="preserve">. Executive will be reimbursed for all reasonable, out-of- pocket business expenses incurred in the performance of Executive's duties on behalf of </w:t>
      </w:r>
      <w:r>
        <w:rPr>
          <w:rFonts w:ascii="Arial;Helvetica;sans-serif" w:hAnsi="Arial;Helvetica;sans-serif"/>
          <w:sz w:val="22"/>
        </w:rPr>
        <w:t xml:space="preserve">the </w:t>
      </w:r>
      <w:r>
        <w:rPr>
          <w:rFonts w:ascii="Arial;Helvetica;sans-serif" w:hAnsi="Arial;Helvetica;sans-serif"/>
          <w:color w:val="1F1F1F"/>
          <w:sz w:val="22"/>
        </w:rPr>
        <w:t xml:space="preserve">Company. To obtain reimbursement, expenses must be submitted promptly with appropriate supporting documentation and will be reimbursed in accordance with </w:t>
      </w:r>
      <w:r>
        <w:rPr>
          <w:rFonts w:ascii="Arial;Helvetica;sans-serif" w:hAnsi="Arial;Helvetica;sans-serif"/>
          <w:sz w:val="22"/>
        </w:rPr>
        <w:t>the Company’s</w:t>
      </w:r>
      <w:r>
        <w:rPr>
          <w:rFonts w:ascii="Arial;Helvetica;sans-serif" w:hAnsi="Arial;Helvetica;sans-serif"/>
          <w:color w:val="1F1F1F"/>
          <w:sz w:val="20"/>
        </w:rPr>
        <w:t xml:space="preserve"> </w:t>
      </w:r>
      <w:r>
        <w:rPr>
          <w:rFonts w:ascii="Arial;Helvetica;sans-serif" w:hAnsi="Arial;Helvetica;sans-serif"/>
          <w:color w:val="1F1F1F"/>
          <w:sz w:val="22"/>
        </w:rPr>
        <w:t>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w:t>
      </w:r>
      <w:r>
        <w:rPr>
          <w:rFonts w:ascii="Arial;Helvetica;sans-serif" w:hAnsi="Arial;Helvetica;sans-serif"/>
          <w:color w:val="1F1F1F"/>
          <w:sz w:val="22"/>
          <w:u w:val="single"/>
        </w:rPr>
        <w:t>Termination of Executive's Employment</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7.1</w:t>
      </w:r>
      <w:r>
        <w:rPr>
          <w:rFonts w:ascii="Arial;Helvetica;sans-serif" w:hAnsi="Arial;Helvetica;sans-serif"/>
          <w:color w:val="1F1F1F"/>
          <w:sz w:val="22"/>
          <w:u w:val="single"/>
        </w:rPr>
        <w:t>Termination for Cause by Company</w:t>
      </w:r>
      <w:r>
        <w:rPr>
          <w:rFonts w:ascii="Arial;Helvetica;sans-serif" w:hAnsi="Arial;Helvetica;sans-serif"/>
          <w:color w:val="1F1F1F"/>
          <w:sz w:val="22"/>
        </w:rPr>
        <w:t>. Although</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anticipates the continuation of a mutually rewarding employment relationship with Executive, </w:t>
      </w:r>
      <w:r>
        <w:rPr>
          <w:rFonts w:ascii="Arial;Helvetica;sans-serif" w:hAnsi="Arial;Helvetica;sans-serif"/>
          <w:sz w:val="22"/>
        </w:rPr>
        <w:t xml:space="preserve">the </w:t>
      </w:r>
      <w:r>
        <w:rPr>
          <w:rFonts w:ascii="Arial;Helvetica;sans-serif" w:hAnsi="Arial;Helvetica;sans-serif"/>
          <w:color w:val="1F1F1F"/>
          <w:sz w:val="22"/>
        </w:rPr>
        <w:t>Company may terminate Executive’s employment immediately at any time for Cause. For purposes of this Agreement, "</w:t>
      </w:r>
      <w:r>
        <w:rPr>
          <w:rFonts w:ascii="Arial;Helvetica;sans-serif" w:hAnsi="Arial;Helvetica;sans-serif"/>
          <w:color w:val="1F1F1F"/>
          <w:sz w:val="22"/>
          <w:u w:val="single"/>
        </w:rPr>
        <w:t>Cause</w:t>
      </w:r>
      <w:r>
        <w:rPr>
          <w:rFonts w:ascii="Arial;Helvetica;sans-serif" w:hAnsi="Arial;Helvetica;sans-serif"/>
          <w:color w:val="1F1F1F"/>
          <w:sz w:val="20"/>
        </w:rPr>
        <w:t xml:space="preserve"> </w:t>
      </w:r>
      <w:r>
        <w:rPr>
          <w:rFonts w:ascii="Arial;Helvetica;sans-serif" w:hAnsi="Arial;Helvetica;sans-serif"/>
          <w:color w:val="1F1F1F"/>
          <w:sz w:val="22"/>
        </w:rPr>
        <w:t xml:space="preserve">is defined as: (a) acts or omissions constituting gross negligence, recklessness or willful misconduct on the part of Executive with respect to Executive’s obligations or otherwise relating to the business of </w:t>
      </w:r>
      <w:r>
        <w:rPr>
          <w:rFonts w:ascii="Arial;Helvetica;sans-serif" w:hAnsi="Arial;Helvetica;sans-serif"/>
          <w:sz w:val="22"/>
        </w:rPr>
        <w:t xml:space="preserve">the </w:t>
      </w:r>
      <w:r>
        <w:rPr>
          <w:rFonts w:ascii="Arial;Helvetica;sans-serif" w:hAnsi="Arial;Helvetica;sans-serif"/>
          <w:color w:val="1F1F1F"/>
          <w:sz w:val="22"/>
        </w:rPr>
        <w:t xml:space="preserve">Company; (b) Executive’s material breach of this Agreement including, without limitation, any breach of Section 8, Section 9 or Section 11; (c) Executive’s breach of </w:t>
      </w:r>
      <w:r>
        <w:rPr>
          <w:rFonts w:ascii="Arial;Helvetica;sans-serif" w:hAnsi="Arial;Helvetica;sans-serif"/>
          <w:sz w:val="22"/>
        </w:rPr>
        <w:t>the Company’s</w:t>
      </w:r>
      <w:r>
        <w:rPr>
          <w:rFonts w:ascii="Arial;Helvetica;sans-serif" w:hAnsi="Arial;Helvetica;sans-serif"/>
          <w:color w:val="1F1F1F"/>
          <w:sz w:val="20"/>
        </w:rPr>
        <w:t xml:space="preserve"> </w:t>
      </w:r>
      <w:r>
        <w:rPr>
          <w:rFonts w:ascii="Arial;Helvetica;sans-serif" w:hAnsi="Arial;Helvetica;sans-serif"/>
          <w:color w:val="1F1F1F"/>
          <w:sz w:val="22"/>
        </w:rPr>
        <w:t xml:space="preserve">Employee Nondisclosure and Assignment Agreement (a copy of which has been executed and delivered to </w:t>
      </w:r>
      <w:r>
        <w:rPr>
          <w:rFonts w:ascii="Arial;Helvetica;sans-serif" w:hAnsi="Arial;Helvetica;sans-serif"/>
          <w:sz w:val="22"/>
        </w:rPr>
        <w:t xml:space="preserve">the </w:t>
      </w:r>
      <w:r>
        <w:rPr>
          <w:rFonts w:ascii="Arial;Helvetica;sans-serif" w:hAnsi="Arial;Helvetica;sans-serif"/>
          <w:color w:val="1F1F1F"/>
          <w:sz w:val="22"/>
        </w:rPr>
        <w:t>Company with this Agreement) (the “</w:t>
      </w:r>
      <w:r>
        <w:rPr>
          <w:rFonts w:ascii="Arial;Helvetica;sans-serif" w:hAnsi="Arial;Helvetica;sans-serif"/>
          <w:color w:val="1F1F1F"/>
          <w:sz w:val="22"/>
          <w:u w:val="single"/>
        </w:rPr>
        <w:t>Nondisclosure Agreement”</w:t>
      </w:r>
      <w:r>
        <w:rPr>
          <w:rFonts w:ascii="Arial;Helvetica;sans-serif" w:hAnsi="Arial;Helvetica;sans-serif"/>
          <w:color w:val="1F1F1F"/>
          <w:sz w:val="22"/>
        </w:rPr>
        <w:t xml:space="preserve">); (d) Executive's conviction or entry of a plea of </w:t>
      </w:r>
      <w:r>
        <w:rPr>
          <w:rFonts w:ascii="Arial;Helvetica;sans-serif" w:hAnsi="Arial;Helvetica;sans-serif"/>
          <w:i/>
          <w:color w:val="1F1F1F"/>
          <w:sz w:val="22"/>
        </w:rPr>
        <w:t xml:space="preserve">nolo contendere </w:t>
      </w:r>
      <w:r>
        <w:rPr>
          <w:rFonts w:ascii="Arial;Helvetica;sans-serif" w:hAnsi="Arial;Helvetica;sans-serif"/>
          <w:color w:val="1F1F1F"/>
          <w:sz w:val="22"/>
        </w:rPr>
        <w:t xml:space="preserve">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w:t>
      </w:r>
      <w:r>
        <w:rPr>
          <w:rFonts w:ascii="Arial;Helvetica;sans-serif" w:hAnsi="Arial;Helvetica;sans-serif"/>
          <w:sz w:val="22"/>
        </w:rPr>
        <w:t>the Board</w:t>
      </w:r>
      <w:r>
        <w:rPr>
          <w:rFonts w:ascii="Arial;Helvetica;sans-serif" w:hAnsi="Arial;Helvetica;sans-serif"/>
          <w:color w:val="1F1F1F"/>
          <w:sz w:val="22"/>
        </w:rPr>
        <w:t xml:space="preserve">, provided that Executive has received written notice of the action or omission giving rise to such determination and has failed to remedy such situation to the satisfaction of </w:t>
      </w:r>
      <w:r>
        <w:rPr>
          <w:rFonts w:ascii="Arial;Helvetica;sans-serif" w:hAnsi="Arial;Helvetica;sans-serif"/>
          <w:sz w:val="22"/>
        </w:rPr>
        <w:t>the Board</w:t>
      </w:r>
      <w:r>
        <w:rPr>
          <w:rFonts w:ascii="Arial;Helvetica;sans-serif" w:hAnsi="Arial;Helvetica;sans-serif"/>
          <w:color w:val="1F1F1F"/>
          <w:sz w:val="20"/>
        </w:rPr>
        <w:t xml:space="preserve"> </w:t>
      </w:r>
      <w:r>
        <w:rPr>
          <w:rFonts w:ascii="Arial;Helvetica;sans-serif" w:hAnsi="Arial;Helvetica;sans-serif"/>
          <w:color w:val="1F1F1F"/>
          <w:sz w:val="22"/>
        </w:rPr>
        <w:t>within thirty (30) days following receipt of such written notice, unless Executive’s action or omission is not subject to cure, in which case no such notice shall be required; or (g) Executive's death. In the event Executive's employment is terminated in accordance with this Section 7.1, Executive shall be entitled to receive only Executive's Base Salary then in effect, prorated to the date of Executive’s termination of employment with</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(the “</w:t>
      </w:r>
      <w:r>
        <w:rPr>
          <w:rFonts w:ascii="Arial;Helvetica;sans-serif" w:hAnsi="Arial;Helvetica;sans-serif"/>
          <w:color w:val="1F1F1F"/>
          <w:sz w:val="22"/>
          <w:u w:val="single"/>
        </w:rPr>
        <w:t>Termination Date</w:t>
      </w:r>
      <w:r>
        <w:rPr>
          <w:rFonts w:ascii="Arial;Helvetica;sans-serif" w:hAnsi="Arial;Helvetica;sans-serif"/>
          <w:color w:val="1F1F1F"/>
          <w:sz w:val="20"/>
        </w:rPr>
        <w:t>”</w:t>
      </w:r>
      <w:r>
        <w:rPr>
          <w:rFonts w:ascii="Arial;Helvetica;sans-serif" w:hAnsi="Arial;Helvetica;sans-serif"/>
          <w:color w:val="1F1F1F"/>
          <w:sz w:val="22"/>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w:t>
      </w:r>
      <w:r>
        <w:rPr>
          <w:rFonts w:ascii="Arial;Helvetica;sans-serif" w:hAnsi="Arial;Helvetica;sans-serif"/>
          <w:sz w:val="20"/>
        </w:rPr>
        <w:t> </w:t>
      </w:r>
      <w:r>
        <w:rPr>
          <w:rFonts w:ascii="Arial;Helvetica;sans-serif" w:hAnsi="Arial;Helvetica;sans-serif"/>
          <w:sz w:val="22"/>
        </w:rPr>
        <w:t>14</w:t>
      </w:r>
      <w:r>
        <w:rPr>
          <w:rFonts w:ascii="Arial;Helvetica;sans-serif" w:hAnsi="Arial;Helvetica;sans-serif"/>
          <w:color w:val="1F1F1F"/>
          <w:sz w:val="22"/>
        </w:rPr>
        <w:t>.8. Executive will not be entitled to receive the Severance Package described in Section 7.2</w:t>
      </w:r>
      <w:r>
        <w:rPr>
          <w:rFonts w:ascii="Arial;Helvetica;sans-serif" w:hAnsi="Arial;Helvetica;sans-serif"/>
          <w:sz w:val="22"/>
        </w:rPr>
        <w:t>.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7.2</w:t>
      </w:r>
      <w:r>
        <w:rPr>
          <w:rFonts w:ascii="Arial;Helvetica;sans-serif" w:hAnsi="Arial;Helvetica;sans-serif"/>
          <w:color w:val="1F1F1F"/>
          <w:sz w:val="22"/>
          <w:u w:val="single"/>
        </w:rPr>
        <w:t>Termination Without Cause by Company.</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Helvetica;sans-serif" w:hAnsi="Arial;Helvetica;sans-serif"/>
          <w:color w:val="1F1F1F"/>
          <w:sz w:val="22"/>
          <w:u w:val="single"/>
        </w:rPr>
        <w:t>Severance Package”</w:t>
      </w:r>
      <w:r>
        <w:rPr>
          <w:rFonts w:ascii="Arial;Helvetica;sans-serif" w:hAnsi="Arial;Helvetica;sans-serif"/>
          <w:color w:val="1F1F1F"/>
          <w:sz w:val="20"/>
        </w:rPr>
        <w:t xml:space="preserve"> </w:t>
      </w:r>
      <w:r>
        <w:rPr>
          <w:rFonts w:ascii="Arial;Helvetica;sans-serif" w:hAnsi="Arial;Helvetica;sans-serif"/>
          <w:color w:val="1F1F1F"/>
          <w:sz w:val="22"/>
        </w:rPr>
        <w:t>that shall consist of:</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rPr/>
      </w:pPr>
      <w:r>
        <w:rPr/>
      </w:r>
    </w:p>
    <w:p>
      <w:pPr>
        <w:pStyle w:val="TextBody"/>
        <w:spacing w:before="0" w:after="0"/>
        <w:ind w:left="0" w:right="0" w:hanging="0"/>
        <w:rPr/>
      </w:pPr>
      <w:r>
        <w:rPr/>
        <w:t>​</w:t>
      </w:r>
    </w:p>
    <w:p>
      <w:pPr>
        <w:pStyle w:val="TextBody"/>
        <w:spacing w:before="0" w:after="240"/>
        <w:ind w:left="0" w:right="0" w:firstLine="2160"/>
        <w:jc w:val="both"/>
        <w:rPr>
          <w:rFonts w:ascii="Arial;Helvetica;sans-serif" w:hAnsi="Arial;Helvetica;sans-serif"/>
          <w:sz w:val="22"/>
        </w:rPr>
      </w:pPr>
      <w:r>
        <w:rPr>
          <w:rFonts w:ascii="Arial;Helvetica;sans-serif" w:hAnsi="Arial;Helvetica;sans-serif"/>
          <w:sz w:val="22"/>
        </w:rPr>
        <w:t>(a)severance in an amount equal to the sum of (i) twelve (12) months of Executive’s Base Salary then in effect on the Termination Date, and (ii) 100% of Executive’s Target Bonus for the fiscal year in which the Termination Date occurs, with the total of such amounts to be payable over twelve (12) months in equal installments in accordance with the Company’s regular payroll cycle, commencing with the first payroll date occurring on or after the 60th day following the Termination Date;</w:t>
      </w:r>
    </w:p>
    <w:p>
      <w:pPr>
        <w:pStyle w:val="TextBody"/>
        <w:spacing w:before="0" w:after="240"/>
        <w:ind w:left="0" w:right="0" w:firstLine="2160"/>
        <w:jc w:val="both"/>
        <w:rPr>
          <w:rFonts w:ascii="Arial;Helvetica;sans-serif" w:hAnsi="Arial;Helvetica;sans-serif"/>
          <w:sz w:val="20"/>
        </w:rPr>
      </w:pPr>
      <w:r>
        <w:rPr>
          <w:rFonts w:ascii="Arial;Helvetica;sans-serif" w:hAnsi="Arial;Helvetica;sans-serif"/>
          <w:sz w:val="22"/>
        </w:rPr>
        <w:t>(b)payment by the Company of the premiums required to continue Executive’s group health care coverage under the applicable provisions of the Consolidated Omnibus Budget Reconciliation Act of 1985 (“</w:t>
      </w:r>
      <w:r>
        <w:rPr>
          <w:rFonts w:ascii="Arial;Helvetica;sans-serif" w:hAnsi="Arial;Helvetica;sans-serif"/>
          <w:sz w:val="22"/>
          <w:u w:val="single"/>
        </w:rPr>
        <w:t>COBRA</w:t>
      </w:r>
      <w:r>
        <w:rPr>
          <w:rFonts w:ascii="Arial;Helvetica;sans-serif" w:hAnsi="Arial;Helvetica;sans-serif"/>
          <w:sz w:val="20"/>
        </w:rPr>
        <w:t>”</w:t>
      </w:r>
      <w:r>
        <w:rPr>
          <w:rFonts w:ascii="Arial;Helvetica;sans-serif" w:hAnsi="Arial;Helvetica;sans-serif"/>
          <w:sz w:val="22"/>
        </w:rPr>
        <w:t>) for a period (the “</w:t>
      </w:r>
      <w:r>
        <w:rPr>
          <w:rFonts w:ascii="Arial;Helvetica;sans-serif" w:hAnsi="Arial;Helvetica;sans-serif"/>
          <w:sz w:val="22"/>
          <w:u w:val="single"/>
        </w:rPr>
        <w:t>COBRA Payment Period</w:t>
      </w:r>
      <w:r>
        <w:rPr>
          <w:rFonts w:ascii="Arial;Helvetica;sans-serif" w:hAnsi="Arial;Helvetica;sans-serif"/>
          <w:sz w:val="20"/>
        </w:rPr>
        <w:t>”</w:t>
      </w:r>
      <w:r>
        <w:rPr>
          <w:rFonts w:ascii="Arial;Helvetica;sans-serif" w:hAnsi="Arial;Helvetica;sans-serif"/>
          <w:sz w:val="22"/>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pStyle w:val="TextBody"/>
        <w:spacing w:before="0" w:after="240"/>
        <w:ind w:left="0" w:right="0" w:firstLine="2160"/>
        <w:jc w:val="both"/>
        <w:rPr>
          <w:rFonts w:ascii="Arial;Helvetica;sans-serif" w:hAnsi="Arial;Helvetica;sans-serif"/>
          <w:sz w:val="22"/>
        </w:rPr>
      </w:pPr>
      <w:r>
        <w:rPr>
          <w:rFonts w:ascii="Arial;Helvetica;sans-serif" w:hAnsi="Arial;Helvetica;sans-serif"/>
          <w:sz w:val="22"/>
        </w:rPr>
        <w:t>(c)acceleration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2"/>
        </w:rPr>
        <w:t>Notwithstanding Section 7.2(b), if</w:t>
      </w:r>
      <w:r>
        <w:rPr>
          <w:rFonts w:ascii="Arial;Helvetica;sans-serif" w:hAnsi="Arial;Helvetica;sans-serif"/>
          <w:sz w:val="20"/>
        </w:rPr>
        <w:t xml:space="preserve"> </w:t>
      </w:r>
      <w:r>
        <w:rPr>
          <w:rFonts w:ascii="Arial;Helvetica;sans-serif" w:hAnsi="Arial;Helvetica;sans-serif"/>
          <w:sz w:val="23"/>
        </w:rPr>
        <w:t xml:space="preserve">the </w:t>
      </w:r>
      <w:r>
        <w:rPr>
          <w:rFonts w:ascii="Arial;Helvetica;sans-serif" w:hAnsi="Arial;Helvetica;sans-serif"/>
          <w:sz w:val="22"/>
        </w:rPr>
        <w:t>Company determines, in its sole discretion, that the payment of the COBRA premiums would result in a violation of the nondiscrimination rules of Section 105(h)(2) of the Internal Revenue Code of 1986, as amended (the “</w:t>
      </w:r>
      <w:r>
        <w:rPr>
          <w:rFonts w:ascii="Arial;Helvetica;sans-serif" w:hAnsi="Arial;Helvetica;sans-serif"/>
          <w:sz w:val="22"/>
          <w:u w:val="single"/>
        </w:rPr>
        <w:t>Code</w:t>
      </w:r>
      <w:r>
        <w:rPr>
          <w:rFonts w:ascii="Arial;Helvetica;sans-serif" w:hAnsi="Arial;Helvetica;sans-serif"/>
          <w:sz w:val="20"/>
        </w:rPr>
        <w:t>”</w:t>
      </w:r>
      <w:r>
        <w:rPr>
          <w:rFonts w:ascii="Arial;Helvetica;sans-serif" w:hAnsi="Arial;Helvetica;sans-serif"/>
          <w:sz w:val="22"/>
        </w:rPr>
        <w:t xml:space="preserve">), or any statute or regulation of similar effect (including but not limited to the 2010 Patient Protection and Affordable Care Act, as amended by the 2010 Health Care and Education Reconciliation Act), then in lieu of providing the COBRA premiums, </w:t>
      </w:r>
      <w:r>
        <w:rPr>
          <w:rFonts w:ascii="Arial;Helvetica;sans-serif" w:hAnsi="Arial;Helvetica;sans-serif"/>
          <w:sz w:val="23"/>
        </w:rPr>
        <w:t xml:space="preserve">the </w:t>
      </w:r>
      <w:r>
        <w:rPr>
          <w:rFonts w:ascii="Arial;Helvetica;sans-serif" w:hAnsi="Arial;Helvetica;sans-serif"/>
          <w:sz w:val="22"/>
        </w:rPr>
        <w:t>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Helvetica;sans-serif" w:hAnsi="Arial;Helvetica;sans-serif"/>
          <w:sz w:val="22"/>
          <w:u w:val="single"/>
        </w:rPr>
        <w:t>Special Severance Payment</w:t>
      </w:r>
      <w:r>
        <w:rPr>
          <w:rFonts w:ascii="Arial;Helvetica;sans-serif" w:hAnsi="Arial;Helvetica;sans-serif"/>
          <w:sz w:val="22"/>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7.3</w:t>
      </w:r>
      <w:r>
        <w:rPr>
          <w:rFonts w:ascii="Arial;Helvetica;sans-serif" w:hAnsi="Arial;Helvetica;sans-serif"/>
          <w:color w:val="1F1F1F"/>
          <w:sz w:val="22"/>
          <w:u w:val="single"/>
        </w:rPr>
        <w:t>Voluntary Resignation by Executive for Good Reason</w:t>
      </w:r>
      <w:r>
        <w:rPr>
          <w:rFonts w:ascii="Arial;Helvetica;sans-serif" w:hAnsi="Arial;Helvetica;sans-serif"/>
          <w:color w:val="1F1F1F"/>
          <w:sz w:val="22"/>
        </w:rPr>
        <w:t xml:space="preserve">. Executive may voluntarily resign Executive's position with </w:t>
      </w:r>
      <w:r>
        <w:rPr>
          <w:rFonts w:ascii="Arial;Helvetica;sans-serif" w:hAnsi="Arial;Helvetica;sans-serif"/>
          <w:sz w:val="22"/>
        </w:rPr>
        <w:t xml:space="preserve">the </w:t>
      </w:r>
      <w:r>
        <w:rPr>
          <w:rFonts w:ascii="Arial;Helvetica;sans-serif" w:hAnsi="Arial;Helvetica;sans-serif"/>
          <w:color w:val="1F1F1F"/>
          <w:sz w:val="22"/>
        </w:rPr>
        <w:t xml:space="preserve">Company for Good Reason at any time on thirty (30) days' advance written notice to </w:t>
      </w:r>
      <w:r>
        <w:rPr>
          <w:rFonts w:ascii="Arial;Helvetica;sans-serif" w:hAnsi="Arial;Helvetica;sans-serif"/>
          <w:sz w:val="22"/>
        </w:rPr>
        <w:t xml:space="preserve">the </w:t>
      </w:r>
      <w:r>
        <w:rPr>
          <w:rFonts w:ascii="Arial;Helvetica;sans-serif" w:hAnsi="Arial;Helvetica;sans-serif"/>
          <w:color w:val="1F1F1F"/>
          <w:sz w:val="22"/>
        </w:rPr>
        <w:t xml:space="preserve">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w:t>
      </w:r>
      <w:r>
        <w:rPr>
          <w:rFonts w:ascii="Arial;Helvetica;sans-serif" w:hAnsi="Arial;Helvetica;sans-serif"/>
          <w:sz w:val="22"/>
        </w:rPr>
        <w:t>14</w:t>
      </w:r>
      <w:r>
        <w:rPr>
          <w:rFonts w:ascii="Arial;Helvetica;sans-serif" w:hAnsi="Arial;Helvetica;sans-serif"/>
          <w:color w:val="1F1F1F"/>
          <w:sz w:val="22"/>
        </w:rPr>
        <w:t>.8. Executive will be deemed to have resigned for Good Reason if Executive voluntarily terminates Executive's employment with</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within ninety (90) days following the first occurrence of a condition constituting Good Reason. “</w:t>
      </w:r>
      <w:r>
        <w:rPr>
          <w:rFonts w:ascii="Arial;Helvetica;sans-serif" w:hAnsi="Arial;Helvetica;sans-serif"/>
          <w:color w:val="1F1F1F"/>
          <w:sz w:val="22"/>
          <w:u w:val="single"/>
        </w:rPr>
        <w:t>Good Reason</w:t>
      </w:r>
      <w:r>
        <w:rPr>
          <w:rFonts w:ascii="Arial;Helvetica;sans-serif" w:hAnsi="Arial;Helvetica;sans-serif"/>
          <w:color w:val="1F1F1F"/>
          <w:sz w:val="20"/>
        </w:rPr>
        <w:t xml:space="preserve">” </w:t>
      </w:r>
      <w:r>
        <w:rPr>
          <w:rFonts w:ascii="Arial;Helvetica;sans-serif" w:hAnsi="Arial;Helvetica;sans-serif"/>
          <w:color w:val="1F1F1F"/>
          <w:sz w:val="22"/>
        </w:rPr>
        <w:t xml:space="preserve">means the occurrence of any of the following conditions without Executive's written consent, which condition(s) remain(s) in effect thirty (30) days after Executive provides written notice to </w:t>
      </w:r>
      <w:r>
        <w:rPr>
          <w:rFonts w:ascii="Arial;Helvetica;sans-serif" w:hAnsi="Arial;Helvetica;sans-serif"/>
          <w:sz w:val="22"/>
        </w:rPr>
        <w:t xml:space="preserve">the </w:t>
      </w:r>
      <w:r>
        <w:rPr>
          <w:rFonts w:ascii="Arial;Helvetica;sans-serif" w:hAnsi="Arial;Helvetica;sans-serif"/>
          <w:color w:val="1F1F1F"/>
          <w:sz w:val="22"/>
        </w:rPr>
        <w:t>Company of such condition(s): (i) a material reduction in Executive’s Base Salary as then in effect prior to such reduction, other than as part of a salary reduction program among similar</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sz w:val="20"/>
        </w:rPr>
      </w:pPr>
      <w:r>
        <w:rPr>
          <w:rFonts w:ascii="Arial;Helvetica;sans-serif" w:hAnsi="Arial;Helvetica;sans-serif"/>
          <w:color w:val="1F1F1F"/>
          <w:sz w:val="22"/>
        </w:rPr>
        <w:t xml:space="preserve">management employees, (ii) a material diminution in Executive's authority, duties or responsibilities as an employee of </w:t>
      </w:r>
      <w:r>
        <w:rPr>
          <w:rFonts w:ascii="Arial;Helvetica;sans-serif" w:hAnsi="Arial;Helvetica;sans-serif"/>
          <w:sz w:val="22"/>
        </w:rPr>
        <w:t xml:space="preserve">the </w:t>
      </w:r>
      <w:r>
        <w:rPr>
          <w:rFonts w:ascii="Arial;Helvetica;sans-serif" w:hAnsi="Arial;Helvetica;sans-serif"/>
          <w:color w:val="1F1F1F"/>
          <w:sz w:val="22"/>
        </w:rPr>
        <w:t xml:space="preserve">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w:t>
      </w:r>
      <w:r>
        <w:rPr>
          <w:rFonts w:ascii="Arial;Helvetica;sans-serif" w:hAnsi="Arial;Helvetica;sans-serif"/>
          <w:sz w:val="22"/>
        </w:rPr>
        <w:t xml:space="preserve">the </w:t>
      </w:r>
      <w:r>
        <w:rPr>
          <w:rFonts w:ascii="Arial;Helvetica;sans-serif" w:hAnsi="Arial;Helvetica;sans-serif"/>
          <w:color w:val="1F1F1F"/>
          <w:sz w:val="22"/>
        </w:rPr>
        <w:t>Company of Executive's intent to exercise Executive's rights pursuant to this Section within thirty (30) days following the first occurrence of such condition(s).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7.4</w:t>
      </w:r>
      <w:r>
        <w:rPr>
          <w:rFonts w:ascii="Arial;Helvetica;sans-serif" w:hAnsi="Arial;Helvetica;sans-serif"/>
          <w:color w:val="1F1F1F"/>
          <w:sz w:val="22"/>
          <w:u w:val="single"/>
        </w:rPr>
        <w:t>Voluntary Resignation by Executive Without Good Reason</w:t>
      </w:r>
      <w:r>
        <w:rPr>
          <w:rFonts w:ascii="Arial;Helvetica;sans-serif" w:hAnsi="Arial;Helvetica;sans-serif"/>
          <w:color w:val="1F1F1F"/>
          <w:sz w:val="22"/>
        </w:rPr>
        <w:t xml:space="preserve">. Executive may voluntarily resign Executive's position with </w:t>
      </w:r>
      <w:r>
        <w:rPr>
          <w:rFonts w:ascii="Arial;Helvetica;sans-serif" w:hAnsi="Arial;Helvetica;sans-serif"/>
          <w:sz w:val="22"/>
        </w:rPr>
        <w:t xml:space="preserve">the </w:t>
      </w:r>
      <w:r>
        <w:rPr>
          <w:rFonts w:ascii="Arial;Helvetica;sans-serif" w:hAnsi="Arial;Helvetica;sans-serif"/>
          <w:color w:val="1F1F1F"/>
          <w:sz w:val="22"/>
        </w:rPr>
        <w:t xml:space="preserve">Company without Good Reason at any time on thirty (30) days' advance written notice to </w:t>
      </w:r>
      <w:r>
        <w:rPr>
          <w:rFonts w:ascii="Arial;Helvetica;sans-serif" w:hAnsi="Arial;Helvetica;sans-serif"/>
          <w:sz w:val="22"/>
        </w:rPr>
        <w:t xml:space="preserve">the </w:t>
      </w:r>
      <w:r>
        <w:rPr>
          <w:rFonts w:ascii="Arial;Helvetica;sans-serif" w:hAnsi="Arial;Helvetica;sans-serif"/>
          <w:color w:val="1F1F1F"/>
          <w:sz w:val="22"/>
        </w:rPr>
        <w:t>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w:t>
      </w:r>
      <w:r>
        <w:rPr>
          <w:rFonts w:ascii="Arial;Helvetica;sans-serif" w:hAnsi="Arial;Helvetica;sans-serif"/>
          <w:sz w:val="20"/>
        </w:rPr>
        <w:t> </w:t>
      </w:r>
      <w:r>
        <w:rPr>
          <w:rFonts w:ascii="Arial;Helvetica;sans-serif" w:hAnsi="Arial;Helvetica;sans-serif"/>
          <w:sz w:val="22"/>
        </w:rPr>
        <w:t>14</w:t>
      </w:r>
      <w:r>
        <w:rPr>
          <w:rFonts w:ascii="Arial;Helvetica;sans-serif" w:hAnsi="Arial;Helvetica;sans-serif"/>
          <w:color w:val="1F1F1F"/>
          <w:sz w:val="22"/>
        </w:rPr>
        <w:t>.8.</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7.5</w:t>
      </w:r>
      <w:r>
        <w:rPr>
          <w:rFonts w:ascii="Arial;Helvetica;sans-serif" w:hAnsi="Arial;Helvetica;sans-serif"/>
          <w:color w:val="1F1F1F"/>
          <w:sz w:val="22"/>
          <w:u w:val="single"/>
        </w:rPr>
        <w:t>Termination After a Change in Control</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(a)</w:t>
      </w:r>
      <w:r>
        <w:rPr>
          <w:rFonts w:ascii="Arial;Helvetica;sans-serif" w:hAnsi="Arial;Helvetica;sans-serif"/>
          <w:color w:val="1F1F1F"/>
          <w:sz w:val="22"/>
          <w:u w:val="single"/>
        </w:rPr>
        <w:t>Severance Payment; Equity Award Acceleration.</w:t>
      </w:r>
      <w:r>
        <w:rPr>
          <w:rFonts w:ascii="Arial;Helvetica;sans-serif" w:hAnsi="Arial;Helvetica;sans-serif"/>
          <w:color w:val="1F1F1F"/>
          <w:sz w:val="20"/>
        </w:rPr>
        <w:t xml:space="preserve"> </w:t>
      </w:r>
      <w:r>
        <w:rPr>
          <w:rFonts w:ascii="Arial;Helvetica;sans-serif" w:hAnsi="Arial;Helvetica;sans-serif"/>
          <w:color w:val="1F1F1F"/>
          <w:sz w:val="22"/>
        </w:rPr>
        <w:t xml:space="preserve">If, upon or within twelve (12) months after a Change in Control (as that term is defined below), Executive’s employment is terminated by </w:t>
      </w:r>
      <w:r>
        <w:rPr>
          <w:rFonts w:ascii="Arial;Helvetica;sans-serif" w:hAnsi="Arial;Helvetica;sans-serif"/>
          <w:sz w:val="22"/>
        </w:rPr>
        <w:t xml:space="preserve">the </w:t>
      </w:r>
      <w:r>
        <w:rPr>
          <w:rFonts w:ascii="Arial;Helvetica;sans-serif" w:hAnsi="Arial;Helvetica;sans-serif"/>
          <w:color w:val="1F1F1F"/>
          <w:sz w:val="22"/>
        </w:rPr>
        <w:t xml:space="preserve">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w:t>
      </w:r>
      <w:r>
        <w:rPr>
          <w:rFonts w:ascii="Arial;Helvetica;sans-serif" w:hAnsi="Arial;Helvetica;sans-serif"/>
          <w:sz w:val="22"/>
        </w:rPr>
        <w:t xml:space="preserve">the </w:t>
      </w:r>
      <w:r>
        <w:rPr>
          <w:rFonts w:ascii="Arial;Helvetica;sans-serif" w:hAnsi="Arial;Helvetica;sans-serif"/>
          <w:color w:val="1F1F1F"/>
          <w:sz w:val="22"/>
        </w:rPr>
        <w:t>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w:t>
      </w:r>
      <w:r>
        <w:rPr>
          <w:rFonts w:ascii="Arial;Helvetica;sans-serif" w:hAnsi="Arial;Helvetica;sans-serif"/>
          <w:sz w:val="20"/>
        </w:rPr>
        <w:t> </w:t>
      </w:r>
      <w:r>
        <w:rPr>
          <w:rFonts w:ascii="Arial;Helvetica;sans-serif" w:hAnsi="Arial;Helvetica;sans-serif"/>
          <w:sz w:val="22"/>
        </w:rPr>
        <w:t>14</w:t>
      </w:r>
      <w:r>
        <w:rPr>
          <w:rFonts w:ascii="Arial;Helvetica;sans-serif" w:hAnsi="Arial;Helvetica;sans-serif"/>
          <w:color w:val="1F1F1F"/>
          <w:sz w:val="22"/>
        </w:rPr>
        <w:t>.8.</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(b)</w:t>
      </w:r>
      <w:r>
        <w:rPr>
          <w:rFonts w:ascii="Arial;Helvetica;sans-serif" w:hAnsi="Arial;Helvetica;sans-serif"/>
          <w:color w:val="1F1F1F"/>
          <w:sz w:val="22"/>
          <w:u w:val="single"/>
        </w:rPr>
        <w:t>Parachute Payments</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w:t>
      </w:r>
      <w:r>
        <w:rPr>
          <w:rFonts w:ascii="Arial;Helvetica;sans-serif" w:hAnsi="Arial;Helvetica;sans-serif"/>
          <w:color w:val="1F1F1F"/>
          <w:sz w:val="22"/>
        </w:rPr>
        <w:t>Notwithstanding any provision of this Agreement to the contrary, if any payment or benefit Executive would receive pursuant to this Agreement or otherwise (collectively, the “</w:t>
      </w:r>
      <w:r>
        <w:rPr>
          <w:rFonts w:ascii="Arial;Helvetica;sans-serif" w:hAnsi="Arial;Helvetica;sans-serif"/>
          <w:color w:val="1F1F1F"/>
          <w:sz w:val="22"/>
          <w:u w:val="single"/>
        </w:rPr>
        <w:t>Payments”</w:t>
      </w:r>
      <w:r>
        <w:rPr>
          <w:rFonts w:ascii="Arial;Helvetica;sans-serif" w:hAnsi="Arial;Helvetica;sans-serif"/>
          <w:color w:val="1F1F1F"/>
          <w:sz w:val="22"/>
        </w:rPr>
        <w:t>) would constitute a “parachute payment” within the meaning of Section 280G of the Code, and, but for this sentence, would be subject to the excise tax imposed by Section 4999 of the Code or any similar or successor provision (the “</w:t>
      </w:r>
      <w:r>
        <w:rPr>
          <w:rFonts w:ascii="Arial;Helvetica;sans-serif" w:hAnsi="Arial;Helvetica;sans-serif"/>
          <w:color w:val="1F1F1F"/>
          <w:sz w:val="22"/>
          <w:u w:val="single"/>
        </w:rPr>
        <w:t>Excise Tax</w:t>
      </w:r>
      <w:r>
        <w:rPr>
          <w:rFonts w:ascii="Arial;Helvetica;sans-serif" w:hAnsi="Arial;Helvetica;sans-serif"/>
          <w:color w:val="1F1F1F"/>
          <w:sz w:val="20"/>
        </w:rPr>
        <w:t>”</w:t>
      </w:r>
      <w:r>
        <w:rPr>
          <w:rFonts w:ascii="Arial;Helvetica;sans-serif" w:hAnsi="Arial;Helvetica;sans-serif"/>
          <w:color w:val="1F1F1F"/>
          <w:sz w:val="22"/>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color w:val="1F1F1F"/>
          <w:sz w:val="22"/>
        </w:rPr>
      </w:pPr>
      <w:r>
        <w:rPr>
          <w:rFonts w:ascii="Arial;Helvetica;sans-serif" w:hAnsi="Arial;Helvetica;sans-serif"/>
          <w:color w:val="1F1F1F"/>
          <w:sz w:val="22"/>
        </w:rPr>
        <w:t>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w:t>
      </w:r>
      <w:r>
        <w:rPr>
          <w:rFonts w:ascii="Arial;Helvetica;sans-serif" w:hAnsi="Arial;Helvetica;sans-serif"/>
          <w:color w:val="1F1F1F"/>
          <w:sz w:val="22"/>
        </w:rPr>
        <w:t>The professional firm engaged by</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for general tax purposes as of the day prior to the date of the event that might reasonably be anticipated to result in Payments that would otherwise be subject to the Excise Tax will perform the foregoing calculations. If the tax firm so engaged by </w:t>
      </w:r>
      <w:r>
        <w:rPr>
          <w:rFonts w:ascii="Arial;Helvetica;sans-serif" w:hAnsi="Arial;Helvetica;sans-serif"/>
          <w:sz w:val="22"/>
        </w:rPr>
        <w:t xml:space="preserve">the </w:t>
      </w:r>
      <w:r>
        <w:rPr>
          <w:rFonts w:ascii="Arial;Helvetica;sans-serif" w:hAnsi="Arial;Helvetica;sans-serif"/>
          <w:color w:val="1F1F1F"/>
          <w:sz w:val="22"/>
        </w:rPr>
        <w:t>Company is serving as accountant or auditor for the acquiring company,</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will appoint a nationally recognized tax firm to make the determinations required by this Section. </w:t>
      </w:r>
      <w:r>
        <w:rPr>
          <w:rFonts w:ascii="Arial;Helvetica;sans-serif" w:hAnsi="Arial;Helvetica;sans-serif"/>
          <w:sz w:val="22"/>
        </w:rPr>
        <w:t xml:space="preserve">The </w:t>
      </w:r>
      <w:r>
        <w:rPr>
          <w:rFonts w:ascii="Arial;Helvetica;sans-serif" w:hAnsi="Arial;Helvetica;sans-serif"/>
          <w:color w:val="1F1F1F"/>
          <w:sz w:val="22"/>
        </w:rPr>
        <w:t xml:space="preserve">Company will bear all expenses with respect to the determinations by the tax firm required to be made by this Section. </w:t>
      </w:r>
      <w:r>
        <w:rPr>
          <w:rFonts w:ascii="Arial;Helvetica;sans-serif" w:hAnsi="Arial;Helvetica;sans-serif"/>
          <w:sz w:val="22"/>
        </w:rPr>
        <w:t xml:space="preserve">The </w:t>
      </w:r>
      <w:r>
        <w:rPr>
          <w:rFonts w:ascii="Arial;Helvetica;sans-serif" w:hAnsi="Arial;Helvetica;sans-serif"/>
          <w:color w:val="1F1F1F"/>
          <w:sz w:val="22"/>
        </w:rPr>
        <w:t xml:space="preserve">Company and Executive shall furnish the tax firm such information and documents as the tax firm may reasonably request in order to make its required determination. The tax firm will provide its calculations, together with detailed supporting documentation, to </w:t>
      </w:r>
      <w:r>
        <w:rPr>
          <w:rFonts w:ascii="Arial;Helvetica;sans-serif" w:hAnsi="Arial;Helvetica;sans-serif"/>
          <w:sz w:val="22"/>
        </w:rPr>
        <w:t xml:space="preserve">the </w:t>
      </w:r>
      <w:r>
        <w:rPr>
          <w:rFonts w:ascii="Arial;Helvetica;sans-serif" w:hAnsi="Arial;Helvetica;sans-serif"/>
          <w:color w:val="1F1F1F"/>
          <w:sz w:val="22"/>
        </w:rPr>
        <w:t xml:space="preserve">Company and Executive as soon as practicable following its engagement. Any good faith determinations of the tax firm made hereunder will be final, binding and conclusive upon </w:t>
      </w:r>
      <w:r>
        <w:rPr>
          <w:rFonts w:ascii="Arial;Helvetica;sans-serif" w:hAnsi="Arial;Helvetica;sans-serif"/>
          <w:sz w:val="22"/>
        </w:rPr>
        <w:t xml:space="preserve">the </w:t>
      </w:r>
      <w:r>
        <w:rPr>
          <w:rFonts w:ascii="Arial;Helvetica;sans-serif" w:hAnsi="Arial;Helvetica;sans-serif"/>
          <w:color w:val="1F1F1F"/>
          <w:sz w:val="22"/>
        </w:rPr>
        <w:t>Company and Executive.</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(c)</w:t>
      </w:r>
      <w:r>
        <w:rPr>
          <w:rFonts w:ascii="Arial;Helvetica;sans-serif" w:hAnsi="Arial;Helvetica;sans-serif"/>
          <w:color w:val="1F1F1F"/>
          <w:sz w:val="22"/>
          <w:u w:val="single"/>
        </w:rPr>
        <w:t>Change in Control</w:t>
      </w:r>
      <w:r>
        <w:rPr>
          <w:rFonts w:ascii="Arial;Helvetica;sans-serif" w:hAnsi="Arial;Helvetica;sans-serif"/>
          <w:color w:val="1F1F1F"/>
          <w:sz w:val="22"/>
        </w:rPr>
        <w:t>. A Change in Control is defined as any one of the following occurrences:</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w:t>
      </w:r>
      <w:r>
        <w:rPr>
          <w:rFonts w:ascii="Arial;Helvetica;sans-serif" w:hAnsi="Arial;Helvetica;sans-serif"/>
          <w:color w:val="1F1F1F"/>
          <w:sz w:val="22"/>
        </w:rPr>
        <w:t>Any “person” (as such term is used in Sections 13(d) and 14(d) of the Securities Exchange Act of 1934 (the “</w:t>
      </w:r>
      <w:r>
        <w:rPr>
          <w:rFonts w:ascii="Arial;Helvetica;sans-serif" w:hAnsi="Arial;Helvetica;sans-serif"/>
          <w:color w:val="1F1F1F"/>
          <w:sz w:val="22"/>
          <w:u w:val="single"/>
        </w:rPr>
        <w:t>Exchange Act</w:t>
      </w:r>
      <w:r>
        <w:rPr>
          <w:rFonts w:ascii="Arial;Helvetica;sans-serif" w:hAnsi="Arial;Helvetica;sans-serif"/>
          <w:color w:val="1F1F1F"/>
          <w:sz w:val="20"/>
        </w:rPr>
        <w:t>”</w:t>
      </w:r>
      <w:r>
        <w:rPr>
          <w:rFonts w:ascii="Arial;Helvetica;sans-serif" w:hAnsi="Arial;Helvetica;sans-serif"/>
          <w:color w:val="1F1F1F"/>
          <w:sz w:val="22"/>
        </w:rPr>
        <w:t>)), becomes the “beneficial owner” (as such term is defined in Rule 13d-3 promulgated under the Exchange Act), directly or indirectly, of securities of</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representing more than fifty percent (50%) of the total fair market value or total combined voting power of </w:t>
      </w:r>
      <w:r>
        <w:rPr>
          <w:rFonts w:ascii="Arial;Helvetica;sans-serif" w:hAnsi="Arial;Helvetica;sans-serif"/>
          <w:sz w:val="22"/>
        </w:rPr>
        <w:t xml:space="preserve">the </w:t>
      </w:r>
      <w:r>
        <w:rPr>
          <w:rFonts w:ascii="Arial;Helvetica;sans-serif" w:hAnsi="Arial;Helvetica;sans-serif"/>
          <w:color w:val="1F1F1F"/>
          <w:sz w:val="22"/>
        </w:rPr>
        <w:t>Company’s then 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including, without limitation, pursuant to or in connection with a public offering of securities, (C) any acquisition of securities by </w:t>
      </w:r>
      <w:r>
        <w:rPr>
          <w:rFonts w:ascii="Arial;Helvetica;sans-serif" w:hAnsi="Arial;Helvetica;sans-serif"/>
          <w:sz w:val="22"/>
        </w:rPr>
        <w:t xml:space="preserve">the </w:t>
      </w:r>
      <w:r>
        <w:rPr>
          <w:rFonts w:ascii="Arial;Helvetica;sans-serif" w:hAnsi="Arial;Helvetica;sans-serif"/>
          <w:color w:val="1F1F1F"/>
          <w:sz w:val="22"/>
        </w:rPr>
        <w:t xml:space="preserve">Company, (D) any acquisition of securities by a trustee or other fiduciary under an employee benefit plan of </w:t>
      </w:r>
      <w:r>
        <w:rPr>
          <w:rFonts w:ascii="Arial;Helvetica;sans-serif" w:hAnsi="Arial;Helvetica;sans-serif"/>
          <w:sz w:val="22"/>
        </w:rPr>
        <w:t xml:space="preserve">the </w:t>
      </w:r>
      <w:r>
        <w:rPr>
          <w:rFonts w:ascii="Arial;Helvetica;sans-serif" w:hAnsi="Arial;Helvetica;sans-serif"/>
          <w:color w:val="1F1F1F"/>
          <w:sz w:val="22"/>
        </w:rPr>
        <w:t xml:space="preserve">Company, or (E) any acquisition of securities by an entity owned directly or indirectly by the stockholders of </w:t>
      </w:r>
      <w:r>
        <w:rPr>
          <w:rFonts w:ascii="Arial;Helvetica;sans-serif" w:hAnsi="Arial;Helvetica;sans-serif"/>
          <w:sz w:val="22"/>
        </w:rPr>
        <w:t xml:space="preserve">the </w:t>
      </w:r>
      <w:r>
        <w:rPr>
          <w:rFonts w:ascii="Arial;Helvetica;sans-serif" w:hAnsi="Arial;Helvetica;sans-serif"/>
          <w:color w:val="1F1F1F"/>
          <w:sz w:val="22"/>
        </w:rPr>
        <w:t>Company in substantially the same proportions as their ownership of the voting securities of</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or</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w:t>
      </w:r>
      <w:r>
        <w:rPr>
          <w:rFonts w:ascii="Arial;Helvetica;sans-serif" w:hAnsi="Arial;Helvetica;sans-serif"/>
          <w:color w:val="1F1F1F"/>
          <w:sz w:val="22"/>
        </w:rPr>
        <w:t xml:space="preserve">the sale or disposition of all or substantially all of </w:t>
      </w:r>
      <w:r>
        <w:rPr>
          <w:rFonts w:ascii="Arial;Helvetica;sans-serif" w:hAnsi="Arial;Helvetica;sans-serif"/>
          <w:sz w:val="22"/>
        </w:rPr>
        <w:t>the Company’s</w:t>
      </w:r>
      <w:r>
        <w:rPr>
          <w:rFonts w:ascii="Arial;Helvetica;sans-serif" w:hAnsi="Arial;Helvetica;sans-serif"/>
          <w:color w:val="1F1F1F"/>
          <w:sz w:val="20"/>
        </w:rPr>
        <w:t xml:space="preserve"> </w:t>
      </w:r>
      <w:r>
        <w:rPr>
          <w:rFonts w:ascii="Arial;Helvetica;sans-serif" w:hAnsi="Arial;Helvetica;sans-serif"/>
          <w:color w:val="1F1F1F"/>
          <w:sz w:val="22"/>
        </w:rPr>
        <w:t xml:space="preserve">assets (other than a sale or disposition to one or more subsidiaries of </w:t>
      </w:r>
      <w:r>
        <w:rPr>
          <w:rFonts w:ascii="Arial;Helvetica;sans-serif" w:hAnsi="Arial;Helvetica;sans-serif"/>
          <w:sz w:val="22"/>
        </w:rPr>
        <w:t xml:space="preserve">the </w:t>
      </w:r>
      <w:r>
        <w:rPr>
          <w:rFonts w:ascii="Arial;Helvetica;sans-serif" w:hAnsi="Arial;Helvetica;sans-serif"/>
          <w:color w:val="1F1F1F"/>
          <w:sz w:val="22"/>
        </w:rPr>
        <w:t>Company), or any transaction having similar effect is consummated; or</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(iii)</w:t>
      </w:r>
      <w:r>
        <w:rPr>
          <w:rFonts w:ascii="Arial;Helvetica;sans-serif" w:hAnsi="Arial;Helvetica;sans-serif"/>
          <w:color w:val="1F1F1F"/>
          <w:sz w:val="22"/>
        </w:rPr>
        <w:t>the Company is party to a merger or consolidation that results in the holders of voting securities of</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outstanding immediately prior thereto failing to continue to represent (either by remaining outstanding or by being converted into voting securities of the surviving entity) more than 50% of the combined voting power of the voting securities of </w:t>
      </w:r>
      <w:r>
        <w:rPr>
          <w:rFonts w:ascii="Arial;Helvetica;sans-serif" w:hAnsi="Arial;Helvetica;sans-serif"/>
          <w:sz w:val="22"/>
        </w:rPr>
        <w:t xml:space="preserve">the </w:t>
      </w:r>
      <w:r>
        <w:rPr>
          <w:rFonts w:ascii="Arial;Helvetica;sans-serif" w:hAnsi="Arial;Helvetica;sans-serif"/>
          <w:color w:val="1F1F1F"/>
          <w:sz w:val="22"/>
        </w:rPr>
        <w:t>Company or such surviving entity outstanding immediately after such merger or consolidation; or</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(iv)</w:t>
      </w:r>
      <w:r>
        <w:rPr>
          <w:rFonts w:ascii="Arial;Helvetica;sans-serif" w:hAnsi="Arial;Helvetica;sans-serif"/>
          <w:color w:val="1F1F1F"/>
          <w:sz w:val="22"/>
        </w:rPr>
        <w:t xml:space="preserve">the dissolution or liquidation of </w:t>
      </w:r>
      <w:r>
        <w:rPr>
          <w:rFonts w:ascii="Arial;Helvetica;sans-serif" w:hAnsi="Arial;Helvetica;sans-serif"/>
          <w:sz w:val="22"/>
        </w:rPr>
        <w:t xml:space="preserve">the </w:t>
      </w:r>
      <w:r>
        <w:rPr>
          <w:rFonts w:ascii="Arial;Helvetica;sans-serif" w:hAnsi="Arial;Helvetica;sans-serif"/>
          <w:color w:val="1F1F1F"/>
          <w:sz w:val="22"/>
        </w:rPr>
        <w:t>Company.</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rPr/>
      </w:pPr>
      <w:r>
        <w:rPr/>
      </w:r>
    </w:p>
    <w:p>
      <w:pPr>
        <w:pStyle w:val="TextBody"/>
        <w:spacing w:before="0" w:after="0"/>
        <w:ind w:left="0" w:right="0" w:hanging="0"/>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7.6</w:t>
      </w:r>
      <w:r>
        <w:rPr>
          <w:rFonts w:ascii="Arial;Helvetica;sans-serif" w:hAnsi="Arial;Helvetica;sans-serif"/>
          <w:color w:val="1F1F1F"/>
          <w:sz w:val="22"/>
          <w:u w:val="single"/>
        </w:rPr>
        <w:t>Termination of Employment Upon Nonrenewal.</w:t>
      </w:r>
      <w:r>
        <w:rPr>
          <w:rFonts w:ascii="Arial;Helvetica;sans-serif" w:hAnsi="Arial;Helvetica;sans-serif"/>
          <w:color w:val="1F1F1F"/>
          <w:sz w:val="20"/>
        </w:rPr>
        <w:t xml:space="preserve"> </w:t>
      </w:r>
      <w:r>
        <w:rPr>
          <w:rFonts w:ascii="Arial;Helvetica;sans-serif" w:hAnsi="Arial;Helvetica;sans-serif"/>
          <w:color w:val="1F1F1F"/>
          <w:sz w:val="22"/>
        </w:rPr>
        <w:t xml:space="preserve">In the event either party decides not to renew this Agreement for a subsequent term in accordance with Section 3.2, this Agreement will expire automatically upon completion of the then effective Term, and Executive’s employment with </w:t>
      </w:r>
      <w:r>
        <w:rPr>
          <w:rFonts w:ascii="Arial;Helvetica;sans-serif" w:hAnsi="Arial;Helvetica;sans-serif"/>
          <w:sz w:val="22"/>
        </w:rPr>
        <w:t xml:space="preserve">the </w:t>
      </w:r>
      <w:r>
        <w:rPr>
          <w:rFonts w:ascii="Arial;Helvetica;sans-serif" w:hAnsi="Arial;Helvetica;sans-serif"/>
          <w:color w:val="1F1F1F"/>
          <w:sz w:val="22"/>
        </w:rPr>
        <w:t>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w:t>
      </w:r>
      <w:r>
        <w:rPr>
          <w:rFonts w:ascii="Arial;Helvetica;sans-serif" w:hAnsi="Arial;Helvetica;sans-serif"/>
          <w:sz w:val="20"/>
        </w:rPr>
        <w:t> </w:t>
      </w:r>
      <w:r>
        <w:rPr>
          <w:rFonts w:ascii="Arial;Helvetica;sans-serif" w:hAnsi="Arial;Helvetica;sans-serif"/>
          <w:sz w:val="22"/>
        </w:rPr>
        <w:t>14</w:t>
      </w:r>
      <w:r>
        <w:rPr>
          <w:rFonts w:ascii="Arial;Helvetica;sans-serif" w:hAnsi="Arial;Helvetica;sans-serif"/>
          <w:color w:val="1F1F1F"/>
          <w:sz w:val="22"/>
        </w:rPr>
        <w:t>.8.</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7.7</w:t>
      </w:r>
      <w:r>
        <w:rPr>
          <w:rFonts w:ascii="Arial;Helvetica;sans-serif" w:hAnsi="Arial;Helvetica;sans-serif"/>
          <w:color w:val="1F1F1F"/>
          <w:sz w:val="22"/>
          <w:u w:val="single"/>
        </w:rPr>
        <w:t>Conditions to Severance Package</w:t>
      </w:r>
      <w:r>
        <w:rPr>
          <w:rFonts w:ascii="Arial;Helvetica;sans-serif" w:hAnsi="Arial;Helvetica;sans-serif"/>
          <w:color w:val="1F1F1F"/>
          <w:sz w:val="22"/>
        </w:rPr>
        <w:t xml:space="preserve">. Executive will only be entitled to receive the Severance Package if, on or before the 60th day following the Termination Date, Executive executes a full general release, releasing all claims, known or unknown, that Executive may have against </w:t>
      </w:r>
      <w:r>
        <w:rPr>
          <w:rFonts w:ascii="Arial;Helvetica;sans-serif" w:hAnsi="Arial;Helvetica;sans-serif"/>
          <w:sz w:val="22"/>
        </w:rPr>
        <w:t xml:space="preserve">the </w:t>
      </w:r>
      <w:r>
        <w:rPr>
          <w:rFonts w:ascii="Arial;Helvetica;sans-serif" w:hAnsi="Arial;Helvetica;sans-serif"/>
          <w:color w:val="1F1F1F"/>
          <w:sz w:val="22"/>
        </w:rPr>
        <w:t>Company and its officers, directors, employees and affiliated companies arising out of or any way related to Executive's employment or termination of employment with</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w:t>
      </w:r>
      <w:r>
        <w:rPr>
          <w:rFonts w:ascii="Arial;Helvetica;sans-serif" w:hAnsi="Arial;Helvetica;sans-serif"/>
          <w:sz w:val="22"/>
        </w:rPr>
        <w:t xml:space="preserve">the </w:t>
      </w:r>
      <w:r>
        <w:rPr>
          <w:rFonts w:ascii="Arial;Helvetica;sans-serif" w:hAnsi="Arial;Helvetica;sans-serif"/>
          <w:color w:val="1F1F1F"/>
          <w:sz w:val="22"/>
        </w:rPr>
        <w:t>Company shall have the right to (a) terminate further provision of any portion of the Severance Package not yet paid or provided, (b) seek reimbursement from Executive for any and all portions of the Severance Package previously paid or provided to Executive</w:t>
      </w:r>
      <w:r>
        <w:rPr>
          <w:rFonts w:ascii="Arial;Helvetica;sans-serif" w:hAnsi="Arial;Helvetica;sans-serif"/>
          <w:sz w:val="22"/>
        </w:rPr>
        <w:t>,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7.8</w:t>
      </w:r>
      <w:r>
        <w:rPr>
          <w:rFonts w:ascii="Arial;Helvetica;sans-serif" w:hAnsi="Arial;Helvetica;sans-serif"/>
          <w:color w:val="1F1F1F"/>
          <w:sz w:val="22"/>
          <w:u w:val="single"/>
        </w:rPr>
        <w:t>Resignation of Board or Other Positions</w:t>
      </w:r>
      <w:r>
        <w:rPr>
          <w:rFonts w:ascii="Arial;Helvetica;sans-serif" w:hAnsi="Arial;Helvetica;sans-serif"/>
          <w:color w:val="1F1F1F"/>
          <w:sz w:val="22"/>
        </w:rPr>
        <w:t xml:space="preserve">. Executive agrees that should Executive's employment terminate for any reason, Executive will immediately resign all other positions (including board membership) Executive may hold on behalf of </w:t>
      </w:r>
      <w:r>
        <w:rPr>
          <w:rFonts w:ascii="Arial;Helvetica;sans-serif" w:hAnsi="Arial;Helvetica;sans-serif"/>
          <w:sz w:val="22"/>
        </w:rPr>
        <w:t xml:space="preserve">the </w:t>
      </w:r>
      <w:r>
        <w:rPr>
          <w:rFonts w:ascii="Arial;Helvetica;sans-serif" w:hAnsi="Arial;Helvetica;sans-serif"/>
          <w:color w:val="1F1F1F"/>
          <w:sz w:val="22"/>
        </w:rPr>
        <w:t>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7.9</w:t>
      </w:r>
      <w:r>
        <w:rPr>
          <w:rFonts w:ascii="Arial;Helvetica;sans-serif" w:hAnsi="Arial;Helvetica;sans-serif"/>
          <w:color w:val="1F1F1F"/>
          <w:sz w:val="22"/>
          <w:u w:val="single"/>
        </w:rPr>
        <w:t>Application of Section 409A</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(a)Notwithstanding anything set forth in this Agreement to the contrary, no amount payable pursuant to this Agreement on account of Executive's termination of employment with</w:t>
      </w:r>
      <w:r>
        <w:rPr>
          <w:rFonts w:ascii="Arial;Helvetica;sans-serif" w:hAnsi="Arial;Helvetica;san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which constitutes a “deferral of compensation” within the meaning of the Treasury Regulations issued pursuant to Section 409A of the Code (the “</w:t>
      </w:r>
      <w:r>
        <w:rPr>
          <w:rFonts w:ascii="Arial;Helvetica;sans-serif" w:hAnsi="Arial;Helvetica;sans-serif"/>
          <w:color w:val="1F1F1F"/>
          <w:sz w:val="22"/>
          <w:u w:val="single"/>
        </w:rPr>
        <w:t>Section 409A Regulations”</w:t>
      </w:r>
      <w:r>
        <w:rPr>
          <w:rFonts w:ascii="Arial;Helvetica;sans-serif" w:hAnsi="Arial;Helvetica;sans-serif"/>
          <w:color w:val="1F1F1F"/>
          <w:sz w:val="22"/>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Helvetica;sans-serif" w:hAnsi="Arial;Helvetica;sans-serif"/>
          <w:color w:val="1F1F1F"/>
          <w:sz w:val="22"/>
          <w:u w:val="single"/>
        </w:rPr>
        <w:t>Delayed Payment Date</w:t>
      </w:r>
      <w:r>
        <w:rPr>
          <w:rFonts w:ascii="Arial;Helvetica;sans-serif" w:hAnsi="Arial;Helvetica;sans-serif"/>
          <w:color w:val="1F1F1F"/>
          <w:sz w:val="20"/>
        </w:rPr>
        <w:t>”</w:t>
      </w:r>
      <w:r>
        <w:rPr>
          <w:rFonts w:ascii="Arial;Helvetica;sans-serif" w:hAnsi="Arial;Helvetica;sans-serif"/>
          <w:color w:val="1F1F1F"/>
          <w:sz w:val="22"/>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pStyle w:val="TextBody"/>
        <w:spacing w:before="0" w:after="0"/>
        <w:ind w:left="216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(b)</w:t>
      </w:r>
      <w:r>
        <w:rPr>
          <w:rFonts w:ascii="Arial;Helvetica;sans-serif" w:hAnsi="Arial;Helvetica;sans-serif"/>
          <w:sz w:val="22"/>
        </w:rPr>
        <w:t>It is the intent of the Company and Executive that any right of Executive to receive installment payments hereunder shall, for all purposes of Section 409A of the Code, be treated as a right to a series of separate payments.</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HorizontalLine"/>
        <w:rPr/>
      </w:pPr>
      <w:r>
        <w:rPr/>
      </w:r>
    </w:p>
    <w:p>
      <w:pPr>
        <w:pStyle w:val="TextBody"/>
        <w:spacing w:before="0" w:after="0"/>
        <w:ind w:left="0" w:right="0" w:hanging="0"/>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(c)</w:t>
      </w:r>
      <w:r>
        <w:rPr>
          <w:rFonts w:ascii="Arial;Helvetica;sans-serif" w:hAnsi="Arial;Helvetica;sans-serif"/>
          <w:sz w:val="22"/>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Helvetica;sans-serif" w:hAnsi="Arial;Helvetica;sans-serif"/>
          <w:b/>
          <w:sz w:val="22"/>
        </w:rPr>
        <w:t>However, the Company does not guarantee any particular tax effect for income provided to Executive pursuant to this Agreement.</w:t>
      </w:r>
      <w:r>
        <w:rPr>
          <w:rFonts w:ascii="Arial;Helvetica;sans-serif" w:hAnsi="Arial;Helvetica;sans-serif"/>
          <w:sz w:val="20"/>
        </w:rPr>
        <w:t xml:space="preserve"> </w:t>
      </w:r>
      <w:r>
        <w:rPr>
          <w:rFonts w:ascii="Arial;Helvetica;sans-serif" w:hAnsi="Arial;Helvetica;sans-serif"/>
          <w:sz w:val="22"/>
        </w:rPr>
        <w:t>In any event, except 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pStyle w:val="TextBody"/>
        <w:spacing w:before="0" w:after="0"/>
        <w:ind w:left="0" w:right="0" w:firstLine="8"/>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8.</w:t>
      </w:r>
      <w:r>
        <w:rPr>
          <w:rFonts w:ascii="Arial;Helvetica;sans-serif" w:hAnsi="Arial;Helvetica;sans-serif"/>
          <w:sz w:val="22"/>
          <w:u w:val="single"/>
        </w:rPr>
        <w:t>No Violation of Rights of Third Parties.</w:t>
      </w:r>
      <w:r>
        <w:rPr>
          <w:rFonts w:ascii="Arial;Helvetica;sans-serif" w:hAnsi="Arial;Helvetica;sans-serif"/>
          <w:sz w:val="20"/>
        </w:rPr>
        <w:t xml:space="preserve"> </w:t>
      </w:r>
      <w:r>
        <w:rPr>
          <w:rFonts w:ascii="Arial;Helvetica;sans-serif" w:hAnsi="Arial;Helvetica;sans-serif"/>
          <w:sz w:val="22"/>
        </w:rPr>
        <w:t>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w:t>
      </w:r>
      <w:r>
        <w:rPr>
          <w:rFonts w:ascii="Arial;Helvetica;sans-serif" w:hAnsi="Arial;Helvetica;sans-serif"/>
          <w:sz w:val="22"/>
          <w:u w:val="single"/>
        </w:rPr>
        <w:t>Other Covenants.</w:t>
      </w:r>
      <w:r>
        <w:rPr>
          <w:rFonts w:ascii="Arial;Helvetica;sans-serif" w:hAnsi="Arial;Helvetica;sans-serif"/>
          <w:sz w:val="20"/>
        </w:rPr>
        <w:t xml:space="preserve"> </w:t>
      </w:r>
      <w:r>
        <w:rPr>
          <w:rFonts w:ascii="Arial;Helvetica;sans-serif" w:hAnsi="Arial;Helvetica;sans-serif"/>
          <w:sz w:val="22"/>
        </w:rPr>
        <w:t>Executive hereby makes the following covenants, each of which Executive acknowledges and agrees are a material part of this Agreement:</w:t>
      </w:r>
    </w:p>
    <w:p>
      <w:pPr>
        <w:pStyle w:val="TextBody"/>
        <w:spacing w:before="0" w:after="0"/>
        <w:ind w:left="0" w:right="0" w:firstLine="8"/>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9.1</w:t>
      </w:r>
      <w:r>
        <w:rPr>
          <w:rFonts w:ascii="Arial;Helvetica;sans-serif" w:hAnsi="Arial;Helvetica;sans-serif"/>
          <w:sz w:val="22"/>
        </w:rPr>
        <w:t>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9.2</w:t>
      </w:r>
      <w:r>
        <w:rPr>
          <w:rFonts w:ascii="Arial;Helvetica;sans-serif" w:hAnsi="Arial;Helvetica;sans-serif"/>
          <w:sz w:val="22"/>
        </w:rPr>
        <w:t>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9.3</w:t>
      </w:r>
      <w:r>
        <w:rPr>
          <w:rFonts w:ascii="Arial;Helvetica;sans-serif" w:hAnsi="Arial;Helvetica;sans-serif"/>
          <w:sz w:val="22"/>
        </w:rPr>
        <w:t>During the Term and after the termination thereof, neither Executive nor the Company will disparage each other, or the Company’s products, services, agents or employees.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9.4</w:t>
      </w:r>
      <w:r>
        <w:rPr>
          <w:rFonts w:ascii="Arial;Helvetica;sans-serif" w:hAnsi="Arial;Helvetica;sans-serif"/>
          <w:sz w:val="22"/>
        </w:rPr>
        <w:t>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sz w:val="22"/>
        </w:rPr>
      </w:pPr>
      <w:r>
        <w:rPr>
          <w:rFonts w:ascii="Arial;Helvetica;sans-serif" w:hAnsi="Arial;Helvetica;sans-serif"/>
          <w:sz w:val="22"/>
        </w:rPr>
        <w:t>Company’s behalf in connection with any such matter or performing any other task reasonably requested by the Company in connection therewith.</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10.</w:t>
      </w:r>
      <w:r>
        <w:rPr>
          <w:rFonts w:ascii="Arial;Helvetica;sans-serif" w:hAnsi="Arial;Helvetica;sans-serif"/>
          <w:sz w:val="22"/>
          <w:u w:val="single"/>
        </w:rPr>
        <w:t>Confidentiality and Proprietary Rights</w:t>
      </w:r>
      <w:r>
        <w:rPr>
          <w:rFonts w:ascii="Arial;Helvetica;sans-serif" w:hAnsi="Arial;Helvetica;sans-serif"/>
          <w:sz w:val="22"/>
        </w:rPr>
        <w:t>. Executive agrees to abide by the Nondisclosure Agreement, which is incorporated herein by reference.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11.</w:t>
      </w:r>
      <w:r>
        <w:rPr>
          <w:rFonts w:ascii="Arial;Helvetica;sans-serif" w:hAnsi="Arial;Helvetica;sans-serif"/>
          <w:sz w:val="22"/>
          <w:u w:val="single"/>
        </w:rPr>
        <w:t>Non-Competition; Nonsolicitation of Company’s Employees.</w:t>
      </w:r>
      <w:r>
        <w:rPr>
          <w:rFonts w:ascii="Arial;Helvetica;sans-serif" w:hAnsi="Arial;Helvetica;sans-serif"/>
          <w:sz w:val="20"/>
        </w:rPr>
        <w:t xml:space="preserve"> </w:t>
      </w:r>
      <w:r>
        <w:rPr>
          <w:rFonts w:ascii="Arial;Helvetica;sans-serif" w:hAnsi="Arial;Helvetica;sans-serif"/>
          <w:sz w:val="22"/>
        </w:rPr>
        <w:t>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is national in scope and that the Company, in the course of such business competes with other companies located 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post-secondary education institution, (ii) any business that develops or administers services to degree-granting institutions of higher education, or (iii)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induce or attempt to induce any employee of the Company to leave the employ of the Company, or in any way interfere with the relationship between the Company and any employee thereof, or (d) induce or attempt to induce any customer, supplier, licensee or other business relation of the Company to cease doing business with, or modify its business relationship with, the Company, or in any way interfere with or hinder the relationship between any such customer, supplier, licensee or business relation and the Company, as applicable.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12.</w:t>
      </w:r>
      <w:r>
        <w:rPr>
          <w:rFonts w:ascii="Arial;Helvetica;sans-serif" w:hAnsi="Arial;Helvetica;sans-serif"/>
          <w:sz w:val="22"/>
          <w:u w:val="single"/>
        </w:rPr>
        <w:t>Injunctive Relief</w:t>
      </w:r>
      <w:r>
        <w:rPr>
          <w:rFonts w:ascii="Arial;Helvetica;sans-serif" w:hAnsi="Arial;Helvetica;sans-serif"/>
          <w:sz w:val="22"/>
        </w:rPr>
        <w:t>. Executive acknowledges that Executive's breach of the covenants contained in Sections 9, 10 and 11 hereof (collectively “</w:t>
      </w:r>
      <w:r>
        <w:rPr>
          <w:rFonts w:ascii="Arial;Helvetica;sans-serif" w:hAnsi="Arial;Helvetica;sans-serif"/>
          <w:sz w:val="22"/>
          <w:u w:val="single"/>
        </w:rPr>
        <w:t>Covenants”</w:t>
      </w:r>
      <w:r>
        <w:rPr>
          <w:rFonts w:ascii="Arial;Helvetica;sans-serif" w:hAnsi="Arial;Helvetica;sans-serif"/>
          <w:sz w:val="22"/>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pStyle w:val="TextBody"/>
        <w:spacing w:before="0" w:after="0"/>
        <w:ind w:left="0" w:right="0" w:hanging="0"/>
        <w:rPr/>
      </w:pPr>
      <w:r>
        <w:rPr/>
        <w:t>​</w:t>
      </w:r>
    </w:p>
    <w:p>
      <w:pPr>
        <w:pStyle w:val="TextBody"/>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13.</w:t>
      </w:r>
      <w:r>
        <w:rPr>
          <w:rFonts w:ascii="Arial;Helvetica;sans-serif" w:hAnsi="Arial;Helvetica;sans-serif"/>
          <w:sz w:val="22"/>
          <w:u w:val="single"/>
        </w:rPr>
        <w:t>Insurance; Indemnification</w:t>
      </w:r>
      <w:r>
        <w:rPr>
          <w:rFonts w:ascii="Arial;Helvetica;sans-serif" w:hAnsi="Arial;Helvetica;sans-serif"/>
          <w:sz w:val="22"/>
        </w:rPr>
        <w:t>.</w:t>
      </w:r>
    </w:p>
    <w:p>
      <w:pPr>
        <w:pStyle w:val="TextBody"/>
        <w:spacing w:before="0" w:after="24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2"/>
        </w:rPr>
        <w:t>13.1</w:t>
      </w:r>
      <w:r>
        <w:rPr>
          <w:rFonts w:ascii="Arial;Helvetica;sans-serif" w:hAnsi="Arial;Helvetica;sans-serif"/>
          <w:sz w:val="22"/>
        </w:rPr>
        <w:t>During the Term, Executive will be covered by the Company’s director and officer insurance policy to the same extent as all other senior executive officers of the Company.</w:t>
      </w:r>
    </w:p>
    <w:p>
      <w:pPr>
        <w:pStyle w:val="TextBody"/>
        <w:spacing w:before="0" w:after="240"/>
        <w:ind w:left="0" w:right="0" w:hanging="0"/>
        <w:rPr>
          <w:rFonts w:ascii="Arial;Helvetica;sans-serif" w:hAnsi="Arial;Helvetica;sans-serif"/>
          <w:sz w:val="20"/>
        </w:rPr>
      </w:pPr>
      <w:r>
        <w:rPr>
          <w:rFonts w:ascii="Arial;Helvetica;sans-serif" w:hAnsi="Arial;Helvetica;sans-serif"/>
          <w:b w:val="false"/>
          <w:i w:val="false"/>
          <w:caps w:val="false"/>
          <w:smallCaps w:val="false"/>
          <w:sz w:val="22"/>
        </w:rPr>
        <w:t>13.2</w:t>
      </w:r>
      <w:r>
        <w:rPr>
          <w:rFonts w:ascii="Arial;Helvetica;sans-serif" w:hAnsi="Arial;Helvetica;sans-serif"/>
          <w:sz w:val="22"/>
        </w:rPr>
        <w:t>Following the execution of this Agreement, the director and officer indemnification agreement executed by the Company and Executive will continue in effect in accordance with its terms.</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w:t>
      </w:r>
      <w:r>
        <w:rPr>
          <w:rFonts w:ascii="Arial;Helvetica;sans-serif" w:hAnsi="Arial;Helvetica;sans-serif"/>
          <w:sz w:val="22"/>
          <w:u w:val="single"/>
        </w:rPr>
        <w:t>General Provisions.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14.1</w:t>
      </w:r>
      <w:r>
        <w:rPr>
          <w:rFonts w:ascii="Arial;Helvetica;sans-serif" w:hAnsi="Arial;Helvetica;sans-serif"/>
          <w:sz w:val="22"/>
          <w:u w:val="single"/>
        </w:rPr>
        <w:t>Successors and Assigns</w:t>
      </w:r>
      <w:r>
        <w:rPr>
          <w:rFonts w:ascii="Arial;Helvetica;sans-serif" w:hAnsi="Arial;Helvetica;sans-serif"/>
          <w:sz w:val="22"/>
        </w:rPr>
        <w:t xml:space="preserve">. The rights and obligations of the Company under this Agreement shall inure to the benefit of and shall be binding upon the successors and assigns </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HorizontalLine"/>
        <w:rPr/>
      </w:pPr>
      <w:r>
        <w:rPr/>
      </w:r>
    </w:p>
    <w:p>
      <w:pPr>
        <w:pStyle w:val="TextBody"/>
        <w:spacing w:before="0" w:after="0"/>
        <w:ind w:left="0" w:right="0" w:hanging="0"/>
        <w:jc w:val="both"/>
        <w:rPr>
          <w:rFonts w:ascii="Arial;Helvetica;sans-serif" w:hAnsi="Arial;Helvetica;sans-serif"/>
          <w:sz w:val="22"/>
        </w:rPr>
      </w:pPr>
      <w:r>
        <w:rPr>
          <w:rFonts w:ascii="Arial;Helvetica;sans-serif" w:hAnsi="Arial;Helvetica;sans-serif"/>
          <w:sz w:val="22"/>
        </w:rPr>
        <w:t>of the Company. Executive shall not be entitled to assign any of Executive's rights or obligations under this Agreement.</w:t>
      </w:r>
    </w:p>
    <w:p>
      <w:pPr>
        <w:pStyle w:val="TextBody"/>
        <w:spacing w:before="0" w:after="0"/>
        <w:ind w:left="0" w:right="0" w:hanging="0"/>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14.2</w:t>
      </w:r>
      <w:r>
        <w:rPr>
          <w:rFonts w:ascii="Arial;Helvetica;sans-serif" w:hAnsi="Arial;Helvetica;sans-serif"/>
          <w:sz w:val="22"/>
          <w:u w:val="single"/>
        </w:rPr>
        <w:t>Waiver</w:t>
      </w:r>
      <w:r>
        <w:rPr>
          <w:rFonts w:ascii="Arial;Helvetica;sans-serif" w:hAnsi="Arial;Helvetica;sans-serif"/>
          <w:sz w:val="22"/>
        </w:rPr>
        <w:t>. Either party's failure to enforce any provision of this Agreement shall not in any way be construed as a waiver of any such provision, or prevent that party thereafter from enforcing each and every other provision of this Agreement.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14.3</w:t>
      </w:r>
      <w:r>
        <w:rPr>
          <w:rFonts w:ascii="Arial;Helvetica;sans-serif" w:hAnsi="Arial;Helvetica;sans-serif"/>
          <w:sz w:val="22"/>
          <w:u w:val="single"/>
        </w:rPr>
        <w:t>Attorneys’ Fees</w:t>
      </w:r>
      <w:r>
        <w:rPr>
          <w:rFonts w:ascii="Arial;Helvetica;sans-serif" w:hAnsi="Arial;Helvetica;sans-serif"/>
          <w:sz w:val="22"/>
        </w:rPr>
        <w:t>. In the event of a dispute involving the interpretation or enforcement of this Agreement, a court shall award attorneys' fees and costs to the prevailing party.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14.4</w:t>
      </w:r>
      <w:r>
        <w:rPr>
          <w:rFonts w:ascii="Arial;Helvetica;sans-serif" w:hAnsi="Arial;Helvetica;sans-serif"/>
          <w:sz w:val="22"/>
          <w:u w:val="single"/>
        </w:rPr>
        <w:t>Severability</w:t>
      </w:r>
      <w:r>
        <w:rPr>
          <w:rFonts w:ascii="Arial;Helvetica;sans-serif" w:hAnsi="Arial;Helvetica;sans-serif"/>
          <w:sz w:val="22"/>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14.5</w:t>
      </w:r>
      <w:r>
        <w:rPr>
          <w:rFonts w:ascii="Arial;Helvetica;sans-serif" w:hAnsi="Arial;Helvetica;sans-serif"/>
          <w:sz w:val="22"/>
          <w:u w:val="single"/>
        </w:rPr>
        <w:t>Interpretation; Construction.</w:t>
      </w:r>
      <w:r>
        <w:rPr>
          <w:rFonts w:ascii="Arial;Helvetica;sans-serif" w:hAnsi="Arial;Helvetica;sans-serif"/>
          <w:sz w:val="20"/>
        </w:rPr>
        <w:t xml:space="preserve"> </w:t>
      </w:r>
      <w:r>
        <w:rPr>
          <w:rFonts w:ascii="Arial;Helvetica;sans-serif" w:hAnsi="Arial;Helvetica;sans-serif"/>
          <w:sz w:val="22"/>
        </w:rPr>
        <w:t>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14.6</w:t>
      </w:r>
      <w:r>
        <w:rPr>
          <w:rFonts w:ascii="Arial;Helvetica;sans-serif" w:hAnsi="Arial;Helvetica;sans-serif"/>
          <w:sz w:val="22"/>
          <w:u w:val="single"/>
        </w:rPr>
        <w:t>Governing Law; Forum</w:t>
      </w:r>
      <w:r>
        <w:rPr>
          <w:rFonts w:ascii="Arial;Helvetica;sans-serif" w:hAnsi="Arial;Helvetica;sans-serif"/>
          <w:sz w:val="22"/>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14.7</w:t>
      </w:r>
      <w:r>
        <w:rPr>
          <w:rFonts w:ascii="Arial;Helvetica;sans-serif" w:hAnsi="Arial;Helvetica;sans-serif"/>
          <w:sz w:val="22"/>
          <w:u w:val="single"/>
        </w:rPr>
        <w:t>Notices</w:t>
      </w:r>
      <w:r>
        <w:rPr>
          <w:rFonts w:ascii="Arial;Helvetica;sans-serif" w:hAnsi="Arial;Helvetica;sans-serif"/>
          <w:sz w:val="22"/>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14.8</w:t>
      </w:r>
      <w:r>
        <w:rPr>
          <w:rFonts w:ascii="Arial;Helvetica;sans-serif" w:hAnsi="Arial;Helvetica;sans-serif"/>
          <w:sz w:val="22"/>
          <w:u w:val="single"/>
        </w:rPr>
        <w:t>Survival</w:t>
      </w:r>
      <w:r>
        <w:rPr>
          <w:rFonts w:ascii="Arial;Helvetica;sans-serif" w:hAnsi="Arial;Helvetica;sans-serif"/>
          <w:sz w:val="22"/>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15.</w:t>
      </w:r>
      <w:r>
        <w:rPr>
          <w:rFonts w:ascii="Arial;Helvetica;sans-serif" w:hAnsi="Arial;Helvetica;sans-serif"/>
          <w:sz w:val="22"/>
          <w:u w:val="single"/>
        </w:rPr>
        <w:t>Entire Agreement.</w:t>
      </w:r>
      <w:r>
        <w:rPr>
          <w:rFonts w:ascii="Arial;Helvetica;sans-serif" w:hAnsi="Arial;Helvetica;sans-serif"/>
          <w:sz w:val="20"/>
        </w:rPr>
        <w:t xml:space="preserve"> </w:t>
      </w:r>
      <w:r>
        <w:rPr>
          <w:rFonts w:ascii="Arial;Helvetica;sans-serif" w:hAnsi="Arial;Helvetica;sans-serif"/>
          <w:sz w:val="22"/>
        </w:rPr>
        <w:t xml:space="preserve">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HorizontalLine"/>
        <w:rPr/>
      </w:pPr>
      <w:r>
        <w:rPr/>
      </w:r>
    </w:p>
    <w:p>
      <w:pPr>
        <w:pStyle w:val="TextBody"/>
        <w:spacing w:before="0" w:after="0"/>
        <w:ind w:left="0" w:right="0" w:hanging="0"/>
        <w:jc w:val="both"/>
        <w:rPr>
          <w:rFonts w:ascii="Arial;Helvetica;sans-serif" w:hAnsi="Arial;Helvetica;sans-serif"/>
          <w:sz w:val="22"/>
        </w:rPr>
      </w:pPr>
      <w:r>
        <w:rPr>
          <w:rFonts w:ascii="Arial;Helvetica;sans-serif" w:hAnsi="Arial;Helvetica;sans-serif"/>
          <w:sz w:val="22"/>
        </w:rPr>
        <w:t>modified only with the written consent of Executive and the Board. No oral waiver, amendment or modification will be effective under any circumstances whatsoever.</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HorizontalLine"/>
        <w:rPr/>
      </w:pPr>
      <w:r>
        <w:rPr/>
      </w:r>
    </w:p>
    <w:p>
      <w:pPr>
        <w:pStyle w:val="TextBody"/>
        <w:spacing w:before="0" w:after="0"/>
        <w:ind w:left="0" w:right="0" w:hanging="0"/>
        <w:jc w:val="both"/>
        <w:rPr>
          <w:rFonts w:ascii="Arial;Helvetica;sans-serif" w:hAnsi="Arial;Helvetica;sans-serif"/>
          <w:sz w:val="22"/>
        </w:rPr>
      </w:pPr>
      <w:r>
        <w:rPr>
          <w:rFonts w:ascii="Arial;Helvetica;sans-serif" w:hAnsi="Arial;Helvetica;sans-serif"/>
          <w:sz w:val="22"/>
        </w:rPr>
        <w:t>THE PARTIES TO THIS AGREEMENT HAVE READ THE FOREGOING AGREEMENT AND FULLY UNDERSTAND EACH AND EVERY PROVISION CONTAINED HEREIN. WHEREFORE, THE PARTIES HAVE EXECUTED THIS AGREEMENT ON THE DATES SHOWN BELOW.</w:t>
      </w:r>
    </w:p>
    <w:p>
      <w:pPr>
        <w:pStyle w:val="TextBody"/>
        <w:spacing w:before="0" w:after="0"/>
        <w:ind w:left="0" w:right="0" w:hanging="0"/>
        <w:rPr/>
      </w:pPr>
      <w:r>
        <w:rPr/>
        <w:t>​</w:t>
      </w:r>
    </w:p>
    <w:tbl>
      <w:tblPr>
        <w:tblW w:w="5841" w:type="dxa"/>
        <w:jc w:val="center"/>
        <w:tblInd w:w="0" w:type="dxa"/>
        <w:tblCellMar>
          <w:top w:w="0" w:type="dxa"/>
          <w:left w:w="0" w:type="dxa"/>
          <w:bottom w:w="0" w:type="dxa"/>
          <w:right w:w="0" w:type="dxa"/>
        </w:tblCellMar>
      </w:tblPr>
      <w:tblGrid>
        <w:gridCol w:w="766"/>
        <w:gridCol w:w="946"/>
        <w:gridCol w:w="109"/>
        <w:gridCol w:w="1009"/>
        <w:gridCol w:w="3011"/>
      </w:tblGrid>
      <w:tr>
        <w:trPr/>
        <w:tc>
          <w:tcPr>
            <w:tcW w:w="76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pPr>
            <w:r>
              <w:rPr/>
              <w:t>​</w:t>
            </w:r>
          </w:p>
        </w:tc>
        <w:tc>
          <w:tcPr>
            <w:tcW w:w="3011" w:type="dxa"/>
            <w:tcBorders/>
            <w:shd w:fill="auto" w:val="clear"/>
            <w:vAlign w:val="center"/>
          </w:tcPr>
          <w:p>
            <w:pPr>
              <w:pStyle w:val="TableContents"/>
              <w:spacing w:before="0" w:after="0"/>
              <w:ind w:left="0" w:right="0" w:hanging="0"/>
              <w:rPr/>
            </w:pPr>
            <w:r>
              <w:rPr/>
              <w:t>​</w:t>
            </w:r>
          </w:p>
        </w:tc>
      </w:tr>
      <w:tr>
        <w:trPr/>
        <w:tc>
          <w:tcPr>
            <w:tcW w:w="1821" w:type="dxa"/>
            <w:gridSpan w:val="3"/>
            <w:tcBorders/>
            <w:shd w:fill="auto" w:val="clear"/>
            <w:vAlign w:val="center"/>
          </w:tcPr>
          <w:p>
            <w:pPr>
              <w:pStyle w:val="TableContents"/>
              <w:spacing w:before="0" w:after="0"/>
              <w:ind w:left="0" w:right="0" w:hanging="0"/>
              <w:rPr/>
            </w:pPr>
            <w:r>
              <w:rPr/>
              <w:t>​</w:t>
            </w:r>
          </w:p>
        </w:tc>
        <w:tc>
          <w:tcPr>
            <w:tcW w:w="4020" w:type="dxa"/>
            <w:gridSpan w:val="2"/>
            <w:tcBorders/>
            <w:shd w:fill="auto" w:val="clear"/>
            <w:vAlign w:val="center"/>
          </w:tcPr>
          <w:p>
            <w:pPr>
              <w:pStyle w:val="TableContents"/>
              <w:spacing w:before="0" w:after="0"/>
              <w:ind w:left="0" w:right="0" w:hanging="0"/>
              <w:rPr>
                <w:rFonts w:ascii="Arial;Helvetica;sans-serif" w:hAnsi="Arial;Helvetica;sans-serif"/>
                <w:b/>
                <w:sz w:val="22"/>
              </w:rPr>
            </w:pPr>
            <w:r>
              <w:rPr>
                <w:rFonts w:ascii="Arial;Helvetica;sans-serif" w:hAnsi="Arial;Helvetica;sans-serif"/>
                <w:b/>
                <w:sz w:val="22"/>
              </w:rPr>
              <w:t>EXECUTIVE</w:t>
            </w:r>
          </w:p>
        </w:tc>
      </w:tr>
      <w:tr>
        <w:trPr/>
        <w:tc>
          <w:tcPr>
            <w:tcW w:w="1821" w:type="dxa"/>
            <w:gridSpan w:val="3"/>
            <w:tcBorders/>
            <w:shd w:fill="auto" w:val="clear"/>
            <w:vAlign w:val="center"/>
          </w:tcPr>
          <w:p>
            <w:pPr>
              <w:pStyle w:val="TableContents"/>
              <w:spacing w:before="0" w:after="0"/>
              <w:ind w:left="0" w:right="0" w:hanging="0"/>
              <w:rPr/>
            </w:pPr>
            <w:r>
              <w:rPr/>
              <w:t>​</w:t>
            </w:r>
          </w:p>
        </w:tc>
        <w:tc>
          <w:tcPr>
            <w:tcW w:w="4020" w:type="dxa"/>
            <w:gridSpan w:val="2"/>
            <w:tcBorders/>
            <w:shd w:fill="auto" w:val="clear"/>
            <w:vAlign w:val="center"/>
          </w:tcPr>
          <w:p>
            <w:pPr>
              <w:pStyle w:val="TableContents"/>
              <w:spacing w:before="0" w:after="0"/>
              <w:ind w:left="0" w:right="0" w:hanging="0"/>
              <w:rPr/>
            </w:pPr>
            <w:r>
              <w:rPr/>
              <w:t>​</w:t>
            </w:r>
          </w:p>
        </w:tc>
      </w:tr>
      <w:tr>
        <w:trPr/>
        <w:tc>
          <w:tcPr>
            <w:tcW w:w="766"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Dated:</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5/1/2023</w:t>
            </w:r>
          </w:p>
        </w:tc>
        <w:tc>
          <w:tcPr>
            <w:tcW w:w="109" w:type="dxa"/>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By:</w:t>
            </w:r>
          </w:p>
        </w:tc>
        <w:tc>
          <w:tcPr>
            <w:tcW w:w="3011"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/s/ W. Stan Meyer</w:t>
            </w:r>
          </w:p>
        </w:tc>
      </w:tr>
      <w:tr>
        <w:trPr/>
        <w:tc>
          <w:tcPr>
            <w:tcW w:w="1821" w:type="dxa"/>
            <w:gridSpan w:val="3"/>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Name:</w:t>
            </w:r>
          </w:p>
        </w:tc>
        <w:tc>
          <w:tcPr>
            <w:tcW w:w="3011"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W. Stan Meyer</w:t>
            </w:r>
          </w:p>
        </w:tc>
      </w:tr>
      <w:tr>
        <w:trPr/>
        <w:tc>
          <w:tcPr>
            <w:tcW w:w="1821" w:type="dxa"/>
            <w:gridSpan w:val="3"/>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Address:</w:t>
            </w:r>
          </w:p>
        </w:tc>
        <w:tc>
          <w:tcPr>
            <w:tcW w:w="3011"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2600 West Camelback Road</w:t>
            </w:r>
          </w:p>
        </w:tc>
      </w:tr>
      <w:tr>
        <w:trPr/>
        <w:tc>
          <w:tcPr>
            <w:tcW w:w="1821" w:type="dxa"/>
            <w:gridSpan w:val="3"/>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pPr>
            <w:r>
              <w:rPr/>
              <w:t>​</w:t>
            </w:r>
          </w:p>
        </w:tc>
        <w:tc>
          <w:tcPr>
            <w:tcW w:w="3011"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Phoenix, Arizona 85017</w:t>
            </w:r>
          </w:p>
        </w:tc>
      </w:tr>
      <w:tr>
        <w:trPr/>
        <w:tc>
          <w:tcPr>
            <w:tcW w:w="1821" w:type="dxa"/>
            <w:gridSpan w:val="3"/>
            <w:tcBorders/>
            <w:shd w:fill="auto" w:val="clear"/>
            <w:vAlign w:val="center"/>
          </w:tcPr>
          <w:p>
            <w:pPr>
              <w:pStyle w:val="TableContents"/>
              <w:spacing w:before="0" w:after="0"/>
              <w:ind w:left="0" w:right="0" w:hanging="0"/>
              <w:rPr/>
            </w:pPr>
            <w:r>
              <w:rPr/>
              <w:t>​</w:t>
            </w:r>
          </w:p>
        </w:tc>
        <w:tc>
          <w:tcPr>
            <w:tcW w:w="4020" w:type="dxa"/>
            <w:gridSpan w:val="2"/>
            <w:tcBorders/>
            <w:shd w:fill="auto" w:val="clear"/>
            <w:vAlign w:val="center"/>
          </w:tcPr>
          <w:p>
            <w:pPr>
              <w:pStyle w:val="TableContents"/>
              <w:spacing w:before="0" w:after="0"/>
              <w:ind w:left="0" w:right="0" w:hanging="0"/>
              <w:rPr/>
            </w:pPr>
            <w:r>
              <w:rPr/>
              <w:t>​</w:t>
            </w:r>
          </w:p>
        </w:tc>
      </w:tr>
      <w:tr>
        <w:trPr/>
        <w:tc>
          <w:tcPr>
            <w:tcW w:w="1821" w:type="dxa"/>
            <w:gridSpan w:val="3"/>
            <w:tcBorders/>
            <w:shd w:fill="auto" w:val="clear"/>
            <w:vAlign w:val="center"/>
          </w:tcPr>
          <w:p>
            <w:pPr>
              <w:pStyle w:val="TableContents"/>
              <w:spacing w:before="0" w:after="0"/>
              <w:ind w:left="0" w:right="0" w:hanging="0"/>
              <w:rPr/>
            </w:pPr>
            <w:r>
              <w:rPr/>
              <w:t>​</w:t>
            </w:r>
          </w:p>
        </w:tc>
        <w:tc>
          <w:tcPr>
            <w:tcW w:w="4020" w:type="dxa"/>
            <w:gridSpan w:val="2"/>
            <w:tcBorders/>
            <w:shd w:fill="auto" w:val="clear"/>
            <w:vAlign w:val="center"/>
          </w:tcPr>
          <w:p>
            <w:pPr>
              <w:pStyle w:val="TableContents"/>
              <w:spacing w:before="0" w:after="0"/>
              <w:ind w:left="0" w:right="0" w:hanging="0"/>
              <w:rPr>
                <w:rFonts w:ascii="Arial;Helvetica;sans-serif" w:hAnsi="Arial;Helvetica;sans-serif"/>
                <w:b/>
                <w:sz w:val="22"/>
              </w:rPr>
            </w:pPr>
            <w:r>
              <w:rPr>
                <w:rFonts w:ascii="Arial;Helvetica;sans-serif" w:hAnsi="Arial;Helvetica;sans-serif"/>
                <w:b/>
                <w:sz w:val="22"/>
              </w:rPr>
              <w:t>GRAND CANYON EDUCATION, INC.</w:t>
            </w:r>
          </w:p>
        </w:tc>
      </w:tr>
      <w:tr>
        <w:trPr/>
        <w:tc>
          <w:tcPr>
            <w:tcW w:w="1821" w:type="dxa"/>
            <w:gridSpan w:val="3"/>
            <w:tcBorders/>
            <w:shd w:fill="auto" w:val="clear"/>
            <w:vAlign w:val="center"/>
          </w:tcPr>
          <w:p>
            <w:pPr>
              <w:pStyle w:val="TableContents"/>
              <w:spacing w:before="0" w:after="0"/>
              <w:ind w:left="0" w:right="0" w:hanging="0"/>
              <w:rPr/>
            </w:pPr>
            <w:r>
              <w:rPr/>
              <w:t>​</w:t>
            </w:r>
          </w:p>
        </w:tc>
        <w:tc>
          <w:tcPr>
            <w:tcW w:w="4020" w:type="dxa"/>
            <w:gridSpan w:val="2"/>
            <w:tcBorders/>
            <w:shd w:fill="auto" w:val="clear"/>
            <w:vAlign w:val="center"/>
          </w:tcPr>
          <w:p>
            <w:pPr>
              <w:pStyle w:val="TableContents"/>
              <w:spacing w:before="0" w:after="0"/>
              <w:ind w:left="0" w:right="0" w:hanging="0"/>
              <w:rPr/>
            </w:pPr>
            <w:r>
              <w:rPr/>
              <w:t>​</w:t>
            </w:r>
          </w:p>
        </w:tc>
      </w:tr>
      <w:tr>
        <w:trPr/>
        <w:tc>
          <w:tcPr>
            <w:tcW w:w="766"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Dated:</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5/1/2023</w:t>
            </w:r>
          </w:p>
        </w:tc>
        <w:tc>
          <w:tcPr>
            <w:tcW w:w="109" w:type="dxa"/>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By:</w:t>
            </w:r>
          </w:p>
        </w:tc>
        <w:tc>
          <w:tcPr>
            <w:tcW w:w="3011"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/s/ Daniel E. Bachus</w:t>
            </w:r>
          </w:p>
        </w:tc>
      </w:tr>
      <w:tr>
        <w:trPr/>
        <w:tc>
          <w:tcPr>
            <w:tcW w:w="1821" w:type="dxa"/>
            <w:gridSpan w:val="3"/>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Name:</w:t>
            </w:r>
          </w:p>
        </w:tc>
        <w:tc>
          <w:tcPr>
            <w:tcW w:w="3011"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Daniel E. Bachus</w:t>
            </w:r>
          </w:p>
        </w:tc>
      </w:tr>
      <w:tr>
        <w:trPr/>
        <w:tc>
          <w:tcPr>
            <w:tcW w:w="1821" w:type="dxa"/>
            <w:gridSpan w:val="3"/>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Title:</w:t>
            </w:r>
          </w:p>
        </w:tc>
        <w:tc>
          <w:tcPr>
            <w:tcW w:w="3011"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Chief Financial Officer</w:t>
            </w:r>
          </w:p>
        </w:tc>
      </w:tr>
      <w:tr>
        <w:trPr/>
        <w:tc>
          <w:tcPr>
            <w:tcW w:w="1821" w:type="dxa"/>
            <w:gridSpan w:val="3"/>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Address:</w:t>
            </w:r>
          </w:p>
        </w:tc>
        <w:tc>
          <w:tcPr>
            <w:tcW w:w="3011"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2600 West Camelback Road</w:t>
            </w:r>
          </w:p>
        </w:tc>
      </w:tr>
      <w:tr>
        <w:trPr/>
        <w:tc>
          <w:tcPr>
            <w:tcW w:w="1821" w:type="dxa"/>
            <w:gridSpan w:val="3"/>
            <w:tcBorders/>
            <w:shd w:fill="auto" w:val="clear"/>
            <w:vAlign w:val="center"/>
          </w:tcPr>
          <w:p>
            <w:pPr>
              <w:pStyle w:val="TableContents"/>
              <w:spacing w:before="0" w:after="0"/>
              <w:ind w:left="0" w:right="0" w:hanging="0"/>
              <w:rPr/>
            </w:pPr>
            <w:r>
              <w:rPr/>
              <w:t>​</w:t>
            </w:r>
          </w:p>
        </w:tc>
        <w:tc>
          <w:tcPr>
            <w:tcW w:w="1009" w:type="dxa"/>
            <w:tcBorders/>
            <w:shd w:fill="auto" w:val="clear"/>
            <w:vAlign w:val="center"/>
          </w:tcPr>
          <w:p>
            <w:pPr>
              <w:pStyle w:val="TableContents"/>
              <w:spacing w:before="0" w:after="0"/>
              <w:ind w:left="0" w:right="0" w:hanging="0"/>
              <w:rPr/>
            </w:pPr>
            <w:r>
              <w:rPr/>
              <w:t>​</w:t>
            </w:r>
          </w:p>
        </w:tc>
        <w:tc>
          <w:tcPr>
            <w:tcW w:w="3011"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Phoenix, Arizona 85017</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HorizontalLine"/>
        <w:rPr/>
      </w:pPr>
      <w:r>
        <w:rPr/>
      </w:r>
      <w:r>
        <w:br w:type="page"/>
      </w:r>
    </w:p>
    <w:p>
      <w:pPr>
        <w:pStyle w:val="TextBody"/>
        <w:spacing w:before="0" w:after="0"/>
        <w:ind w:left="0" w:right="0" w:hanging="0"/>
        <w:rPr/>
      </w:pPr>
      <w:bookmarkStart w:id="862" w:name="lope-20230331xex10d3.htm"/>
      <w:bookmarkStart w:id="863" w:name="kslope20230331xex10d3"/>
      <w:bookmarkEnd w:id="862"/>
      <w:bookmarkEnd w:id="863"/>
      <w:r>
        <w:rPr/>
        <w:t>​</w:t>
      </w:r>
    </w:p>
    <w:p>
      <w:pPr>
        <w:pStyle w:val="TextBody"/>
        <w:spacing w:before="0" w:after="0"/>
        <w:ind w:left="0" w:right="0" w:hanging="0"/>
        <w:jc w:val="right"/>
        <w:rPr>
          <w:rFonts w:ascii="Arial;Helvetica;sans-serif" w:hAnsi="Arial;Helvetica;sans-serif"/>
          <w:b/>
          <w:sz w:val="22"/>
        </w:rPr>
      </w:pPr>
      <w:r>
        <w:rPr>
          <w:rFonts w:ascii="Arial;Helvetica;sans-serif" w:hAnsi="Arial;Helvetica;sans-serif"/>
          <w:b/>
          <w:sz w:val="22"/>
        </w:rPr>
        <w:t>Exhibit 10.3</w:t>
      </w:r>
    </w:p>
    <w:p>
      <w:pPr>
        <w:pStyle w:val="TextBody"/>
        <w:spacing w:before="0" w:after="0"/>
        <w:ind w:left="0" w:right="0" w:hanging="0"/>
        <w:jc w:val="right"/>
        <w:rPr/>
      </w:pPr>
      <w:r>
        <w:rPr/>
        <w:t>​</w:t>
      </w:r>
    </w:p>
    <w:p>
      <w:pPr>
        <w:pStyle w:val="TextBody"/>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THIRD AMENDED AND RESTATED</w:t>
      </w:r>
    </w:p>
    <w:p>
      <w:pPr>
        <w:pStyle w:val="TextBody"/>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EXECUTIVE EMPLOYMENT AGREEMENT</w:t>
      </w:r>
    </w:p>
    <w:p>
      <w:pPr>
        <w:pStyle w:val="TextBody"/>
        <w:spacing w:before="0" w:after="240"/>
        <w:ind w:left="0" w:right="0" w:hanging="0"/>
        <w:jc w:val="center"/>
        <w:rPr>
          <w:rFonts w:ascii="Arial;Helvetica;sans-serif" w:hAnsi="Arial;Helvetica;sans-serif"/>
          <w:b/>
          <w:sz w:val="22"/>
        </w:rPr>
      </w:pPr>
      <w:r>
        <w:rPr>
          <w:rFonts w:ascii="Arial;Helvetica;sans-serif" w:hAnsi="Arial;Helvetica;sans-serif"/>
          <w:b/>
          <w:sz w:val="22"/>
        </w:rPr>
        <w:t>(Chief Financial Officer)</w:t>
      </w:r>
    </w:p>
    <w:p>
      <w:pPr>
        <w:pStyle w:val="TextBody"/>
        <w:spacing w:before="0" w:after="240"/>
        <w:ind w:left="0" w:right="0" w:firstLine="720"/>
        <w:jc w:val="both"/>
        <w:rPr>
          <w:rFonts w:ascii="Times New Roman;Times;serif" w:hAnsi="Times New Roman;Times;serif"/>
          <w:sz w:val="20"/>
        </w:rPr>
      </w:pPr>
      <w:r>
        <w:rPr>
          <w:rFonts w:ascii="Arial;Helvetica;sans-serif" w:hAnsi="Arial;Helvetica;sans-serif"/>
          <w:color w:val="1F1F1F"/>
          <w:sz w:val="22"/>
        </w:rPr>
        <w:t>This third Amended and Restated Executive Employment Agreement (the “</w:t>
      </w:r>
      <w:r>
        <w:rPr>
          <w:rFonts w:ascii="Arial;Helvetica;sans-serif" w:hAnsi="Arial;Helvetica;sans-serif"/>
          <w:color w:val="1F1F1F"/>
          <w:sz w:val="22"/>
          <w:u w:val="single"/>
        </w:rPr>
        <w:t>Agreement"</w:t>
      </w:r>
      <w:r>
        <w:rPr>
          <w:rFonts w:ascii="Arial;Helvetica;sans-serif" w:hAnsi="Arial;Helvetica;sans-serif"/>
          <w:color w:val="1F1F1F"/>
          <w:sz w:val="22"/>
        </w:rPr>
        <w:t>) is entered into on May 1, 2023, and is effective as of July 1, 2023 (the “</w:t>
      </w:r>
      <w:r>
        <w:rPr>
          <w:rFonts w:ascii="Arial;Helvetica;sans-serif" w:hAnsi="Arial;Helvetica;sans-serif"/>
          <w:color w:val="1F1F1F"/>
          <w:sz w:val="22"/>
          <w:u w:val="single"/>
        </w:rPr>
        <w:t>Effective Date</w:t>
      </w:r>
      <w:r>
        <w:rPr>
          <w:rFonts w:ascii="Times New Roman;Times;serif" w:hAnsi="Times New Roman;Times;serif"/>
          <w:color w:val="1F1F1F"/>
          <w:sz w:val="20"/>
        </w:rPr>
        <w:t>”</w:t>
      </w:r>
      <w:r>
        <w:rPr>
          <w:rFonts w:ascii="Arial;Helvetica;sans-serif" w:hAnsi="Arial;Helvetica;sans-serif"/>
          <w:color w:val="1F1F1F"/>
          <w:sz w:val="22"/>
        </w:rPr>
        <w:t xml:space="preserve">), by and between Grand Canyon Education, Inc., a Delaware corporation </w:t>
      </w:r>
      <w:r>
        <w:rPr>
          <w:rFonts w:ascii="Arial;Helvetica;sans-serif" w:hAnsi="Arial;Helvetica;sans-serif"/>
          <w:sz w:val="23"/>
        </w:rPr>
        <w:t>(the “</w:t>
      </w:r>
      <w:r>
        <w:rPr>
          <w:rFonts w:ascii="Arial;Helvetica;sans-serif" w:hAnsi="Arial;Helvetica;sans-serif"/>
          <w:color w:val="1F1F1F"/>
          <w:sz w:val="22"/>
        </w:rPr>
        <w:t>Company</w:t>
      </w:r>
      <w:r>
        <w:rPr>
          <w:rFonts w:ascii="Times New Roman;Times;serif" w:hAnsi="Times New Roman;Times;serif"/>
          <w:sz w:val="20"/>
        </w:rPr>
        <w:t>”</w:t>
      </w:r>
      <w:r>
        <w:rPr>
          <w:rFonts w:ascii="Arial;Helvetica;sans-serif" w:hAnsi="Arial;Helvetica;sans-serif"/>
          <w:sz w:val="23"/>
        </w:rPr>
        <w:t>),</w:t>
      </w:r>
      <w:r>
        <w:rPr>
          <w:rFonts w:ascii="Times New Roman;Times;serif" w:hAnsi="Times New Roman;Times;serif"/>
          <w:color w:val="1F1F1F"/>
          <w:sz w:val="20"/>
        </w:rPr>
        <w:t xml:space="preserve"> </w:t>
      </w:r>
      <w:r>
        <w:rPr>
          <w:rFonts w:ascii="Arial;Helvetica;sans-serif" w:hAnsi="Arial;Helvetica;sans-serif"/>
          <w:color w:val="1F1F1F"/>
          <w:sz w:val="22"/>
        </w:rPr>
        <w:t>and Daniel E. Bachus (“</w:t>
      </w:r>
      <w:r>
        <w:rPr>
          <w:rFonts w:ascii="Arial;Helvetica;sans-serif" w:hAnsi="Arial;Helvetica;sans-serif"/>
          <w:color w:val="1F1F1F"/>
          <w:sz w:val="22"/>
          <w:u w:val="single"/>
        </w:rPr>
        <w:t>Executive</w:t>
      </w:r>
      <w:r>
        <w:rPr>
          <w:rFonts w:ascii="Times New Roman;Times;serif" w:hAnsi="Times New Roman;Times;serif"/>
          <w:color w:val="1F1F1F"/>
          <w:sz w:val="20"/>
        </w:rPr>
        <w:t>”</w:t>
      </w:r>
      <w:r>
        <w:rPr>
          <w:rFonts w:ascii="Arial;Helvetica;sans-serif" w:hAnsi="Arial;Helvetica;sans-serif"/>
          <w:color w:val="1F1F1F"/>
          <w:sz w:val="22"/>
        </w:rPr>
        <w:t>).</w:t>
      </w:r>
    </w:p>
    <w:p>
      <w:pPr>
        <w:pStyle w:val="TextBody"/>
        <w:spacing w:before="0" w:after="240"/>
        <w:ind w:left="0" w:right="0" w:firstLine="720"/>
        <w:jc w:val="both"/>
        <w:rPr>
          <w:rFonts w:ascii="Times New Roman;Times;serif" w:hAnsi="Times New Roman;Times;serif"/>
          <w:sz w:val="20"/>
        </w:rPr>
      </w:pPr>
      <w:r>
        <w:rPr>
          <w:rFonts w:ascii="Arial;Helvetica;sans-serif" w:hAnsi="Arial;Helvetica;sans-serif"/>
          <w:color w:val="1F1F1F"/>
          <w:sz w:val="22"/>
        </w:rPr>
        <w:t xml:space="preserve">WHEREAS, </w:t>
      </w:r>
      <w:r>
        <w:rPr>
          <w:rFonts w:ascii="Arial;Helvetica;sans-serif" w:hAnsi="Arial;Helvetica;sans-serif"/>
          <w:sz w:val="23"/>
        </w:rPr>
        <w:t xml:space="preserve">the </w:t>
      </w:r>
      <w:r>
        <w:rPr>
          <w:rFonts w:ascii="Arial;Helvetica;sans-serif" w:hAnsi="Arial;Helvetica;sans-serif"/>
          <w:color w:val="1F1F1F"/>
          <w:sz w:val="22"/>
        </w:rPr>
        <w:t>Company and Executive are parties to a second amended and restated executive employment agreement effective as of August 16, 2012, and July 1, 2018, (as amended, the “</w:t>
      </w:r>
      <w:r>
        <w:rPr>
          <w:rFonts w:ascii="Arial;Helvetica;sans-serif" w:hAnsi="Arial;Helvetica;sans-serif"/>
          <w:color w:val="1F1F1F"/>
          <w:sz w:val="22"/>
          <w:u w:val="single"/>
        </w:rPr>
        <w:t>Original Agreement”</w:t>
      </w:r>
      <w:r>
        <w:rPr>
          <w:rFonts w:ascii="Arial;Helvetica;sans-serif" w:hAnsi="Arial;Helvetica;sans-serif"/>
          <w:color w:val="1F1F1F"/>
          <w:sz w:val="22"/>
        </w:rPr>
        <w:t xml:space="preserve">), and Executive has been employed with </w:t>
      </w:r>
      <w:r>
        <w:rPr>
          <w:rFonts w:ascii="Arial;Helvetica;sans-serif" w:hAnsi="Arial;Helvetica;sans-serif"/>
          <w:sz w:val="23"/>
        </w:rPr>
        <w:t xml:space="preserve">the </w:t>
      </w:r>
      <w:r>
        <w:rPr>
          <w:rFonts w:ascii="Arial;Helvetica;sans-serif" w:hAnsi="Arial;Helvetica;sans-serif"/>
          <w:color w:val="1F1F1F"/>
          <w:sz w:val="22"/>
        </w:rPr>
        <w:t>Company since that time;</w:t>
      </w:r>
      <w:r>
        <w:rPr>
          <w:rFonts w:ascii="Times New Roman;Times;serif" w:hAnsi="Times New Roman;Times;serif"/>
          <w:sz w:val="20"/>
        </w:rPr>
        <w:t xml:space="preserve"> </w:t>
      </w:r>
      <w:r>
        <w:rPr>
          <w:rFonts w:ascii="Arial;Helvetica;sans-serif" w:hAnsi="Arial;Helvetica;sans-serif"/>
          <w:sz w:val="23"/>
        </w:rPr>
        <w:t>and</w:t>
      </w:r>
    </w:p>
    <w:p>
      <w:pPr>
        <w:pStyle w:val="TextBody"/>
        <w:spacing w:before="0" w:after="240"/>
        <w:ind w:left="0" w:right="0" w:firstLine="720"/>
        <w:jc w:val="both"/>
        <w:rPr>
          <w:rFonts w:ascii="Times New Roman;Times;serif" w:hAnsi="Times New Roman;Times;serif"/>
          <w:sz w:val="20"/>
        </w:rPr>
      </w:pPr>
      <w:r>
        <w:rPr>
          <w:rFonts w:ascii="Arial;Helvetica;sans-serif" w:hAnsi="Arial;Helvetica;sans-serif"/>
          <w:color w:val="1F1F1F"/>
          <w:sz w:val="22"/>
        </w:rPr>
        <w:t>WHEREAS,</w:t>
      </w:r>
      <w:r>
        <w:rPr>
          <w:rFonts w:ascii="Times New Roman;Times;serif" w:hAnsi="Times New Roman;Times;serif"/>
          <w:sz w:val="20"/>
        </w:rPr>
        <w:t xml:space="preserve"> </w:t>
      </w:r>
      <w:r>
        <w:rPr>
          <w:rFonts w:ascii="Arial;Helvetica;sans-serif" w:hAnsi="Arial;Helvetica;sans-serif"/>
          <w:sz w:val="23"/>
        </w:rPr>
        <w:t xml:space="preserve">the </w:t>
      </w:r>
      <w:r>
        <w:rPr>
          <w:rFonts w:ascii="Arial;Helvetica;sans-serif" w:hAnsi="Arial;Helvetica;sans-serif"/>
          <w:color w:val="1F1F1F"/>
          <w:sz w:val="22"/>
        </w:rPr>
        <w:t>Company and Executive desire to amend and restate the Original Agreement through the execution and delivery of this Agreement</w:t>
      </w:r>
      <w:r>
        <w:rPr>
          <w:rFonts w:ascii="Arial;Helvetica;sans-serif" w:hAnsi="Arial;Helvetica;sans-serif"/>
          <w:sz w:val="23"/>
        </w:rPr>
        <w:t>;</w:t>
      </w:r>
    </w:p>
    <w:p>
      <w:pPr>
        <w:pStyle w:val="TextBody"/>
        <w:spacing w:before="0" w:after="240"/>
        <w:ind w:left="0" w:right="0" w:firstLine="720"/>
        <w:jc w:val="both"/>
        <w:rPr>
          <w:rFonts w:ascii="Arial;Helvetica;sans-serif" w:hAnsi="Arial;Helvetica;sans-serif"/>
          <w:color w:val="1F1F1F"/>
          <w:sz w:val="22"/>
        </w:rPr>
      </w:pPr>
      <w:r>
        <w:rPr>
          <w:rFonts w:ascii="Arial;Helvetica;sans-serif" w:hAnsi="Arial;Helvetica;sans-serif"/>
          <w:color w:val="1F1F1F"/>
          <w:sz w:val="22"/>
        </w:rPr>
        <w:t>NOW, THEREFORE, for good and valuable consideration, the receipt and sufficiency of which are hereby acknowledged, the parties agree as follows:</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w:t>
      </w:r>
      <w:r>
        <w:rPr>
          <w:rFonts w:ascii="Arial;Helvetica;sans-serif" w:hAnsi="Arial;Helvetica;sans-serif"/>
          <w:color w:val="1F1F1F"/>
          <w:sz w:val="22"/>
          <w:u w:val="single"/>
        </w:rPr>
        <w:t>Employment.</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desires to continue to employ Executive, and Executive desires to continue such employment, upon the terms and conditions set forth herein.</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2.</w:t>
      </w:r>
      <w:r>
        <w:rPr>
          <w:rFonts w:ascii="Arial;Helvetica;sans-serif" w:hAnsi="Arial;Helvetica;sans-serif"/>
          <w:color w:val="1F1F1F"/>
          <w:sz w:val="22"/>
          <w:u w:val="single"/>
        </w:rPr>
        <w:t>Duties</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2.1</w:t>
      </w:r>
      <w:r>
        <w:rPr>
          <w:rFonts w:ascii="Arial;Helvetica;sans-serif" w:hAnsi="Arial;Helvetica;sans-serif"/>
          <w:color w:val="1F1F1F"/>
          <w:sz w:val="22"/>
          <w:u w:val="single"/>
        </w:rPr>
        <w:t>Position</w:t>
      </w:r>
      <w:r>
        <w:rPr>
          <w:rFonts w:ascii="Arial;Helvetica;sans-serif" w:hAnsi="Arial;Helvetica;sans-serif"/>
          <w:color w:val="1F1F1F"/>
          <w:sz w:val="22"/>
        </w:rPr>
        <w:t xml:space="preserve">. Executive is employed </w:t>
      </w:r>
      <w:r>
        <w:rPr>
          <w:rFonts w:ascii="Arial;Helvetica;sans-serif" w:hAnsi="Arial;Helvetica;sans-serif"/>
          <w:sz w:val="22"/>
        </w:rPr>
        <w:t>as Chief Financial Officer</w:t>
      </w:r>
      <w:r>
        <w:rPr>
          <w:rFonts w:ascii="Times New Roman;Times;serif" w:hAnsi="Times New Roman;Times;serif"/>
          <w:color w:val="1F1F1F"/>
          <w:sz w:val="20"/>
        </w:rPr>
        <w:t xml:space="preserve"> </w:t>
      </w:r>
      <w:r>
        <w:rPr>
          <w:rFonts w:ascii="Arial;Helvetica;sans-serif" w:hAnsi="Arial;Helvetica;sans-serif"/>
          <w:color w:val="1F1F1F"/>
          <w:sz w:val="22"/>
        </w:rPr>
        <w:t xml:space="preserve">and shall have the duties and responsibilities reasonably assigned to Executive from time to time by </w:t>
      </w:r>
      <w:r>
        <w:rPr>
          <w:rFonts w:ascii="Arial;Helvetica;sans-serif" w:hAnsi="Arial;Helvetica;sans-serif"/>
          <w:sz w:val="22"/>
        </w:rPr>
        <w:t xml:space="preserve">the </w:t>
      </w:r>
      <w:r>
        <w:rPr>
          <w:rFonts w:ascii="Arial;Helvetica;sans-serif" w:hAnsi="Arial;Helvetica;sans-serif"/>
          <w:color w:val="1F1F1F"/>
          <w:sz w:val="22"/>
        </w:rPr>
        <w:t>Company’s Chief Executive Officer (“</w:t>
      </w:r>
      <w:r>
        <w:rPr>
          <w:rFonts w:ascii="Arial;Helvetica;sans-serif" w:hAnsi="Arial;Helvetica;sans-serif"/>
          <w:color w:val="1F1F1F"/>
          <w:sz w:val="22"/>
          <w:u w:val="single"/>
        </w:rPr>
        <w:t>CEO</w:t>
      </w:r>
      <w:r>
        <w:rPr>
          <w:rFonts w:ascii="Times New Roman;Times;serif" w:hAnsi="Times New Roman;Times;serif"/>
          <w:sz w:val="20"/>
        </w:rPr>
        <w:t>”</w:t>
      </w:r>
      <w:r>
        <w:rPr>
          <w:rFonts w:ascii="Arial;Helvetica;sans-serif" w:hAnsi="Arial;Helvetica;sans-serif"/>
          <w:sz w:val="22"/>
        </w:rPr>
        <w:t>)</w:t>
      </w:r>
      <w:r>
        <w:rPr>
          <w:rFonts w:ascii="Times New Roman;Times;serif" w:hAnsi="Times New Roman;Times;serif"/>
          <w:color w:val="1F1F1F"/>
          <w:sz w:val="20"/>
        </w:rPr>
        <w:t xml:space="preserve"> </w:t>
      </w:r>
      <w:r>
        <w:rPr>
          <w:rFonts w:ascii="Arial;Helvetica;sans-serif" w:hAnsi="Arial;Helvetica;sans-serif"/>
          <w:color w:val="1F1F1F"/>
          <w:sz w:val="22"/>
        </w:rPr>
        <w:t>or Board of Directors (the “</w:t>
      </w:r>
      <w:r>
        <w:rPr>
          <w:rFonts w:ascii="Arial;Helvetica;sans-serif" w:hAnsi="Arial;Helvetica;sans-serif"/>
          <w:color w:val="1F1F1F"/>
          <w:sz w:val="22"/>
          <w:u w:val="single"/>
        </w:rPr>
        <w:t>Board</w:t>
      </w:r>
      <w:r>
        <w:rPr>
          <w:rFonts w:ascii="Times New Roman;Times;serif" w:hAnsi="Times New Roman;Times;serif"/>
          <w:color w:val="1F1F1F"/>
          <w:sz w:val="20"/>
        </w:rPr>
        <w:t>”</w:t>
      </w:r>
      <w:r>
        <w:rPr>
          <w:rFonts w:ascii="Arial;Helvetica;sans-serif" w:hAnsi="Arial;Helvetica;sans-serif"/>
          <w:color w:val="1F1F1F"/>
          <w:sz w:val="22"/>
        </w:rPr>
        <w:t xml:space="preserve">). Executive shall perform faithfully and diligently all duties assigned to Executive. </w:t>
      </w:r>
      <w:r>
        <w:rPr>
          <w:rFonts w:ascii="Arial;Helvetica;sans-serif" w:hAnsi="Arial;Helvetica;sans-serif"/>
          <w:sz w:val="22"/>
        </w:rPr>
        <w:t xml:space="preserve">The </w:t>
      </w:r>
      <w:r>
        <w:rPr>
          <w:rFonts w:ascii="Arial;Helvetica;sans-serif" w:hAnsi="Arial;Helvetica;sans-serif"/>
          <w:color w:val="1F1F1F"/>
          <w:sz w:val="22"/>
        </w:rPr>
        <w:t>Company reserves the right to modify Executive’s position and duties at any time in its sole and absolute discretion, except that any material diminution in Executive’s duties shall be subject to Section 7.3(ii).</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2.2</w:t>
      </w:r>
      <w:r>
        <w:rPr>
          <w:rFonts w:ascii="Arial;Helvetica;sans-serif" w:hAnsi="Arial;Helvetica;sans-serif"/>
          <w:color w:val="1F1F1F"/>
          <w:sz w:val="22"/>
          <w:u w:val="single"/>
        </w:rPr>
        <w:t>Best Efforts/Full-time</w:t>
      </w:r>
      <w:r>
        <w:rPr>
          <w:rFonts w:ascii="Arial;Helvetica;sans-serif" w:hAnsi="Arial;Helvetica;sans-serif"/>
          <w:color w:val="1F1F1F"/>
          <w:sz w:val="22"/>
        </w:rPr>
        <w:t>. Executive will expend Executive’s best efforts on behalf of</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in the performance of duties assigned to Executive under this Agreement, and will abide by all policies and decisions made by </w:t>
      </w:r>
      <w:r>
        <w:rPr>
          <w:rFonts w:ascii="Arial;Helvetica;sans-serif" w:hAnsi="Arial;Helvetica;sans-serif"/>
          <w:sz w:val="22"/>
        </w:rPr>
        <w:t xml:space="preserve">the </w:t>
      </w:r>
      <w:r>
        <w:rPr>
          <w:rFonts w:ascii="Arial;Helvetica;sans-serif" w:hAnsi="Arial;Helvetica;sans-serif"/>
          <w:color w:val="1F1F1F"/>
          <w:sz w:val="22"/>
        </w:rPr>
        <w:t xml:space="preserve">Company, as well as all applicable federal, state and local laws, regulations or ordinances. Executive will act in the best interest of </w:t>
      </w:r>
      <w:r>
        <w:rPr>
          <w:rFonts w:ascii="Arial;Helvetica;sans-serif" w:hAnsi="Arial;Helvetica;sans-serif"/>
          <w:sz w:val="22"/>
        </w:rPr>
        <w:t xml:space="preserve">the </w:t>
      </w:r>
      <w:r>
        <w:rPr>
          <w:rFonts w:ascii="Arial;Helvetica;sans-serif" w:hAnsi="Arial;Helvetica;sans-serif"/>
          <w:color w:val="1F1F1F"/>
          <w:sz w:val="22"/>
        </w:rPr>
        <w:t xml:space="preserve">Company at all times in the performance of duties assigned to Executive under this Agreement. Executive shall devote Executive's full business time and efforts to the performance of Executive’s assigned duties for </w:t>
      </w:r>
      <w:r>
        <w:rPr>
          <w:rFonts w:ascii="Arial;Helvetica;sans-serif" w:hAnsi="Arial;Helvetica;sans-serif"/>
          <w:sz w:val="22"/>
        </w:rPr>
        <w:t xml:space="preserve">the </w:t>
      </w:r>
      <w:r>
        <w:rPr>
          <w:rFonts w:ascii="Arial;Helvetica;sans-serif" w:hAnsi="Arial;Helvetica;sans-serif"/>
          <w:color w:val="1F1F1F"/>
          <w:sz w:val="22"/>
        </w:rPr>
        <w:t xml:space="preserve">Company, unless Executive notifies </w:t>
      </w:r>
      <w:r>
        <w:rPr>
          <w:rFonts w:ascii="Arial;Helvetica;sans-serif" w:hAnsi="Arial;Helvetica;sans-serif"/>
          <w:sz w:val="22"/>
        </w:rPr>
        <w:t>the Board and CEO</w:t>
      </w:r>
      <w:r>
        <w:rPr>
          <w:rFonts w:ascii="Times New Roman;Times;serif" w:hAnsi="Times New Roman;Times;serif"/>
          <w:color w:val="1F1F1F"/>
          <w:sz w:val="20"/>
        </w:rPr>
        <w:t xml:space="preserve"> </w:t>
      </w:r>
      <w:r>
        <w:rPr>
          <w:rFonts w:ascii="Arial;Helvetica;sans-serif" w:hAnsi="Arial;Helvetica;sans-serif"/>
          <w:color w:val="1F1F1F"/>
          <w:sz w:val="22"/>
        </w:rPr>
        <w:t xml:space="preserve">in advance of </w:t>
      </w:r>
      <w:r>
        <w:rPr>
          <w:rFonts w:ascii="Arial;Helvetica;sans-serif" w:hAnsi="Arial;Helvetica;sans-serif"/>
          <w:sz w:val="22"/>
        </w:rPr>
        <w:t>Executive’s</w:t>
      </w:r>
      <w:r>
        <w:rPr>
          <w:rFonts w:ascii="Times New Roman;Times;serif" w:hAnsi="Times New Roman;Times;serif"/>
          <w:color w:val="1F1F1F"/>
          <w:sz w:val="20"/>
        </w:rPr>
        <w:t xml:space="preserve"> </w:t>
      </w:r>
      <w:r>
        <w:rPr>
          <w:rFonts w:ascii="Arial;Helvetica;sans-serif" w:hAnsi="Arial;Helvetica;sans-serif"/>
          <w:color w:val="1F1F1F"/>
          <w:sz w:val="22"/>
        </w:rPr>
        <w:t xml:space="preserve">intent to engage in other paid work and receives </w:t>
      </w:r>
      <w:r>
        <w:rPr>
          <w:rFonts w:ascii="Arial;Helvetica;sans-serif" w:hAnsi="Arial;Helvetica;sans-serif"/>
          <w:sz w:val="22"/>
        </w:rPr>
        <w:t>the Board’s and CEO’s</w:t>
      </w:r>
      <w:r>
        <w:rPr>
          <w:rFonts w:ascii="Times New Roman;Times;serif" w:hAnsi="Times New Roman;Times;serif"/>
          <w:color w:val="1F1F1F"/>
          <w:sz w:val="20"/>
        </w:rPr>
        <w:t xml:space="preserve"> </w:t>
      </w:r>
      <w:r>
        <w:rPr>
          <w:rFonts w:ascii="Arial;Helvetica;sans-serif" w:hAnsi="Arial;Helvetica;sans-serif"/>
          <w:color w:val="1F1F1F"/>
          <w:sz w:val="22"/>
        </w:rPr>
        <w:t xml:space="preserve">express written consent to do so. Notwithstanding the foregoing, Executive will be permitted to serve as an outside director on the board of directors for corporate, civic, nonprofit or charitable entities, so long as Executive obtains the consent of </w:t>
      </w:r>
      <w:r>
        <w:rPr>
          <w:rFonts w:ascii="Arial;Helvetica;sans-serif" w:hAnsi="Arial;Helvetica;sans-serif"/>
          <w:sz w:val="22"/>
        </w:rPr>
        <w:t>the Board</w:t>
      </w:r>
      <w:r>
        <w:rPr>
          <w:rFonts w:ascii="Times New Roman;Times;serif" w:hAnsi="Times New Roman;Times;serif"/>
          <w:color w:val="1F1F1F"/>
          <w:sz w:val="20"/>
        </w:rPr>
        <w:t xml:space="preserve"> </w:t>
      </w:r>
      <w:r>
        <w:rPr>
          <w:rFonts w:ascii="Arial;Helvetica;sans-serif" w:hAnsi="Arial;Helvetica;sans-serif"/>
          <w:color w:val="1F1F1F"/>
          <w:sz w:val="22"/>
        </w:rPr>
        <w:t xml:space="preserve">and provided such entities are not competitive with </w:t>
      </w:r>
      <w:r>
        <w:rPr>
          <w:rFonts w:ascii="Arial;Helvetica;sans-serif" w:hAnsi="Arial;Helvetica;sans-serif"/>
          <w:sz w:val="22"/>
        </w:rPr>
        <w:t xml:space="preserve">the </w:t>
      </w:r>
      <w:r>
        <w:rPr>
          <w:rFonts w:ascii="Arial;Helvetica;sans-serif" w:hAnsi="Arial;Helvetica;sans-serif"/>
          <w:color w:val="1F1F1F"/>
          <w:sz w:val="22"/>
        </w:rPr>
        <w:t>Company and subject to the provisions of Section 9.</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2.3</w:t>
      </w:r>
      <w:r>
        <w:rPr>
          <w:rFonts w:ascii="Arial;Helvetica;sans-serif" w:hAnsi="Arial;Helvetica;sans-serif"/>
          <w:color w:val="1F1F1F"/>
          <w:sz w:val="22"/>
          <w:u w:val="single"/>
        </w:rPr>
        <w:t>Work Location</w:t>
      </w:r>
      <w:r>
        <w:rPr>
          <w:rFonts w:ascii="Arial;Helvetica;sans-serif" w:hAnsi="Arial;Helvetica;sans-serif"/>
          <w:color w:val="1F1F1F"/>
          <w:sz w:val="22"/>
        </w:rPr>
        <w:t xml:space="preserve">. Executive's principal place of work shall be located in Phoenix, Arizona, or such other location as </w:t>
      </w:r>
      <w:r>
        <w:rPr>
          <w:rFonts w:ascii="Arial;Helvetica;sans-serif" w:hAnsi="Arial;Helvetica;sans-serif"/>
          <w:sz w:val="22"/>
        </w:rPr>
        <w:t xml:space="preserve">the </w:t>
      </w:r>
      <w:r>
        <w:rPr>
          <w:rFonts w:ascii="Arial;Helvetica;sans-serif" w:hAnsi="Arial;Helvetica;sans-serif"/>
          <w:color w:val="1F1F1F"/>
          <w:sz w:val="22"/>
        </w:rPr>
        <w:t>Company may direct from time to time.</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3.</w:t>
      </w:r>
      <w:r>
        <w:rPr>
          <w:rFonts w:ascii="Arial;Helvetica;sans-serif" w:hAnsi="Arial;Helvetica;sans-serif"/>
          <w:color w:val="1F1F1F"/>
          <w:sz w:val="22"/>
          <w:u w:val="single"/>
        </w:rPr>
        <w:t>Term</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3.1</w:t>
      </w:r>
      <w:r>
        <w:rPr>
          <w:rFonts w:ascii="Arial;Helvetica;sans-serif" w:hAnsi="Arial;Helvetica;sans-serif"/>
          <w:color w:val="1F1F1F"/>
          <w:sz w:val="22"/>
          <w:u w:val="single"/>
        </w:rPr>
        <w:t>Initial Term</w:t>
      </w:r>
      <w:r>
        <w:rPr>
          <w:rFonts w:ascii="Arial;Helvetica;sans-serif" w:hAnsi="Arial;Helvetica;sans-serif"/>
          <w:color w:val="1F1F1F"/>
          <w:sz w:val="22"/>
        </w:rPr>
        <w:t>. The employment relationship pursuant to this Agreement shall be for an initial term commencing on the Effective Date and shall continue in effect for a period through June 30, 2028 (the “</w:t>
      </w:r>
      <w:r>
        <w:rPr>
          <w:rFonts w:ascii="Arial;Helvetica;sans-serif" w:hAnsi="Arial;Helvetica;sans-serif"/>
          <w:color w:val="1F1F1F"/>
          <w:sz w:val="22"/>
          <w:u w:val="single"/>
        </w:rPr>
        <w:t>Initial Term</w:t>
      </w:r>
      <w:r>
        <w:rPr>
          <w:rFonts w:ascii="Times New Roman;Times;serif" w:hAnsi="Times New Roman;Times;serif"/>
          <w:sz w:val="20"/>
        </w:rPr>
        <w:t>”</w:t>
      </w:r>
      <w:r>
        <w:rPr>
          <w:rFonts w:ascii="Arial;Helvetica;sans-serif" w:hAnsi="Arial;Helvetica;sans-serif"/>
          <w:sz w:val="22"/>
        </w:rPr>
        <w:t>),</w:t>
      </w:r>
      <w:r>
        <w:rPr>
          <w:rFonts w:ascii="Times New Roman;Times;serif" w:hAnsi="Times New Roman;Times;serif"/>
          <w:color w:val="1F1F1F"/>
          <w:sz w:val="20"/>
        </w:rPr>
        <w:t xml:space="preserve"> </w:t>
      </w:r>
      <w:r>
        <w:rPr>
          <w:rFonts w:ascii="Arial;Helvetica;sans-serif" w:hAnsi="Arial;Helvetica;sans-serif"/>
          <w:color w:val="1F1F1F"/>
          <w:sz w:val="22"/>
        </w:rPr>
        <w:t>unless sooner terminated in accordance with Section 7.</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3.2</w:t>
      </w:r>
      <w:r>
        <w:rPr>
          <w:rFonts w:ascii="Arial;Helvetica;sans-serif" w:hAnsi="Arial;Helvetica;sans-serif"/>
          <w:color w:val="1F1F1F"/>
          <w:sz w:val="22"/>
          <w:u w:val="single"/>
        </w:rPr>
        <w:t>Renewal</w:t>
      </w:r>
      <w:r>
        <w:rPr>
          <w:rFonts w:ascii="Arial;Helvetica;sans-serif" w:hAnsi="Arial;Helvetica;sans-serif"/>
          <w:color w:val="1F1F1F"/>
          <w:sz w:val="22"/>
        </w:rPr>
        <w:t>. Upon expiration of the Initial Term and each Renewal Term, this Agreement will automatically renew for subsequent one (1) year terms (each a “</w:t>
      </w:r>
      <w:r>
        <w:rPr>
          <w:rFonts w:ascii="Arial;Helvetica;sans-serif" w:hAnsi="Arial;Helvetica;sans-serif"/>
          <w:color w:val="1F1F1F"/>
          <w:sz w:val="22"/>
          <w:u w:val="single"/>
        </w:rPr>
        <w:t>Renewal Term</w:t>
      </w:r>
      <w:r>
        <w:rPr>
          <w:rFonts w:ascii="Times New Roman;Times;serif" w:hAnsi="Times New Roman;Times;serif"/>
          <w:color w:val="1F1F1F"/>
          <w:sz w:val="20"/>
        </w:rPr>
        <w:t>”</w:t>
      </w:r>
      <w:r>
        <w:rPr>
          <w:rFonts w:ascii="Arial;Helvetica;sans-serif" w:hAnsi="Arial;Helvetica;sans-serif"/>
          <w:color w:val="1F1F1F"/>
          <w:sz w:val="22"/>
        </w:rPr>
        <w:t>) unless either party provides ninety (90) days' advance written notice to the other that</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Helvetica;sans-serif" w:hAnsi="Arial;Helvetica;sans-serif"/>
          <w:color w:val="1F1F1F"/>
          <w:sz w:val="22"/>
          <w:u w:val="single"/>
        </w:rPr>
        <w:t>Term</w:t>
      </w:r>
      <w:r>
        <w:rPr>
          <w:rFonts w:ascii="Times New Roman;Times;serif" w:hAnsi="Times New Roman;Times;serif"/>
          <w:color w:val="1F1F1F"/>
          <w:sz w:val="20"/>
        </w:rPr>
        <w:t>”</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4.</w:t>
      </w:r>
      <w:r>
        <w:rPr>
          <w:rFonts w:ascii="Arial;Helvetica;sans-serif" w:hAnsi="Arial;Helvetica;sans-serif"/>
          <w:color w:val="1F1F1F"/>
          <w:sz w:val="22"/>
          <w:u w:val="single"/>
        </w:rPr>
        <w:t>Compensation.</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4.1</w:t>
      </w:r>
      <w:r>
        <w:rPr>
          <w:rFonts w:ascii="Arial;Helvetica;sans-serif" w:hAnsi="Arial;Helvetica;sans-serif"/>
          <w:color w:val="1F1F1F"/>
          <w:sz w:val="22"/>
          <w:u w:val="single"/>
        </w:rPr>
        <w:t>Base Salary</w:t>
      </w:r>
      <w:r>
        <w:rPr>
          <w:rFonts w:ascii="Arial;Helvetica;sans-serif" w:hAnsi="Arial;Helvetica;sans-serif"/>
          <w:color w:val="1F1F1F"/>
          <w:sz w:val="22"/>
        </w:rPr>
        <w:t>. As compensation for Executive’s performance of Executive’s duties hereunder, effective beginning on the Effective Date</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shall pay to Executive an initial Base Salary at the rate of</w:t>
      </w:r>
      <w:r>
        <w:rPr>
          <w:rFonts w:ascii="Times New Roman;Times;serif" w:hAnsi="Times New Roman;Times;serif"/>
          <w:sz w:val="20"/>
        </w:rPr>
        <w:t xml:space="preserve"> </w:t>
      </w:r>
      <w:r>
        <w:rPr>
          <w:rFonts w:ascii="Arial;Helvetica;sans-serif" w:hAnsi="Arial;Helvetica;sans-serif"/>
          <w:sz w:val="22"/>
        </w:rPr>
        <w:t>Three-</w:t>
      </w:r>
      <w:r>
        <w:rPr>
          <w:rFonts w:ascii="Arial;Helvetica;sans-serif" w:hAnsi="Arial;Helvetica;sans-serif"/>
          <w:color w:val="1F1F1F"/>
          <w:sz w:val="22"/>
        </w:rPr>
        <w:t>Hundred Ninety Thousand Dollars ($</w:t>
      </w:r>
      <w:r>
        <w:rPr>
          <w:rFonts w:ascii="Arial;Helvetica;sans-serif" w:hAnsi="Arial;Helvetica;sans-serif"/>
          <w:sz w:val="22"/>
        </w:rPr>
        <w:t>390,000.00</w:t>
      </w:r>
      <w:r>
        <w:rPr>
          <w:rFonts w:ascii="Arial;Helvetica;sans-serif" w:hAnsi="Arial;Helvetica;sans-serif"/>
          <w:color w:val="1F1F1F"/>
          <w:sz w:val="22"/>
        </w:rPr>
        <w:t>) per year, payable in accordance with the normal payroll practices of</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less required deductions for state and federal withholding tax, social security and all other employment taxes and payroll deductions.</w:t>
      </w:r>
      <w:r>
        <w:rPr>
          <w:rFonts w:ascii="Times New Roman;Times;serif" w:hAnsi="Times New Roman;Times;serif"/>
          <w:sz w:val="20"/>
        </w:rPr>
        <w:t xml:space="preserve"> </w:t>
      </w:r>
      <w:r>
        <w:rPr>
          <w:rFonts w:ascii="Arial;Helvetica;sans-serif" w:hAnsi="Arial;Helvetica;sans-serif"/>
          <w:sz w:val="22"/>
        </w:rPr>
        <w:t>Executive’s</w:t>
      </w:r>
      <w:r>
        <w:rPr>
          <w:rFonts w:ascii="Times New Roman;Times;serif" w:hAnsi="Times New Roman;Times;serif"/>
          <w:color w:val="1F1F1F"/>
          <w:sz w:val="20"/>
        </w:rPr>
        <w:t xml:space="preserve"> </w:t>
      </w:r>
      <w:r>
        <w:rPr>
          <w:rFonts w:ascii="Arial;Helvetica;sans-serif" w:hAnsi="Arial;Helvetica;sans-serif"/>
          <w:color w:val="1F1F1F"/>
          <w:sz w:val="22"/>
        </w:rPr>
        <w:t>Base Salary shall be reviewed annually by the Compensation Committee of</w:t>
      </w:r>
      <w:r>
        <w:rPr>
          <w:rFonts w:ascii="Times New Roman;Times;serif" w:hAnsi="Times New Roman;Times;serif"/>
          <w:sz w:val="20"/>
        </w:rPr>
        <w:t xml:space="preserve"> </w:t>
      </w:r>
      <w:r>
        <w:rPr>
          <w:rFonts w:ascii="Arial;Helvetica;sans-serif" w:hAnsi="Arial;Helvetica;sans-serif"/>
          <w:sz w:val="22"/>
        </w:rPr>
        <w:t>the Board</w:t>
      </w:r>
      <w:r>
        <w:rPr>
          <w:rFonts w:ascii="Times New Roman;Times;serif" w:hAnsi="Times New Roman;Times;serif"/>
          <w:color w:val="1F1F1F"/>
          <w:sz w:val="20"/>
        </w:rPr>
        <w:t xml:space="preserve"> </w:t>
      </w:r>
      <w:r>
        <w:rPr>
          <w:rFonts w:ascii="Arial;Helvetica;sans-serif" w:hAnsi="Arial;Helvetica;sans-serif"/>
          <w:color w:val="1F1F1F"/>
          <w:sz w:val="22"/>
        </w:rPr>
        <w:t>(the “</w:t>
      </w:r>
      <w:r>
        <w:rPr>
          <w:rFonts w:ascii="Arial;Helvetica;sans-serif" w:hAnsi="Arial;Helvetica;sans-serif"/>
          <w:color w:val="1F1F1F"/>
          <w:sz w:val="22"/>
          <w:u w:val="single"/>
        </w:rPr>
        <w:t>Compensation Committee</w:t>
      </w:r>
      <w:r>
        <w:rPr>
          <w:rFonts w:ascii="Times New Roman;Times;serif" w:hAnsi="Times New Roman;Times;serif"/>
          <w:color w:val="1F1F1F"/>
          <w:sz w:val="20"/>
        </w:rPr>
        <w:t>”</w:t>
      </w:r>
      <w:r>
        <w:rPr>
          <w:rFonts w:ascii="Arial;Helvetica;sans-serif" w:hAnsi="Arial;Helvetica;sans-serif"/>
          <w:color w:val="1F1F1F"/>
          <w:sz w:val="22"/>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3"/>
        </w:rPr>
        <w:t>4.2</w:t>
      </w:r>
      <w:r>
        <w:rPr>
          <w:rFonts w:ascii="Arial;Helvetica;sans-serif" w:hAnsi="Arial;Helvetica;sans-serif"/>
          <w:color w:val="1F1F1F"/>
          <w:sz w:val="22"/>
          <w:u w:val="single"/>
        </w:rPr>
        <w:t>Incentive Compensation.</w:t>
      </w:r>
      <w:r>
        <w:rPr>
          <w:rFonts w:ascii="Times New Roman;Times;serif" w:hAnsi="Times New Roman;Times;serif"/>
          <w:color w:val="1F1F1F"/>
          <w:sz w:val="20"/>
        </w:rPr>
        <w:t xml:space="preserve"> </w:t>
      </w:r>
      <w:r>
        <w:rPr>
          <w:rFonts w:ascii="Arial;Helvetica;sans-serif" w:hAnsi="Arial;Helvetica;sans-serif"/>
          <w:color w:val="1F1F1F"/>
          <w:sz w:val="22"/>
        </w:rPr>
        <w:t xml:space="preserve">Executive will be eligible to earn incentive compensation in the form of an annual bonus for each fiscal year of </w:t>
      </w:r>
      <w:r>
        <w:rPr>
          <w:rFonts w:ascii="Arial;Helvetica;sans-serif" w:hAnsi="Arial;Helvetica;sans-serif"/>
          <w:sz w:val="22"/>
        </w:rPr>
        <w:t xml:space="preserve">the </w:t>
      </w:r>
      <w:r>
        <w:rPr>
          <w:rFonts w:ascii="Arial;Helvetica;sans-serif" w:hAnsi="Arial;Helvetica;sans-serif"/>
          <w:color w:val="1F1F1F"/>
          <w:sz w:val="22"/>
        </w:rPr>
        <w:t>Company, to be awarded under</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Company’s annual cash incentive plan as then in effect, with a target amount equal to seventy-five percent (75%) of Executive's Base Salary (the “</w:t>
      </w:r>
      <w:r>
        <w:rPr>
          <w:rFonts w:ascii="Arial;Helvetica;sans-serif" w:hAnsi="Arial;Helvetica;sans-serif"/>
          <w:color w:val="1F1F1F"/>
          <w:sz w:val="22"/>
          <w:u w:val="single"/>
        </w:rPr>
        <w:t>Target Bonus</w:t>
      </w:r>
      <w:r>
        <w:rPr>
          <w:rFonts w:ascii="Arial;Helvetica;sans-serif" w:hAnsi="Arial;Helvetica;sans-serif"/>
          <w:color w:val="1F1F1F"/>
          <w:sz w:val="22"/>
        </w:rPr>
        <w:t xml:space="preserve">").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w:t>
      </w:r>
      <w:r>
        <w:rPr>
          <w:rFonts w:ascii="Arial;Helvetica;sans-serif" w:hAnsi="Arial;Helvetica;sans-serif"/>
          <w:sz w:val="22"/>
        </w:rPr>
        <w:t xml:space="preserve">the </w:t>
      </w:r>
      <w:r>
        <w:rPr>
          <w:rFonts w:ascii="Arial;Helvetica;sans-serif" w:hAnsi="Arial;Helvetica;sans-serif"/>
          <w:color w:val="1F1F1F"/>
          <w:sz w:val="22"/>
        </w:rPr>
        <w:t>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3"/>
        </w:rPr>
        <w:t>4.3</w:t>
      </w:r>
      <w:r>
        <w:rPr>
          <w:rFonts w:ascii="Arial;Helvetica;sans-serif" w:hAnsi="Arial;Helvetica;sans-serif"/>
          <w:color w:val="1F1F1F"/>
          <w:sz w:val="22"/>
          <w:u w:val="single"/>
        </w:rPr>
        <w:t>Equity Awards</w:t>
      </w:r>
      <w:r>
        <w:rPr>
          <w:rFonts w:ascii="Arial;Helvetica;sans-serif" w:hAnsi="Arial;Helvetica;sans-serif"/>
          <w:color w:val="1F1F1F"/>
          <w:sz w:val="22"/>
        </w:rPr>
        <w:t>. Executive will be eligible to receive stock, option or other equity awards (each, an “</w:t>
      </w:r>
      <w:r>
        <w:rPr>
          <w:rFonts w:ascii="Arial;Helvetica;sans-serif" w:hAnsi="Arial;Helvetica;sans-serif"/>
          <w:color w:val="1F1F1F"/>
          <w:sz w:val="22"/>
          <w:u w:val="single"/>
        </w:rPr>
        <w:t>Equity Award</w:t>
      </w:r>
      <w:r>
        <w:rPr>
          <w:rFonts w:ascii="Times New Roman;Times;serif" w:hAnsi="Times New Roman;Times;serif"/>
          <w:color w:val="1F1F1F"/>
          <w:sz w:val="20"/>
        </w:rPr>
        <w:t>”</w:t>
      </w:r>
      <w:r>
        <w:rPr>
          <w:rFonts w:ascii="Arial;Helvetica;sans-serif" w:hAnsi="Arial;Helvetica;sans-serif"/>
          <w:color w:val="1F1F1F"/>
          <w:sz w:val="22"/>
        </w:rPr>
        <w:t xml:space="preserve">) under </w:t>
      </w:r>
      <w:r>
        <w:rPr>
          <w:rFonts w:ascii="Arial;Helvetica;sans-serif" w:hAnsi="Arial;Helvetica;sans-serif"/>
          <w:sz w:val="22"/>
        </w:rPr>
        <w:t xml:space="preserve">the </w:t>
      </w:r>
      <w:r>
        <w:rPr>
          <w:rFonts w:ascii="Arial;Helvetica;sans-serif" w:hAnsi="Arial;Helvetica;sans-serif"/>
          <w:color w:val="1F1F1F"/>
          <w:sz w:val="22"/>
        </w:rPr>
        <w:t>Company’s equity incentive plan as then in effect (the “</w:t>
      </w:r>
      <w:r>
        <w:rPr>
          <w:rFonts w:ascii="Arial;Helvetica;sans-serif" w:hAnsi="Arial;Helvetica;sans-serif"/>
          <w:color w:val="1F1F1F"/>
          <w:sz w:val="22"/>
          <w:u w:val="single"/>
        </w:rPr>
        <w:t>Plan</w:t>
      </w:r>
      <w:r>
        <w:rPr>
          <w:rFonts w:ascii="Times New Roman;Times;serif" w:hAnsi="Times New Roman;Times;serif"/>
          <w:color w:val="1F1F1F"/>
          <w:sz w:val="20"/>
        </w:rPr>
        <w:t>”</w:t>
      </w:r>
      <w:r>
        <w:rPr>
          <w:rFonts w:ascii="Arial;Helvetica;sans-serif" w:hAnsi="Arial;Helvetica;sans-serif"/>
          <w:color w:val="1F1F1F"/>
          <w:sz w:val="22"/>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5.</w:t>
      </w:r>
      <w:r>
        <w:rPr>
          <w:rFonts w:ascii="Arial;Helvetica;sans-serif" w:hAnsi="Arial;Helvetica;sans-serif"/>
          <w:color w:val="1F1F1F"/>
          <w:sz w:val="22"/>
          <w:u w:val="single"/>
        </w:rPr>
        <w:t>Customary Fringe Benefits</w:t>
      </w:r>
      <w:r>
        <w:rPr>
          <w:rFonts w:ascii="Arial;Helvetica;sans-serif" w:hAnsi="Arial;Helvetica;sans-serif"/>
          <w:color w:val="1F1F1F"/>
          <w:sz w:val="22"/>
        </w:rPr>
        <w:t xml:space="preserve">. Executive will be eligible for all customary and usual fringe benefits generally available to senior management of </w:t>
      </w:r>
      <w:r>
        <w:rPr>
          <w:rFonts w:ascii="Arial;Helvetica;sans-serif" w:hAnsi="Arial;Helvetica;sans-serif"/>
          <w:sz w:val="22"/>
        </w:rPr>
        <w:t xml:space="preserve">the </w:t>
      </w:r>
      <w:r>
        <w:rPr>
          <w:rFonts w:ascii="Arial;Helvetica;sans-serif" w:hAnsi="Arial;Helvetica;sans-serif"/>
          <w:color w:val="1F1F1F"/>
          <w:sz w:val="22"/>
        </w:rPr>
        <w:t xml:space="preserve">Company, subject to the terms and conditions of </w:t>
      </w:r>
      <w:r>
        <w:rPr>
          <w:rFonts w:ascii="Arial;Helvetica;sans-serif" w:hAnsi="Arial;Helvetica;sans-serif"/>
          <w:sz w:val="22"/>
        </w:rPr>
        <w:t>the Company’s</w:t>
      </w:r>
      <w:r>
        <w:rPr>
          <w:rFonts w:ascii="Times New Roman;Times;serif" w:hAnsi="Times New Roman;Times;serif"/>
          <w:color w:val="1F1F1F"/>
          <w:sz w:val="20"/>
        </w:rPr>
        <w:t xml:space="preserve"> </w:t>
      </w:r>
      <w:r>
        <w:rPr>
          <w:rFonts w:ascii="Arial;Helvetica;sans-serif" w:hAnsi="Arial;Helvetica;sans-serif"/>
          <w:color w:val="1F1F1F"/>
          <w:sz w:val="22"/>
        </w:rPr>
        <w:t xml:space="preserve">benefit plan documents. </w:t>
      </w:r>
      <w:r>
        <w:rPr>
          <w:rFonts w:ascii="Arial;Helvetica;sans-serif" w:hAnsi="Arial;Helvetica;sans-serif"/>
          <w:sz w:val="22"/>
        </w:rPr>
        <w:t xml:space="preserve">The </w:t>
      </w:r>
      <w:r>
        <w:rPr>
          <w:rFonts w:ascii="Arial;Helvetica;sans-serif" w:hAnsi="Arial;Helvetica;sans-serif"/>
          <w:color w:val="1F1F1F"/>
          <w:sz w:val="22"/>
        </w:rPr>
        <w:t>Company reserves the right to</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color w:val="1F1F1F"/>
          <w:sz w:val="22"/>
        </w:rPr>
      </w:pPr>
      <w:r>
        <w:rPr>
          <w:rFonts w:ascii="Arial;Helvetica;sans-serif" w:hAnsi="Arial;Helvetica;sans-serif"/>
          <w:color w:val="1F1F1F"/>
          <w:sz w:val="22"/>
        </w:rPr>
        <w:t>change or eliminate fringe benefits on a prospective basis, at any time, effective upon notice to Executive.</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6.</w:t>
      </w:r>
      <w:r>
        <w:rPr>
          <w:rFonts w:ascii="Arial;Helvetica;sans-serif" w:hAnsi="Arial;Helvetica;sans-serif"/>
          <w:color w:val="1F1F1F"/>
          <w:sz w:val="22"/>
          <w:u w:val="single"/>
        </w:rPr>
        <w:t>Business Expenses</w:t>
      </w:r>
      <w:r>
        <w:rPr>
          <w:rFonts w:ascii="Arial;Helvetica;sans-serif" w:hAnsi="Arial;Helvetica;sans-serif"/>
          <w:color w:val="1F1F1F"/>
          <w:sz w:val="22"/>
        </w:rPr>
        <w:t xml:space="preserve">. Executive will be reimbursed for all reasonable, out-of- pocket business expenses incurred in the performance of Executive's duties on behalf of </w:t>
      </w:r>
      <w:r>
        <w:rPr>
          <w:rFonts w:ascii="Arial;Helvetica;sans-serif" w:hAnsi="Arial;Helvetica;sans-serif"/>
          <w:sz w:val="22"/>
        </w:rPr>
        <w:t xml:space="preserve">the </w:t>
      </w:r>
      <w:r>
        <w:rPr>
          <w:rFonts w:ascii="Arial;Helvetica;sans-serif" w:hAnsi="Arial;Helvetica;sans-serif"/>
          <w:color w:val="1F1F1F"/>
          <w:sz w:val="22"/>
        </w:rPr>
        <w:t xml:space="preserve">Company. To obtain reimbursement, expenses must be submitted promptly with appropriate supporting documentation and will be reimbursed in accordance with </w:t>
      </w:r>
      <w:r>
        <w:rPr>
          <w:rFonts w:ascii="Arial;Helvetica;sans-serif" w:hAnsi="Arial;Helvetica;sans-serif"/>
          <w:sz w:val="22"/>
        </w:rPr>
        <w:t>the Company’s</w:t>
      </w:r>
      <w:r>
        <w:rPr>
          <w:rFonts w:ascii="Times New Roman;Times;serif" w:hAnsi="Times New Roman;Times;serif"/>
          <w:color w:val="1F1F1F"/>
          <w:sz w:val="20"/>
        </w:rPr>
        <w:t xml:space="preserve"> </w:t>
      </w:r>
      <w:r>
        <w:rPr>
          <w:rFonts w:ascii="Arial;Helvetica;sans-serif" w:hAnsi="Arial;Helvetica;sans-serif"/>
          <w:color w:val="1F1F1F"/>
          <w:sz w:val="22"/>
        </w:rPr>
        <w:t>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w:t>
      </w:r>
      <w:r>
        <w:rPr>
          <w:rFonts w:ascii="Arial;Helvetica;sans-serif" w:hAnsi="Arial;Helvetica;sans-serif"/>
          <w:color w:val="1F1F1F"/>
          <w:sz w:val="22"/>
          <w:u w:val="single"/>
        </w:rPr>
        <w:t>Termination of Executive's Employment</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7.1</w:t>
      </w:r>
      <w:r>
        <w:rPr>
          <w:rFonts w:ascii="Arial;Helvetica;sans-serif" w:hAnsi="Arial;Helvetica;sans-serif"/>
          <w:color w:val="1F1F1F"/>
          <w:sz w:val="22"/>
          <w:u w:val="single"/>
        </w:rPr>
        <w:t>Termination for Cause by Company</w:t>
      </w:r>
      <w:r>
        <w:rPr>
          <w:rFonts w:ascii="Arial;Helvetica;sans-serif" w:hAnsi="Arial;Helvetica;sans-serif"/>
          <w:color w:val="1F1F1F"/>
          <w:sz w:val="22"/>
        </w:rPr>
        <w:t>. Although</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anticipates the continuation of a mutually rewarding employment relationship with Executive, </w:t>
      </w:r>
      <w:r>
        <w:rPr>
          <w:rFonts w:ascii="Arial;Helvetica;sans-serif" w:hAnsi="Arial;Helvetica;sans-serif"/>
          <w:sz w:val="22"/>
        </w:rPr>
        <w:t xml:space="preserve">the </w:t>
      </w:r>
      <w:r>
        <w:rPr>
          <w:rFonts w:ascii="Arial;Helvetica;sans-serif" w:hAnsi="Arial;Helvetica;sans-serif"/>
          <w:color w:val="1F1F1F"/>
          <w:sz w:val="22"/>
        </w:rPr>
        <w:t xml:space="preserve">Company may terminate Executive’s employment immediately at any time for Cause. For purposes of this Agreement, </w:t>
      </w:r>
      <w:r>
        <w:rPr>
          <w:rFonts w:ascii="Times New Roman;Times;serif" w:hAnsi="Times New Roman;Times;serif"/>
          <w:sz w:val="20"/>
        </w:rPr>
        <w:t>“</w:t>
      </w:r>
      <w:r>
        <w:rPr>
          <w:rFonts w:ascii="Arial;Helvetica;sans-serif" w:hAnsi="Arial;Helvetica;sans-serif"/>
          <w:color w:val="1F1F1F"/>
          <w:sz w:val="22"/>
          <w:u w:val="single"/>
        </w:rPr>
        <w:t>Cause</w:t>
      </w:r>
      <w:r>
        <w:rPr>
          <w:rFonts w:ascii="Times New Roman;Times;serif" w:hAnsi="Times New Roman;Times;serif"/>
          <w:sz w:val="20"/>
        </w:rPr>
        <w:t xml:space="preserve">” </w:t>
      </w:r>
      <w:r>
        <w:rPr>
          <w:rFonts w:ascii="Arial;Helvetica;sans-serif" w:hAnsi="Arial;Helvetica;sans-serif"/>
          <w:color w:val="1F1F1F"/>
          <w:sz w:val="22"/>
        </w:rPr>
        <w:t xml:space="preserve">is defined as: (a) acts or omissions constituting gross negligence, recklessness or willful misconduct on the part of Executive with respect to Executive’s obligations or otherwise relating to the business of </w:t>
      </w:r>
      <w:r>
        <w:rPr>
          <w:rFonts w:ascii="Arial;Helvetica;sans-serif" w:hAnsi="Arial;Helvetica;sans-serif"/>
          <w:sz w:val="22"/>
        </w:rPr>
        <w:t xml:space="preserve">the </w:t>
      </w:r>
      <w:r>
        <w:rPr>
          <w:rFonts w:ascii="Arial;Helvetica;sans-serif" w:hAnsi="Arial;Helvetica;sans-serif"/>
          <w:color w:val="1F1F1F"/>
          <w:sz w:val="22"/>
        </w:rPr>
        <w:t xml:space="preserve">Company; (b) Executive’s material breach of this Agreement including, without limitation, any breach of Section 8, Section 9 or Section 11; (c) Executive’s breach of </w:t>
      </w:r>
      <w:r>
        <w:rPr>
          <w:rFonts w:ascii="Arial;Helvetica;sans-serif" w:hAnsi="Arial;Helvetica;sans-serif"/>
          <w:sz w:val="22"/>
        </w:rPr>
        <w:t>the Company’s</w:t>
      </w:r>
      <w:r>
        <w:rPr>
          <w:rFonts w:ascii="Times New Roman;Times;serif" w:hAnsi="Times New Roman;Times;serif"/>
          <w:color w:val="1F1F1F"/>
          <w:sz w:val="20"/>
        </w:rPr>
        <w:t xml:space="preserve"> </w:t>
      </w:r>
      <w:r>
        <w:rPr>
          <w:rFonts w:ascii="Arial;Helvetica;sans-serif" w:hAnsi="Arial;Helvetica;sans-serif"/>
          <w:color w:val="1F1F1F"/>
          <w:sz w:val="22"/>
        </w:rPr>
        <w:t>Employee Nondisclosure and Assignment Agreement (a copy of which has been executed and delivered to Company with this Agreement) (the “</w:t>
      </w:r>
      <w:r>
        <w:rPr>
          <w:rFonts w:ascii="Arial;Helvetica;sans-serif" w:hAnsi="Arial;Helvetica;sans-serif"/>
          <w:color w:val="1F1F1F"/>
          <w:sz w:val="22"/>
          <w:u w:val="single"/>
        </w:rPr>
        <w:t>Nondisclosure Agreement”</w:t>
      </w:r>
      <w:r>
        <w:rPr>
          <w:rFonts w:ascii="Arial;Helvetica;sans-serif" w:hAnsi="Arial;Helvetica;sans-serif"/>
          <w:color w:val="1F1F1F"/>
          <w:sz w:val="22"/>
        </w:rPr>
        <w:t xml:space="preserve">); (d) Executive's conviction or entry of a plea of </w:t>
      </w:r>
      <w:r>
        <w:rPr>
          <w:rFonts w:ascii="Arial;Helvetica;sans-serif" w:hAnsi="Arial;Helvetica;sans-serif"/>
          <w:i/>
          <w:color w:val="1F1F1F"/>
          <w:sz w:val="22"/>
        </w:rPr>
        <w:t xml:space="preserve">nolo contendere </w:t>
      </w:r>
      <w:r>
        <w:rPr>
          <w:rFonts w:ascii="Arial;Helvetica;sans-serif" w:hAnsi="Arial;Helvetica;sans-serif"/>
          <w:color w:val="1F1F1F"/>
          <w:sz w:val="22"/>
        </w:rPr>
        <w:t xml:space="preserve">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w:t>
      </w:r>
      <w:r>
        <w:rPr>
          <w:rFonts w:ascii="Arial;Helvetica;sans-serif" w:hAnsi="Arial;Helvetica;sans-serif"/>
          <w:sz w:val="22"/>
        </w:rPr>
        <w:t>the Board</w:t>
      </w:r>
      <w:r>
        <w:rPr>
          <w:rFonts w:ascii="Arial;Helvetica;sans-serif" w:hAnsi="Arial;Helvetica;sans-serif"/>
          <w:color w:val="1F1F1F"/>
          <w:sz w:val="22"/>
        </w:rPr>
        <w:t xml:space="preserve">, provided that Executive has received written notice of the action or omission giving rise to such determination and has failed to remedy such situation to the satisfaction of </w:t>
      </w:r>
      <w:r>
        <w:rPr>
          <w:rFonts w:ascii="Arial;Helvetica;sans-serif" w:hAnsi="Arial;Helvetica;sans-serif"/>
          <w:sz w:val="22"/>
        </w:rPr>
        <w:t>the Board</w:t>
      </w:r>
      <w:r>
        <w:rPr>
          <w:rFonts w:ascii="Times New Roman;Times;serif" w:hAnsi="Times New Roman;Times;serif"/>
          <w:color w:val="1F1F1F"/>
          <w:sz w:val="20"/>
        </w:rPr>
        <w:t xml:space="preserve"> </w:t>
      </w:r>
      <w:r>
        <w:rPr>
          <w:rFonts w:ascii="Arial;Helvetica;sans-serif" w:hAnsi="Arial;Helvetica;sans-serif"/>
          <w:color w:val="1F1F1F"/>
          <w:sz w:val="22"/>
        </w:rPr>
        <w:t>within thirty (30) days following receipt of such written notice, unless Executive’s action or omission is not subject to cure, in which case no such notice shall be required; or (g) Executive's death. In the event Executive's employment is terminated in accordance with this Section 7 1, Executive shall be entitled to receive only Executive's Base Salary then in effect, prorated to the date of Executive’s termination of employment with</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(the “</w:t>
      </w:r>
      <w:r>
        <w:rPr>
          <w:rFonts w:ascii="Arial;Helvetica;sans-serif" w:hAnsi="Arial;Helvetica;sans-serif"/>
          <w:color w:val="1F1F1F"/>
          <w:sz w:val="22"/>
          <w:u w:val="single"/>
        </w:rPr>
        <w:t>Termination Date</w:t>
      </w:r>
      <w:r>
        <w:rPr>
          <w:rFonts w:ascii="Times New Roman;Times;serif" w:hAnsi="Times New Roman;Times;serif"/>
          <w:color w:val="1F1F1F"/>
          <w:sz w:val="20"/>
        </w:rPr>
        <w:t>”</w:t>
      </w:r>
      <w:r>
        <w:rPr>
          <w:rFonts w:ascii="Arial;Helvetica;sans-serif" w:hAnsi="Arial;Helvetica;sans-serif"/>
          <w:color w:val="1F1F1F"/>
          <w:sz w:val="22"/>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w:t>
      </w:r>
      <w:r>
        <w:rPr>
          <w:rFonts w:ascii="Times New Roman;Times;serif" w:hAnsi="Times New Roman;Times;serif"/>
          <w:sz w:val="20"/>
        </w:rPr>
        <w:t> </w:t>
      </w:r>
      <w:r>
        <w:rPr>
          <w:rFonts w:ascii="Arial;Helvetica;sans-serif" w:hAnsi="Arial;Helvetica;sans-serif"/>
          <w:sz w:val="22"/>
        </w:rPr>
        <w:t>14</w:t>
      </w:r>
      <w:r>
        <w:rPr>
          <w:rFonts w:ascii="Arial;Helvetica;sans-serif" w:hAnsi="Arial;Helvetica;sans-serif"/>
          <w:color w:val="1F1F1F"/>
          <w:sz w:val="22"/>
        </w:rPr>
        <w:t>.8. Executive will not be entitled to receive the Severance Package described in Section 7.2</w:t>
      </w:r>
      <w:r>
        <w:rPr>
          <w:rFonts w:ascii="Arial;Helvetica;sans-serif" w:hAnsi="Arial;Helvetica;sans-serif"/>
          <w:sz w:val="22"/>
        </w:rPr>
        <w:t>. Any termination pursuant to this Section 7.1 shall be evidenced by a resolution or written consent of the Board, and the Company shall provide Executive with a copy of such resolution or written consent, certified by the Secretary of the Company, upon Executive’s written request</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7.2</w:t>
      </w:r>
      <w:r>
        <w:rPr>
          <w:rFonts w:ascii="Arial;Helvetica;sans-serif" w:hAnsi="Arial;Helvetica;sans-serif"/>
          <w:color w:val="1F1F1F"/>
          <w:sz w:val="22"/>
          <w:u w:val="single"/>
        </w:rPr>
        <w:t>Termination Without Cause by Company.</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Helvetica;sans-serif" w:hAnsi="Arial;Helvetica;sans-serif"/>
          <w:color w:val="1F1F1F"/>
          <w:sz w:val="22"/>
          <w:u w:val="single"/>
        </w:rPr>
        <w:t>Severance Package”</w:t>
      </w:r>
      <w:r>
        <w:rPr>
          <w:rFonts w:ascii="Times New Roman;Times;serif" w:hAnsi="Times New Roman;Times;serif"/>
          <w:color w:val="1F1F1F"/>
          <w:sz w:val="20"/>
        </w:rPr>
        <w:t xml:space="preserve"> </w:t>
      </w:r>
      <w:r>
        <w:rPr>
          <w:rFonts w:ascii="Arial;Helvetica;sans-serif" w:hAnsi="Arial;Helvetica;sans-serif"/>
          <w:color w:val="1F1F1F"/>
          <w:sz w:val="22"/>
        </w:rPr>
        <w:t>that shall consist of:</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hanging="0"/>
        <w:rPr/>
      </w:pPr>
      <w:r>
        <w:rPr/>
        <w:t>​</w:t>
      </w:r>
    </w:p>
    <w:p>
      <w:pPr>
        <w:pStyle w:val="TextBody"/>
        <w:spacing w:before="0" w:after="240"/>
        <w:ind w:left="0" w:right="0" w:firstLine="2160"/>
        <w:jc w:val="both"/>
        <w:rPr>
          <w:rFonts w:ascii="Arial;Helvetica;sans-serif" w:hAnsi="Arial;Helvetica;sans-serif"/>
          <w:sz w:val="22"/>
        </w:rPr>
      </w:pPr>
      <w:r>
        <w:rPr>
          <w:rFonts w:ascii="Arial;Helvetica;sans-serif" w:hAnsi="Arial;Helvetica;sans-serif"/>
          <w:sz w:val="22"/>
        </w:rPr>
        <w:t>(a)severance in an amount equal to the sum of (i) twelve (12) months of Executive’s Base Salary then in effect on the Termination Date, and (ii) 100% of Executive’s Target Bonus for the fiscal year in which the Termination Date occurs, with the total of such amounts to be payable over twelve (12) months in equal installments in accordance with the Company’s regular payroll cycle, commencing with the first payroll date occurring on or after the 60th day following the Termination Date;</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sz w:val="22"/>
        </w:rPr>
        <w:t>(b)payment by the Company of the premiums required to continue Executive’s group health care coverage under the applicable provisions of the Consolidated Omnibus Budget Reconciliation Act of 1985 (“</w:t>
      </w:r>
      <w:r>
        <w:rPr>
          <w:rFonts w:ascii="Arial;Helvetica;sans-serif" w:hAnsi="Arial;Helvetica;sans-serif"/>
          <w:sz w:val="22"/>
          <w:u w:val="single"/>
        </w:rPr>
        <w:t>COBRA</w:t>
      </w:r>
      <w:r>
        <w:rPr>
          <w:rFonts w:ascii="Times New Roman;Times;serif" w:hAnsi="Times New Roman;Times;serif"/>
          <w:sz w:val="20"/>
        </w:rPr>
        <w:t>”</w:t>
      </w:r>
      <w:r>
        <w:rPr>
          <w:rFonts w:ascii="Arial;Helvetica;sans-serif" w:hAnsi="Arial;Helvetica;sans-serif"/>
          <w:sz w:val="22"/>
        </w:rPr>
        <w:t>) for a period (the “</w:t>
      </w:r>
      <w:r>
        <w:rPr>
          <w:rFonts w:ascii="Arial;Helvetica;sans-serif" w:hAnsi="Arial;Helvetica;sans-serif"/>
          <w:sz w:val="22"/>
          <w:u w:val="single"/>
        </w:rPr>
        <w:t>COBRA Payment Period</w:t>
      </w:r>
      <w:r>
        <w:rPr>
          <w:rFonts w:ascii="Times New Roman;Times;serif" w:hAnsi="Times New Roman;Times;serif"/>
          <w:sz w:val="20"/>
        </w:rPr>
        <w:t>”</w:t>
      </w:r>
      <w:r>
        <w:rPr>
          <w:rFonts w:ascii="Arial;Helvetica;sans-serif" w:hAnsi="Arial;Helvetica;sans-serif"/>
          <w:sz w:val="22"/>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pStyle w:val="TextBody"/>
        <w:spacing w:before="0" w:after="240"/>
        <w:ind w:left="0" w:right="0" w:firstLine="2160"/>
        <w:jc w:val="both"/>
        <w:rPr>
          <w:rFonts w:ascii="Arial;Helvetica;sans-serif" w:hAnsi="Arial;Helvetica;sans-serif"/>
          <w:sz w:val="22"/>
        </w:rPr>
      </w:pPr>
      <w:r>
        <w:rPr>
          <w:rFonts w:ascii="Arial;Helvetica;sans-serif" w:hAnsi="Arial;Helvetica;sans-serif"/>
          <w:sz w:val="22"/>
        </w:rPr>
        <w:t>(c)acceleration of the vesting of any outstanding time-based Equity Awards to the extent that such Equity Awards would have vested in accordance with their terms had Executive’s employment with the Company continued uninterrupted until the first anniversary of the Termination Date.</w:t>
      </w:r>
    </w:p>
    <w:p>
      <w:pPr>
        <w:pStyle w:val="TextBody"/>
        <w:spacing w:before="0" w:after="240"/>
        <w:ind w:left="0" w:right="0" w:hanging="0"/>
        <w:jc w:val="both"/>
        <w:rPr>
          <w:rFonts w:ascii="Times New Roman;Times;serif" w:hAnsi="Times New Roman;Times;serif"/>
          <w:sz w:val="20"/>
        </w:rPr>
      </w:pPr>
      <w:r>
        <w:rPr>
          <w:rFonts w:ascii="Arial;Helvetica;sans-serif" w:hAnsi="Arial;Helvetica;sans-serif"/>
          <w:sz w:val="22"/>
        </w:rPr>
        <w:t>Notwithstanding Section 7.2(b), if</w:t>
      </w:r>
      <w:r>
        <w:rPr>
          <w:rFonts w:ascii="Times New Roman;Times;serif" w:hAnsi="Times New Roman;Times;serif"/>
          <w:sz w:val="20"/>
        </w:rPr>
        <w:t xml:space="preserve"> </w:t>
      </w:r>
      <w:r>
        <w:rPr>
          <w:rFonts w:ascii="Arial;Helvetica;sans-serif" w:hAnsi="Arial;Helvetica;sans-serif"/>
          <w:sz w:val="23"/>
        </w:rPr>
        <w:t xml:space="preserve">the </w:t>
      </w:r>
      <w:r>
        <w:rPr>
          <w:rFonts w:ascii="Arial;Helvetica;sans-serif" w:hAnsi="Arial;Helvetica;sans-serif"/>
          <w:sz w:val="22"/>
        </w:rPr>
        <w:t>Company determines, in its sole discretion, that the payment of the COBRA premiums would result in a violation of the nondiscrimination rules of Section 105(h)(2) of the Internal Revenue Code of 1986, as amended (the “</w:t>
      </w:r>
      <w:r>
        <w:rPr>
          <w:rFonts w:ascii="Arial;Helvetica;sans-serif" w:hAnsi="Arial;Helvetica;sans-serif"/>
          <w:sz w:val="22"/>
          <w:u w:val="single"/>
        </w:rPr>
        <w:t>Code</w:t>
      </w:r>
      <w:r>
        <w:rPr>
          <w:rFonts w:ascii="Times New Roman;Times;serif" w:hAnsi="Times New Roman;Times;serif"/>
          <w:sz w:val="20"/>
        </w:rPr>
        <w:t>”</w:t>
      </w:r>
      <w:r>
        <w:rPr>
          <w:rFonts w:ascii="Arial;Helvetica;sans-serif" w:hAnsi="Arial;Helvetica;sans-serif"/>
          <w:sz w:val="22"/>
        </w:rPr>
        <w:t xml:space="preserve">), or any statute or regulation of similar effect (including but not limited to the 2010 Patient Protection and Affordable Care Act, as amended by the 2010 Health Care and Education Reconciliation Act), then in lieu of providing the COBRA premiums, </w:t>
      </w:r>
      <w:r>
        <w:rPr>
          <w:rFonts w:ascii="Arial;Helvetica;sans-serif" w:hAnsi="Arial;Helvetica;sans-serif"/>
          <w:sz w:val="23"/>
        </w:rPr>
        <w:t xml:space="preserve">the </w:t>
      </w:r>
      <w:r>
        <w:rPr>
          <w:rFonts w:ascii="Arial;Helvetica;sans-serif" w:hAnsi="Arial;Helvetica;sans-serif"/>
          <w:sz w:val="22"/>
        </w:rPr>
        <w:t>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Helvetica;sans-serif" w:hAnsi="Arial;Helvetica;sans-serif"/>
          <w:sz w:val="22"/>
          <w:u w:val="single"/>
        </w:rPr>
        <w:t>Special Severance Payment</w:t>
      </w:r>
      <w:r>
        <w:rPr>
          <w:rFonts w:ascii="Arial;Helvetica;sans-serif" w:hAnsi="Arial;Helvetica;sans-serif"/>
          <w:sz w:val="22"/>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7.3</w:t>
      </w:r>
      <w:r>
        <w:rPr>
          <w:rFonts w:ascii="Arial;Helvetica;sans-serif" w:hAnsi="Arial;Helvetica;sans-serif"/>
          <w:color w:val="1F1F1F"/>
          <w:sz w:val="22"/>
          <w:u w:val="single"/>
        </w:rPr>
        <w:t>Voluntary Resignation by Executive for Good Reason</w:t>
      </w:r>
      <w:r>
        <w:rPr>
          <w:rFonts w:ascii="Arial;Helvetica;sans-serif" w:hAnsi="Arial;Helvetica;sans-serif"/>
          <w:color w:val="1F1F1F"/>
          <w:sz w:val="22"/>
        </w:rPr>
        <w:t xml:space="preserve">. Executive may voluntarily resign Executive's position with </w:t>
      </w:r>
      <w:r>
        <w:rPr>
          <w:rFonts w:ascii="Arial;Helvetica;sans-serif" w:hAnsi="Arial;Helvetica;sans-serif"/>
          <w:sz w:val="22"/>
        </w:rPr>
        <w:t xml:space="preserve">the </w:t>
      </w:r>
      <w:r>
        <w:rPr>
          <w:rFonts w:ascii="Arial;Helvetica;sans-serif" w:hAnsi="Arial;Helvetica;sans-serif"/>
          <w:color w:val="1F1F1F"/>
          <w:sz w:val="22"/>
        </w:rPr>
        <w:t xml:space="preserve">Company for Good Reason at any time on thirty (30) days' advance written notice to </w:t>
      </w:r>
      <w:r>
        <w:rPr>
          <w:rFonts w:ascii="Arial;Helvetica;sans-serif" w:hAnsi="Arial;Helvetica;sans-serif"/>
          <w:sz w:val="22"/>
        </w:rPr>
        <w:t xml:space="preserve">the </w:t>
      </w:r>
      <w:r>
        <w:rPr>
          <w:rFonts w:ascii="Arial;Helvetica;sans-serif" w:hAnsi="Arial;Helvetica;sans-serif"/>
          <w:color w:val="1F1F1F"/>
          <w:sz w:val="22"/>
        </w:rPr>
        <w:t xml:space="preserve">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w:t>
      </w:r>
      <w:r>
        <w:rPr>
          <w:rFonts w:ascii="Arial;Helvetica;sans-serif" w:hAnsi="Arial;Helvetica;sans-serif"/>
          <w:sz w:val="22"/>
        </w:rPr>
        <w:t>14</w:t>
      </w:r>
      <w:r>
        <w:rPr>
          <w:rFonts w:ascii="Arial;Helvetica;sans-serif" w:hAnsi="Arial;Helvetica;sans-serif"/>
          <w:color w:val="1F1F1F"/>
          <w:sz w:val="22"/>
        </w:rPr>
        <w:t>.8. Executive will be deemed to have resigned for Good Reason if Executive voluntarily terminates Executive's employment with</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within ninety (90) days following the first occurrence of a condition constituting Good Reason. “</w:t>
      </w:r>
      <w:r>
        <w:rPr>
          <w:rFonts w:ascii="Arial;Helvetica;sans-serif" w:hAnsi="Arial;Helvetica;sans-serif"/>
          <w:color w:val="1F1F1F"/>
          <w:sz w:val="22"/>
          <w:u w:val="single"/>
        </w:rPr>
        <w:t>Good Reason</w:t>
      </w:r>
      <w:r>
        <w:rPr>
          <w:rFonts w:ascii="Times New Roman;Times;serif" w:hAnsi="Times New Roman;Times;serif"/>
          <w:color w:val="1F1F1F"/>
          <w:sz w:val="20"/>
        </w:rPr>
        <w:t xml:space="preserve">” </w:t>
      </w:r>
      <w:r>
        <w:rPr>
          <w:rFonts w:ascii="Arial;Helvetica;sans-serif" w:hAnsi="Arial;Helvetica;sans-serif"/>
          <w:color w:val="1F1F1F"/>
          <w:sz w:val="22"/>
        </w:rPr>
        <w:t xml:space="preserve">means the occurrence of any of the following conditions without Executive's written consent, which condition(s) remain(s) in effect thirty (30) days after Executive provides written notice to </w:t>
      </w:r>
      <w:r>
        <w:rPr>
          <w:rFonts w:ascii="Arial;Helvetica;sans-serif" w:hAnsi="Arial;Helvetica;sans-serif"/>
          <w:sz w:val="22"/>
        </w:rPr>
        <w:t xml:space="preserve">the </w:t>
      </w:r>
      <w:r>
        <w:rPr>
          <w:rFonts w:ascii="Arial;Helvetica;sans-serif" w:hAnsi="Arial;Helvetica;sans-serif"/>
          <w:color w:val="1F1F1F"/>
          <w:sz w:val="22"/>
        </w:rPr>
        <w:t>Company of such condition(s): (i) a material reduction in Executive’s Base Salary as then in effect prior to such reduction, other than as part of a salary reduction program among similar</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Arial;Helvetica;sans-serif" w:hAnsi="Arial;Helvetica;sans-serif"/>
          <w:color w:val="1F1F1F"/>
          <w:sz w:val="22"/>
        </w:rPr>
        <w:t xml:space="preserve">management employees, (ii) a material diminution in Executive's authority, duties or responsibilities as an employee of </w:t>
      </w:r>
      <w:r>
        <w:rPr>
          <w:rFonts w:ascii="Arial;Helvetica;sans-serif" w:hAnsi="Arial;Helvetica;sans-serif"/>
          <w:sz w:val="22"/>
        </w:rPr>
        <w:t xml:space="preserve">the </w:t>
      </w:r>
      <w:r>
        <w:rPr>
          <w:rFonts w:ascii="Arial;Helvetica;sans-serif" w:hAnsi="Arial;Helvetica;sans-serif"/>
          <w:color w:val="1F1F1F"/>
          <w:sz w:val="22"/>
        </w:rPr>
        <w:t xml:space="preserve">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w:t>
      </w:r>
      <w:r>
        <w:rPr>
          <w:rFonts w:ascii="Arial;Helvetica;sans-serif" w:hAnsi="Arial;Helvetica;sans-serif"/>
          <w:sz w:val="22"/>
        </w:rPr>
        <w:t xml:space="preserve">the </w:t>
      </w:r>
      <w:r>
        <w:rPr>
          <w:rFonts w:ascii="Arial;Helvetica;sans-serif" w:hAnsi="Arial;Helvetica;sans-serif"/>
          <w:color w:val="1F1F1F"/>
          <w:sz w:val="22"/>
        </w:rPr>
        <w:t>Company of Executive's intent to exercise Executive's rights pursuant to this Section within thirty (30) days following the first occurrence of such condition(s).</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7.4</w:t>
      </w:r>
      <w:r>
        <w:rPr>
          <w:rFonts w:ascii="Arial;Helvetica;sans-serif" w:hAnsi="Arial;Helvetica;sans-serif"/>
          <w:color w:val="1F1F1F"/>
          <w:sz w:val="22"/>
          <w:u w:val="single"/>
        </w:rPr>
        <w:t>Voluntary Resignation by Executive Without Good Reason</w:t>
      </w:r>
      <w:r>
        <w:rPr>
          <w:rFonts w:ascii="Arial;Helvetica;sans-serif" w:hAnsi="Arial;Helvetica;sans-serif"/>
          <w:color w:val="1F1F1F"/>
          <w:sz w:val="22"/>
        </w:rPr>
        <w:t xml:space="preserve">. Executive may voluntarily resign Executive's position with </w:t>
      </w:r>
      <w:r>
        <w:rPr>
          <w:rFonts w:ascii="Arial;Helvetica;sans-serif" w:hAnsi="Arial;Helvetica;sans-serif"/>
          <w:sz w:val="22"/>
        </w:rPr>
        <w:t xml:space="preserve">the </w:t>
      </w:r>
      <w:r>
        <w:rPr>
          <w:rFonts w:ascii="Arial;Helvetica;sans-serif" w:hAnsi="Arial;Helvetica;sans-serif"/>
          <w:color w:val="1F1F1F"/>
          <w:sz w:val="22"/>
        </w:rPr>
        <w:t xml:space="preserve">Company without Good Reason at any time on thirty (30) days' advance written notice to </w:t>
      </w:r>
      <w:r>
        <w:rPr>
          <w:rFonts w:ascii="Arial;Helvetica;sans-serif" w:hAnsi="Arial;Helvetica;sans-serif"/>
          <w:sz w:val="22"/>
        </w:rPr>
        <w:t xml:space="preserve">the </w:t>
      </w:r>
      <w:r>
        <w:rPr>
          <w:rFonts w:ascii="Arial;Helvetica;sans-serif" w:hAnsi="Arial;Helvetica;sans-serif"/>
          <w:color w:val="1F1F1F"/>
          <w:sz w:val="22"/>
        </w:rPr>
        <w:t>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w:t>
      </w:r>
      <w:r>
        <w:rPr>
          <w:rFonts w:ascii="Times New Roman;Times;serif" w:hAnsi="Times New Roman;Times;serif"/>
          <w:sz w:val="20"/>
        </w:rPr>
        <w:t> </w:t>
      </w:r>
      <w:r>
        <w:rPr>
          <w:rFonts w:ascii="Arial;Helvetica;sans-serif" w:hAnsi="Arial;Helvetica;sans-serif"/>
          <w:sz w:val="22"/>
        </w:rPr>
        <w:t>14</w:t>
      </w:r>
      <w:r>
        <w:rPr>
          <w:rFonts w:ascii="Arial;Helvetica;sans-serif" w:hAnsi="Arial;Helvetica;sans-serif"/>
          <w:color w:val="1F1F1F"/>
          <w:sz w:val="22"/>
        </w:rPr>
        <w:t>.8.</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7.5</w:t>
      </w:r>
      <w:r>
        <w:rPr>
          <w:rFonts w:ascii="Arial;Helvetica;sans-serif" w:hAnsi="Arial;Helvetica;sans-serif"/>
          <w:color w:val="1F1F1F"/>
          <w:sz w:val="22"/>
          <w:u w:val="single"/>
        </w:rPr>
        <w:t>Termination After a Change in Control</w:t>
      </w:r>
      <w:r>
        <w:rPr>
          <w:rFonts w:ascii="Arial;Helvetica;sans-serif" w:hAnsi="Arial;Helvetica;sans-serif"/>
          <w:color w:val="1F1F1F"/>
          <w:sz w:val="22"/>
        </w:rPr>
        <w:t>.</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(a)</w:t>
      </w:r>
      <w:r>
        <w:rPr>
          <w:rFonts w:ascii="Arial;Helvetica;sans-serif" w:hAnsi="Arial;Helvetica;sans-serif"/>
          <w:color w:val="1F1F1F"/>
          <w:sz w:val="22"/>
          <w:u w:val="single"/>
        </w:rPr>
        <w:t>Severance Payment; Equity Award Acceleration.</w:t>
      </w:r>
      <w:r>
        <w:rPr>
          <w:rFonts w:ascii="Times New Roman;Times;serif" w:hAnsi="Times New Roman;Times;serif"/>
          <w:color w:val="1F1F1F"/>
          <w:sz w:val="20"/>
        </w:rPr>
        <w:t xml:space="preserve"> </w:t>
      </w:r>
      <w:r>
        <w:rPr>
          <w:rFonts w:ascii="Arial;Helvetica;sans-serif" w:hAnsi="Arial;Helvetica;sans-serif"/>
          <w:color w:val="1F1F1F"/>
          <w:sz w:val="22"/>
        </w:rPr>
        <w:t xml:space="preserve">If, upon or within twelve (12) months after a Change in Control (as that term is defined below), Executive’s employment is terminated by </w:t>
      </w:r>
      <w:r>
        <w:rPr>
          <w:rFonts w:ascii="Arial;Helvetica;sans-serif" w:hAnsi="Arial;Helvetica;sans-serif"/>
          <w:sz w:val="22"/>
        </w:rPr>
        <w:t xml:space="preserve">the </w:t>
      </w:r>
      <w:r>
        <w:rPr>
          <w:rFonts w:ascii="Arial;Helvetica;sans-serif" w:hAnsi="Arial;Helvetica;sans-serif"/>
          <w:color w:val="1F1F1F"/>
          <w:sz w:val="22"/>
        </w:rPr>
        <w:t xml:space="preserve">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w:t>
      </w:r>
      <w:r>
        <w:rPr>
          <w:rFonts w:ascii="Arial;Helvetica;sans-serif" w:hAnsi="Arial;Helvetica;sans-serif"/>
          <w:sz w:val="22"/>
        </w:rPr>
        <w:t xml:space="preserve">the </w:t>
      </w:r>
      <w:r>
        <w:rPr>
          <w:rFonts w:ascii="Arial;Helvetica;sans-serif" w:hAnsi="Arial;Helvetica;sans-serif"/>
          <w:color w:val="1F1F1F"/>
          <w:sz w:val="22"/>
        </w:rPr>
        <w:t>Company shall vest in full as of the Termination Date. All other Company obligations to Executive pursuant to this Agreement will be automatically terminated and completely extinguished as of the Termination Date, but will be subject to the surviving provisions of this Agreement set forth in Section</w:t>
      </w:r>
      <w:r>
        <w:rPr>
          <w:rFonts w:ascii="Times New Roman;Times;serif" w:hAnsi="Times New Roman;Times;serif"/>
          <w:sz w:val="20"/>
        </w:rPr>
        <w:t> </w:t>
      </w:r>
      <w:r>
        <w:rPr>
          <w:rFonts w:ascii="Arial;Helvetica;sans-serif" w:hAnsi="Arial;Helvetica;sans-serif"/>
          <w:sz w:val="22"/>
        </w:rPr>
        <w:t>14</w:t>
      </w:r>
      <w:r>
        <w:rPr>
          <w:rFonts w:ascii="Arial;Helvetica;sans-serif" w:hAnsi="Arial;Helvetica;sans-serif"/>
          <w:color w:val="1F1F1F"/>
          <w:sz w:val="22"/>
        </w:rPr>
        <w:t>.8.</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(b)</w:t>
      </w:r>
      <w:r>
        <w:rPr>
          <w:rFonts w:ascii="Arial;Helvetica;sans-serif" w:hAnsi="Arial;Helvetica;sans-serif"/>
          <w:color w:val="1F1F1F"/>
          <w:sz w:val="22"/>
          <w:u w:val="single"/>
        </w:rPr>
        <w:t>Parachute Payments</w:t>
      </w:r>
      <w:r>
        <w:rPr>
          <w:rFonts w:ascii="Arial;Helvetica;sans-serif" w:hAnsi="Arial;Helvetica;sans-serif"/>
          <w:color w:val="1F1F1F"/>
          <w:sz w:val="22"/>
        </w:rPr>
        <w:t>.</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w:t>
      </w:r>
      <w:r>
        <w:rPr>
          <w:rFonts w:ascii="Arial;Helvetica;sans-serif" w:hAnsi="Arial;Helvetica;sans-serif"/>
          <w:color w:val="1F1F1F"/>
          <w:sz w:val="22"/>
        </w:rPr>
        <w:t>Notwithstanding any provision of this Agreement to the contrary, if any payment or benefit Executive would receive pursuant to this Agreement or otherwise (collectively, the “</w:t>
      </w:r>
      <w:r>
        <w:rPr>
          <w:rFonts w:ascii="Arial;Helvetica;sans-serif" w:hAnsi="Arial;Helvetica;sans-serif"/>
          <w:color w:val="1F1F1F"/>
          <w:sz w:val="22"/>
          <w:u w:val="single"/>
        </w:rPr>
        <w:t>Payments”</w:t>
      </w:r>
      <w:r>
        <w:rPr>
          <w:rFonts w:ascii="Arial;Helvetica;sans-serif" w:hAnsi="Arial;Helvetica;sans-serif"/>
          <w:color w:val="1F1F1F"/>
          <w:sz w:val="22"/>
        </w:rPr>
        <w:t>) would constitute a “parachute payment” within the meaning of Section 280G of the Code, and, but for this sentence, would be subject to the excise tax imposed by Section 4999 of the Code or any similar or successor provision (the “</w:t>
      </w:r>
      <w:r>
        <w:rPr>
          <w:rFonts w:ascii="Arial;Helvetica;sans-serif" w:hAnsi="Arial;Helvetica;sans-serif"/>
          <w:color w:val="1F1F1F"/>
          <w:sz w:val="22"/>
          <w:u w:val="single"/>
        </w:rPr>
        <w:t>Excise Tax</w:t>
      </w:r>
      <w:r>
        <w:rPr>
          <w:rFonts w:ascii="Times New Roman;Times;serif" w:hAnsi="Times New Roman;Times;serif"/>
          <w:color w:val="1F1F1F"/>
          <w:sz w:val="20"/>
        </w:rPr>
        <w:t>”</w:t>
      </w:r>
      <w:r>
        <w:rPr>
          <w:rFonts w:ascii="Arial;Helvetica;sans-serif" w:hAnsi="Arial;Helvetica;sans-serif"/>
          <w:color w:val="1F1F1F"/>
          <w:sz w:val="22"/>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color w:val="1F1F1F"/>
          <w:sz w:val="22"/>
        </w:rPr>
      </w:pPr>
      <w:r>
        <w:rPr>
          <w:rFonts w:ascii="Arial;Helvetica;sans-serif" w:hAnsi="Arial;Helvetica;sans-serif"/>
          <w:color w:val="1F1F1F"/>
          <w:sz w:val="22"/>
        </w:rPr>
        <w:t>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(ii)</w:t>
      </w:r>
      <w:r>
        <w:rPr>
          <w:rFonts w:ascii="Arial;Helvetica;sans-serif" w:hAnsi="Arial;Helvetica;sans-serif"/>
          <w:color w:val="1F1F1F"/>
          <w:sz w:val="22"/>
        </w:rPr>
        <w:t>The professional firm engaged by</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for general tax purposes as of the day prior to the date of the event that might reasonably be anticipated to result in Payments that would otherwise be subject to the Excise Tax will perform the foregoing calculations. If the tax firm so engaged by </w:t>
      </w:r>
      <w:r>
        <w:rPr>
          <w:rFonts w:ascii="Arial;Helvetica;sans-serif" w:hAnsi="Arial;Helvetica;sans-serif"/>
          <w:sz w:val="22"/>
        </w:rPr>
        <w:t xml:space="preserve">the </w:t>
      </w:r>
      <w:r>
        <w:rPr>
          <w:rFonts w:ascii="Arial;Helvetica;sans-serif" w:hAnsi="Arial;Helvetica;sans-serif"/>
          <w:color w:val="1F1F1F"/>
          <w:sz w:val="22"/>
        </w:rPr>
        <w:t>Company is serving as accountant or auditor for the acquiring company,</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will appoint a nationally recognized tax firm to make the determinations required by this Section. </w:t>
      </w:r>
      <w:r>
        <w:rPr>
          <w:rFonts w:ascii="Arial;Helvetica;sans-serif" w:hAnsi="Arial;Helvetica;sans-serif"/>
          <w:sz w:val="22"/>
        </w:rPr>
        <w:t xml:space="preserve">The </w:t>
      </w:r>
      <w:r>
        <w:rPr>
          <w:rFonts w:ascii="Arial;Helvetica;sans-serif" w:hAnsi="Arial;Helvetica;sans-serif"/>
          <w:color w:val="1F1F1F"/>
          <w:sz w:val="22"/>
        </w:rPr>
        <w:t xml:space="preserve">Company will bear all expenses with respect to the determinations by the tax firm required to be made by this Section. </w:t>
      </w:r>
      <w:r>
        <w:rPr>
          <w:rFonts w:ascii="Arial;Helvetica;sans-serif" w:hAnsi="Arial;Helvetica;sans-serif"/>
          <w:sz w:val="22"/>
        </w:rPr>
        <w:t xml:space="preserve">The </w:t>
      </w:r>
      <w:r>
        <w:rPr>
          <w:rFonts w:ascii="Arial;Helvetica;sans-serif" w:hAnsi="Arial;Helvetica;sans-serif"/>
          <w:color w:val="1F1F1F"/>
          <w:sz w:val="22"/>
        </w:rPr>
        <w:t xml:space="preserve">Company and Executive shall furnish the tax firm such information and documents as the tax firm may reasonably request in order to make its required determination. The tax firm will provide its calculations, together with detailed supporting documentation, to </w:t>
      </w:r>
      <w:r>
        <w:rPr>
          <w:rFonts w:ascii="Arial;Helvetica;sans-serif" w:hAnsi="Arial;Helvetica;sans-serif"/>
          <w:sz w:val="22"/>
        </w:rPr>
        <w:t xml:space="preserve">the </w:t>
      </w:r>
      <w:r>
        <w:rPr>
          <w:rFonts w:ascii="Arial;Helvetica;sans-serif" w:hAnsi="Arial;Helvetica;sans-serif"/>
          <w:color w:val="1F1F1F"/>
          <w:sz w:val="22"/>
        </w:rPr>
        <w:t xml:space="preserve">Company and Executive as soon as practicable following its engagement. Any good faith determinations of the tax firm made hereunder will be final, binding and conclusive upon </w:t>
      </w:r>
      <w:r>
        <w:rPr>
          <w:rFonts w:ascii="Arial;Helvetica;sans-serif" w:hAnsi="Arial;Helvetica;sans-serif"/>
          <w:sz w:val="22"/>
        </w:rPr>
        <w:t xml:space="preserve">the </w:t>
      </w:r>
      <w:r>
        <w:rPr>
          <w:rFonts w:ascii="Arial;Helvetica;sans-serif" w:hAnsi="Arial;Helvetica;sans-serif"/>
          <w:color w:val="1F1F1F"/>
          <w:sz w:val="22"/>
        </w:rPr>
        <w:t>Company and Executive.</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(c)</w:t>
      </w:r>
      <w:r>
        <w:rPr>
          <w:rFonts w:ascii="Arial;Helvetica;sans-serif" w:hAnsi="Arial;Helvetica;sans-serif"/>
          <w:color w:val="1F1F1F"/>
          <w:sz w:val="22"/>
          <w:u w:val="single"/>
        </w:rPr>
        <w:t>Change in Control</w:t>
      </w:r>
      <w:r>
        <w:rPr>
          <w:rFonts w:ascii="Arial;Helvetica;sans-serif" w:hAnsi="Arial;Helvetica;sans-serif"/>
          <w:color w:val="1F1F1F"/>
          <w:sz w:val="22"/>
        </w:rPr>
        <w:t>. A Change in Control is defined as any one of the following occurrences:</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w:t>
      </w:r>
      <w:r>
        <w:rPr>
          <w:rFonts w:ascii="Arial;Helvetica;sans-serif" w:hAnsi="Arial;Helvetica;sans-serif"/>
          <w:color w:val="1F1F1F"/>
          <w:sz w:val="22"/>
        </w:rPr>
        <w:t>Any “person” (as such term is used in Sections 13(d) and 14(d) of the Securities Exchange Act of 1934 (the “</w:t>
      </w:r>
      <w:r>
        <w:rPr>
          <w:rFonts w:ascii="Arial;Helvetica;sans-serif" w:hAnsi="Arial;Helvetica;sans-serif"/>
          <w:color w:val="1F1F1F"/>
          <w:sz w:val="22"/>
          <w:u w:val="single"/>
        </w:rPr>
        <w:t>Exchange Act</w:t>
      </w:r>
      <w:r>
        <w:rPr>
          <w:rFonts w:ascii="Times New Roman;Times;serif" w:hAnsi="Times New Roman;Times;serif"/>
          <w:color w:val="1F1F1F"/>
          <w:sz w:val="20"/>
        </w:rPr>
        <w:t>”</w:t>
      </w:r>
      <w:r>
        <w:rPr>
          <w:rFonts w:ascii="Arial;Helvetica;sans-serif" w:hAnsi="Arial;Helvetica;sans-serif"/>
          <w:color w:val="1F1F1F"/>
          <w:sz w:val="22"/>
        </w:rPr>
        <w:t>)), becomes the “beneficial owner” (as such term is defined in Rule 13d-3 promulgated under the Exchange Act), directly or indirectly, of securities of</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representing more than fifty percent (50%) of the total fair market value or total combined voting power of </w:t>
      </w:r>
      <w:r>
        <w:rPr>
          <w:rFonts w:ascii="Arial;Helvetica;sans-serif" w:hAnsi="Arial;Helvetica;sans-serif"/>
          <w:sz w:val="22"/>
        </w:rPr>
        <w:t xml:space="preserve">the </w:t>
      </w:r>
      <w:r>
        <w:rPr>
          <w:rFonts w:ascii="Arial;Helvetica;sans-serif" w:hAnsi="Arial;Helvetica;sans-serif"/>
          <w:color w:val="1F1F1F"/>
          <w:sz w:val="22"/>
        </w:rPr>
        <w:t>Company’s then 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including, without limitation, pursuant to or in connection with a public offering of securities, (C) any acquisition of securities by </w:t>
      </w:r>
      <w:r>
        <w:rPr>
          <w:rFonts w:ascii="Arial;Helvetica;sans-serif" w:hAnsi="Arial;Helvetica;sans-serif"/>
          <w:sz w:val="22"/>
        </w:rPr>
        <w:t xml:space="preserve">the </w:t>
      </w:r>
      <w:r>
        <w:rPr>
          <w:rFonts w:ascii="Arial;Helvetica;sans-serif" w:hAnsi="Arial;Helvetica;sans-serif"/>
          <w:color w:val="1F1F1F"/>
          <w:sz w:val="22"/>
        </w:rPr>
        <w:t xml:space="preserve">Company, (D) any acquisition of securities by a trustee or other fiduciary under an employee benefit plan of </w:t>
      </w:r>
      <w:r>
        <w:rPr>
          <w:rFonts w:ascii="Arial;Helvetica;sans-serif" w:hAnsi="Arial;Helvetica;sans-serif"/>
          <w:sz w:val="22"/>
        </w:rPr>
        <w:t xml:space="preserve">the </w:t>
      </w:r>
      <w:r>
        <w:rPr>
          <w:rFonts w:ascii="Arial;Helvetica;sans-serif" w:hAnsi="Arial;Helvetica;sans-serif"/>
          <w:color w:val="1F1F1F"/>
          <w:sz w:val="22"/>
        </w:rPr>
        <w:t xml:space="preserve">Company, or (E) any acquisition of securities by an entity owned directly or indirectly by the stockholders of </w:t>
      </w:r>
      <w:r>
        <w:rPr>
          <w:rFonts w:ascii="Arial;Helvetica;sans-serif" w:hAnsi="Arial;Helvetica;sans-serif"/>
          <w:sz w:val="22"/>
        </w:rPr>
        <w:t xml:space="preserve">the </w:t>
      </w:r>
      <w:r>
        <w:rPr>
          <w:rFonts w:ascii="Arial;Helvetica;sans-serif" w:hAnsi="Arial;Helvetica;sans-serif"/>
          <w:color w:val="1F1F1F"/>
          <w:sz w:val="22"/>
        </w:rPr>
        <w:t>Company in substantially the same proportions as their ownership of the voting securities of</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or</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(ii)</w:t>
      </w:r>
      <w:r>
        <w:rPr>
          <w:rFonts w:ascii="Arial;Helvetica;sans-serif" w:hAnsi="Arial;Helvetica;sans-serif"/>
          <w:color w:val="1F1F1F"/>
          <w:sz w:val="22"/>
        </w:rPr>
        <w:t xml:space="preserve">the sale or disposition of all or substantially all of </w:t>
      </w:r>
      <w:r>
        <w:rPr>
          <w:rFonts w:ascii="Arial;Helvetica;sans-serif" w:hAnsi="Arial;Helvetica;sans-serif"/>
          <w:sz w:val="22"/>
        </w:rPr>
        <w:t>the Company’s</w:t>
      </w:r>
      <w:r>
        <w:rPr>
          <w:rFonts w:ascii="Times New Roman;Times;serif" w:hAnsi="Times New Roman;Times;serif"/>
          <w:color w:val="1F1F1F"/>
          <w:sz w:val="20"/>
        </w:rPr>
        <w:t xml:space="preserve"> </w:t>
      </w:r>
      <w:r>
        <w:rPr>
          <w:rFonts w:ascii="Arial;Helvetica;sans-serif" w:hAnsi="Arial;Helvetica;sans-serif"/>
          <w:color w:val="1F1F1F"/>
          <w:sz w:val="22"/>
        </w:rPr>
        <w:t xml:space="preserve">assets (other than a sale or disposition to one or more subsidiaries of </w:t>
      </w:r>
      <w:r>
        <w:rPr>
          <w:rFonts w:ascii="Arial;Helvetica;sans-serif" w:hAnsi="Arial;Helvetica;sans-serif"/>
          <w:sz w:val="22"/>
        </w:rPr>
        <w:t xml:space="preserve">the </w:t>
      </w:r>
      <w:r>
        <w:rPr>
          <w:rFonts w:ascii="Arial;Helvetica;sans-serif" w:hAnsi="Arial;Helvetica;sans-serif"/>
          <w:color w:val="1F1F1F"/>
          <w:sz w:val="22"/>
        </w:rPr>
        <w:t>Company), or any transaction having similar effect is consummated; or</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(iii)</w:t>
      </w:r>
      <w:r>
        <w:rPr>
          <w:rFonts w:ascii="Arial;Helvetica;sans-serif" w:hAnsi="Arial;Helvetica;sans-serif"/>
          <w:sz w:val="22"/>
        </w:rPr>
        <w:t xml:space="preserve">the </w:t>
      </w:r>
      <w:r>
        <w:rPr>
          <w:rFonts w:ascii="Arial;Helvetica;sans-serif" w:hAnsi="Arial;Helvetica;sans-serif"/>
          <w:color w:val="1F1F1F"/>
          <w:sz w:val="22"/>
        </w:rPr>
        <w:t>Company is party to a merger or consolidation that results in the holders of voting securities of</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outstanding immediately prior thereto failing to continue to represent (either by remaining outstanding or by being converted into voting securities of the surviving entity) more than 50% of the combined voting power of the voting securities of </w:t>
      </w:r>
      <w:r>
        <w:rPr>
          <w:rFonts w:ascii="Arial;Helvetica;sans-serif" w:hAnsi="Arial;Helvetica;sans-serif"/>
          <w:sz w:val="22"/>
        </w:rPr>
        <w:t xml:space="preserve">the </w:t>
      </w:r>
      <w:r>
        <w:rPr>
          <w:rFonts w:ascii="Arial;Helvetica;sans-serif" w:hAnsi="Arial;Helvetica;sans-serif"/>
          <w:color w:val="1F1F1F"/>
          <w:sz w:val="22"/>
        </w:rPr>
        <w:t>Company or such surviving entity outstanding immediately after such merger or consolidation; or</w:t>
      </w:r>
    </w:p>
    <w:p>
      <w:pPr>
        <w:pStyle w:val="TextBody"/>
        <w:spacing w:before="0" w:after="240"/>
        <w:ind w:left="0" w:right="0" w:firstLine="2880"/>
        <w:jc w:val="both"/>
        <w:rPr>
          <w:rFonts w:ascii="Times New Roman;Times;serif" w:hAnsi="Times New Roman;Times;serif"/>
          <w:sz w:val="20"/>
        </w:rPr>
      </w:pPr>
      <w:r>
        <w:rPr>
          <w:rFonts w:ascii="Arial;Helvetica;sans-serif" w:hAnsi="Arial;Helvetica;sans-serif"/>
          <w:color w:val="1F1F1F"/>
          <w:sz w:val="23"/>
        </w:rPr>
        <w:t>(iv)</w:t>
      </w:r>
      <w:r>
        <w:rPr>
          <w:rFonts w:ascii="Arial;Helvetica;sans-serif" w:hAnsi="Arial;Helvetica;sans-serif"/>
          <w:color w:val="1F1F1F"/>
          <w:sz w:val="22"/>
        </w:rPr>
        <w:t xml:space="preserve">the dissolution or liquidation of </w:t>
      </w:r>
      <w:r>
        <w:rPr>
          <w:rFonts w:ascii="Arial;Helvetica;sans-serif" w:hAnsi="Arial;Helvetica;sans-serif"/>
          <w:sz w:val="22"/>
        </w:rPr>
        <w:t xml:space="preserve">the </w:t>
      </w:r>
      <w:r>
        <w:rPr>
          <w:rFonts w:ascii="Arial;Helvetica;sans-serif" w:hAnsi="Arial;Helvetica;sans-serif"/>
          <w:color w:val="1F1F1F"/>
          <w:sz w:val="22"/>
        </w:rPr>
        <w:t>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7.6</w:t>
      </w:r>
      <w:r>
        <w:rPr>
          <w:rFonts w:ascii="Arial;Helvetica;sans-serif" w:hAnsi="Arial;Helvetica;sans-serif"/>
          <w:color w:val="1F1F1F"/>
          <w:sz w:val="22"/>
          <w:u w:val="single"/>
        </w:rPr>
        <w:t>Termination of Employment Upon Nonrenewal.</w:t>
      </w:r>
      <w:r>
        <w:rPr>
          <w:rFonts w:ascii="Times New Roman;Times;serif" w:hAnsi="Times New Roman;Times;serif"/>
          <w:color w:val="1F1F1F"/>
          <w:sz w:val="20"/>
        </w:rPr>
        <w:t xml:space="preserve"> </w:t>
      </w:r>
      <w:r>
        <w:rPr>
          <w:rFonts w:ascii="Arial;Helvetica;sans-serif" w:hAnsi="Arial;Helvetica;sans-serif"/>
          <w:color w:val="1F1F1F"/>
          <w:sz w:val="22"/>
        </w:rPr>
        <w:t>In the event either party decides not to renew this Agreement for a subsequent term in accordance with Section 3.2, this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Arial;Helvetica;sans-serif" w:hAnsi="Arial;Helvetica;sans-serif"/>
          <w:color w:val="1F1F1F"/>
          <w:sz w:val="22"/>
        </w:rPr>
        <w:t xml:space="preserve">Agreement will expire automatically upon completion of the then effective Term, and Executive’s employment with </w:t>
      </w:r>
      <w:r>
        <w:rPr>
          <w:rFonts w:ascii="Arial;Helvetica;sans-serif" w:hAnsi="Arial;Helvetica;sans-serif"/>
          <w:sz w:val="22"/>
        </w:rPr>
        <w:t xml:space="preserve">the </w:t>
      </w:r>
      <w:r>
        <w:rPr>
          <w:rFonts w:ascii="Arial;Helvetica;sans-serif" w:hAnsi="Arial;Helvetica;sans-serif"/>
          <w:color w:val="1F1F1F"/>
          <w:sz w:val="22"/>
        </w:rPr>
        <w:t>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w:t>
      </w:r>
      <w:r>
        <w:rPr>
          <w:rFonts w:ascii="Times New Roman;Times;serif" w:hAnsi="Times New Roman;Times;serif"/>
          <w:sz w:val="20"/>
        </w:rPr>
        <w:t> </w:t>
      </w:r>
      <w:r>
        <w:rPr>
          <w:rFonts w:ascii="Arial;Helvetica;sans-serif" w:hAnsi="Arial;Helvetica;sans-serif"/>
          <w:sz w:val="22"/>
        </w:rPr>
        <w:t>14</w:t>
      </w:r>
      <w:r>
        <w:rPr>
          <w:rFonts w:ascii="Arial;Helvetica;sans-serif" w:hAnsi="Arial;Helvetica;sans-serif"/>
          <w:color w:val="1F1F1F"/>
          <w:sz w:val="22"/>
        </w:rPr>
        <w:t>.8.</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7.7</w:t>
      </w:r>
      <w:r>
        <w:rPr>
          <w:rFonts w:ascii="Arial;Helvetica;sans-serif" w:hAnsi="Arial;Helvetica;sans-serif"/>
          <w:color w:val="1F1F1F"/>
          <w:sz w:val="22"/>
          <w:u w:val="single"/>
        </w:rPr>
        <w:t>Conditions to Severance Package</w:t>
      </w:r>
      <w:r>
        <w:rPr>
          <w:rFonts w:ascii="Arial;Helvetica;sans-serif" w:hAnsi="Arial;Helvetica;sans-serif"/>
          <w:color w:val="1F1F1F"/>
          <w:sz w:val="22"/>
        </w:rPr>
        <w:t xml:space="preserve">. Executive will only be entitled to receive the Severance Package if, on or before the 60th day following the Termination Date, Executive executes a full general release, releasing all claims, known or unknown, that Executive may have against </w:t>
      </w:r>
      <w:r>
        <w:rPr>
          <w:rFonts w:ascii="Arial;Helvetica;sans-serif" w:hAnsi="Arial;Helvetica;sans-serif"/>
          <w:sz w:val="22"/>
        </w:rPr>
        <w:t xml:space="preserve">the </w:t>
      </w:r>
      <w:r>
        <w:rPr>
          <w:rFonts w:ascii="Arial;Helvetica;sans-serif" w:hAnsi="Arial;Helvetica;sans-serif"/>
          <w:color w:val="1F1F1F"/>
          <w:sz w:val="22"/>
        </w:rPr>
        <w:t>Company and its officers, directors, employees and affiliated companies arising out of or any way related to Executive's employment or termination of employment with</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 xml:space="preserve">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w:t>
      </w:r>
      <w:r>
        <w:rPr>
          <w:rFonts w:ascii="Arial;Helvetica;sans-serif" w:hAnsi="Arial;Helvetica;sans-serif"/>
          <w:sz w:val="22"/>
        </w:rPr>
        <w:t xml:space="preserve">the </w:t>
      </w:r>
      <w:r>
        <w:rPr>
          <w:rFonts w:ascii="Arial;Helvetica;sans-serif" w:hAnsi="Arial;Helvetica;sans-serif"/>
          <w:color w:val="1F1F1F"/>
          <w:sz w:val="22"/>
        </w:rPr>
        <w:t>Company shall have the right to (a) terminate further provision of any portion of the Severance Package not yet paid or provided, (b) seek reimbursement from Executive for any and all portions of the Severance Package previously paid or provided to Executive</w:t>
      </w:r>
      <w:r>
        <w:rPr>
          <w:rFonts w:ascii="Arial;Helvetica;sans-serif" w:hAnsi="Arial;Helvetica;sans-serif"/>
          <w:sz w:val="22"/>
        </w:rPr>
        <w:t>, (c) recover from Executive all shares of Company stock acquired by Executive pursuant to Equity Awards the vesting of which was accelerated by reason of the Severance Package (or the proceeds therefrom, reduced by any exercise or pursuant price paid to acquire such shares), and (d) immediately cancel all portions of Equity Awards the vesting of which was accelerated by reason of the Severance Package</w:t>
      </w:r>
      <w:r>
        <w:rPr>
          <w:rFonts w:ascii="Arial;Helvetica;sans-serif" w:hAnsi="Arial;Helvetica;sans-serif"/>
          <w:color w:val="1F1F1F"/>
          <w:sz w:val="22"/>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7.8</w:t>
      </w:r>
      <w:r>
        <w:rPr>
          <w:rFonts w:ascii="Arial;Helvetica;sans-serif" w:hAnsi="Arial;Helvetica;sans-serif"/>
          <w:color w:val="1F1F1F"/>
          <w:sz w:val="22"/>
          <w:u w:val="single"/>
        </w:rPr>
        <w:t>Resignation of Board or Other Positions</w:t>
      </w:r>
      <w:r>
        <w:rPr>
          <w:rFonts w:ascii="Arial;Helvetica;sans-serif" w:hAnsi="Arial;Helvetica;sans-serif"/>
          <w:color w:val="1F1F1F"/>
          <w:sz w:val="22"/>
        </w:rPr>
        <w:t xml:space="preserve">. Executive agrees that should Executive's employment terminate for any reason, Executive will immediately resign all other positions (including board membership) Executive may hold on behalf of </w:t>
      </w:r>
      <w:r>
        <w:rPr>
          <w:rFonts w:ascii="Arial;Helvetica;sans-serif" w:hAnsi="Arial;Helvetica;sans-serif"/>
          <w:sz w:val="22"/>
        </w:rPr>
        <w:t xml:space="preserve">the </w:t>
      </w:r>
      <w:r>
        <w:rPr>
          <w:rFonts w:ascii="Arial;Helvetica;sans-serif" w:hAnsi="Arial;Helvetica;sans-serif"/>
          <w:color w:val="1F1F1F"/>
          <w:sz w:val="22"/>
        </w:rPr>
        <w:t>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7.9</w:t>
      </w:r>
      <w:r>
        <w:rPr>
          <w:rFonts w:ascii="Arial;Helvetica;sans-serif" w:hAnsi="Arial;Helvetica;sans-serif"/>
          <w:color w:val="1F1F1F"/>
          <w:sz w:val="22"/>
          <w:u w:val="single"/>
        </w:rPr>
        <w:t>Application of Section 409A</w:t>
      </w:r>
      <w:r>
        <w:rPr>
          <w:rFonts w:ascii="Arial;Helvetica;sans-serif" w:hAnsi="Arial;Helvetica;sans-serif"/>
          <w:color w:val="1F1F1F"/>
          <w:sz w:val="22"/>
        </w:rPr>
        <w:t>.</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(a)Notwithstanding anything set forth in this Agreement to the contrary, no amount payable pursuant to this Agreement on account of Executive's termination of employment with</w:t>
      </w:r>
      <w:r>
        <w:rPr>
          <w:rFonts w:ascii="Times New Roman;Times;serif" w:hAnsi="Times New Roman;Times;serif"/>
          <w:sz w:val="20"/>
        </w:rPr>
        <w:t xml:space="preserve"> </w:t>
      </w:r>
      <w:r>
        <w:rPr>
          <w:rFonts w:ascii="Arial;Helvetica;sans-serif" w:hAnsi="Arial;Helvetica;sans-serif"/>
          <w:sz w:val="22"/>
        </w:rPr>
        <w:t xml:space="preserve">the </w:t>
      </w:r>
      <w:r>
        <w:rPr>
          <w:rFonts w:ascii="Arial;Helvetica;sans-serif" w:hAnsi="Arial;Helvetica;sans-serif"/>
          <w:color w:val="1F1F1F"/>
          <w:sz w:val="22"/>
        </w:rPr>
        <w:t>Company which constitutes a “deferral of compensation” within the meaning of the Treasury Regulations issued pursuant to Section 409A of the Code (the “</w:t>
      </w:r>
      <w:r>
        <w:rPr>
          <w:rFonts w:ascii="Arial;Helvetica;sans-serif" w:hAnsi="Arial;Helvetica;sans-serif"/>
          <w:color w:val="1F1F1F"/>
          <w:sz w:val="22"/>
          <w:u w:val="single"/>
        </w:rPr>
        <w:t>Section 409A Regulations”</w:t>
      </w:r>
      <w:r>
        <w:rPr>
          <w:rFonts w:ascii="Arial;Helvetica;sans-serif" w:hAnsi="Arial;Helvetica;sans-serif"/>
          <w:color w:val="1F1F1F"/>
          <w:sz w:val="22"/>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Helvetica;sans-serif" w:hAnsi="Arial;Helvetica;sans-serif"/>
          <w:color w:val="1F1F1F"/>
          <w:sz w:val="22"/>
          <w:u w:val="single"/>
        </w:rPr>
        <w:t>Delayed Payment Date</w:t>
      </w:r>
      <w:r>
        <w:rPr>
          <w:rFonts w:ascii="Times New Roman;Times;serif" w:hAnsi="Times New Roman;Times;serif"/>
          <w:color w:val="1F1F1F"/>
          <w:sz w:val="20"/>
        </w:rPr>
        <w:t>”</w:t>
      </w:r>
      <w:r>
        <w:rPr>
          <w:rFonts w:ascii="Arial;Helvetica;sans-serif" w:hAnsi="Arial;Helvetica;sans-serif"/>
          <w:color w:val="1F1F1F"/>
          <w:sz w:val="22"/>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(b)</w:t>
      </w:r>
      <w:r>
        <w:rPr>
          <w:rFonts w:ascii="Arial;Helvetica;sans-serif" w:hAnsi="Arial;Helvetica;sans-serif"/>
          <w:sz w:val="22"/>
        </w:rPr>
        <w:t>It is the intent of the Company and Executive that any right of Executive to receive installment payments hereunder shall, for all purposes of Section 409A of the Code, be treated as a right to a series of separate payments.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0"/>
        <w:ind w:left="0" w:right="0" w:hanging="0"/>
        <w:rPr/>
      </w:pPr>
      <w:r>
        <w:rPr/>
        <w:t>​</w:t>
      </w:r>
    </w:p>
    <w:p>
      <w:pPr>
        <w:pStyle w:val="TextBody"/>
        <w:spacing w:before="0" w:after="240"/>
        <w:ind w:left="0" w:right="0" w:firstLine="2160"/>
        <w:jc w:val="both"/>
        <w:rPr>
          <w:rFonts w:ascii="Times New Roman;Times;serif" w:hAnsi="Times New Roman;Times;serif"/>
          <w:sz w:val="20"/>
        </w:rPr>
      </w:pPr>
      <w:r>
        <w:rPr>
          <w:rFonts w:ascii="Arial;Helvetica;sans-serif" w:hAnsi="Arial;Helvetica;sans-serif"/>
          <w:color w:val="1F1F1F"/>
          <w:sz w:val="22"/>
        </w:rPr>
        <w:t>(c)</w:t>
      </w:r>
      <w:r>
        <w:rPr>
          <w:rFonts w:ascii="Arial;Helvetica;sans-serif" w:hAnsi="Arial;Helvetica;sans-serif"/>
          <w:sz w:val="22"/>
        </w:rPr>
        <w:t xml:space="preserve">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Helvetica;sans-serif" w:hAnsi="Arial;Helvetica;sans-serif"/>
          <w:b/>
          <w:sz w:val="22"/>
        </w:rPr>
        <w:t>However, the Company does not guarantee any particular tax effect for income provided to Executive pursuant to this Agreement.</w:t>
      </w:r>
      <w:r>
        <w:rPr>
          <w:rFonts w:ascii="Times New Roman;Times;serif" w:hAnsi="Times New Roman;Times;serif"/>
          <w:sz w:val="20"/>
        </w:rPr>
        <w:t xml:space="preserve"> </w:t>
      </w:r>
      <w:r>
        <w:rPr>
          <w:rFonts w:ascii="Arial;Helvetica;sans-serif" w:hAnsi="Arial;Helvetica;sans-serif"/>
          <w:sz w:val="22"/>
        </w:rPr>
        <w:t>In any event, except 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8.</w:t>
      </w:r>
      <w:r>
        <w:rPr>
          <w:rFonts w:ascii="Arial;Helvetica;sans-serif" w:hAnsi="Arial;Helvetica;sans-serif"/>
          <w:sz w:val="22"/>
          <w:u w:val="single"/>
        </w:rPr>
        <w:t>No Violation of Rights of Third Parties.</w:t>
      </w:r>
      <w:r>
        <w:rPr>
          <w:rFonts w:ascii="Times New Roman;Times;serif" w:hAnsi="Times New Roman;Times;serif"/>
          <w:sz w:val="20"/>
        </w:rPr>
        <w:t xml:space="preserve"> </w:t>
      </w:r>
      <w:r>
        <w:rPr>
          <w:rFonts w:ascii="Arial;Helvetica;sans-serif" w:hAnsi="Arial;Helvetica;sans-serif"/>
          <w:sz w:val="22"/>
        </w:rPr>
        <w:t>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9.</w:t>
      </w:r>
      <w:r>
        <w:rPr>
          <w:rFonts w:ascii="Arial;Helvetica;sans-serif" w:hAnsi="Arial;Helvetica;sans-serif"/>
          <w:sz w:val="22"/>
          <w:u w:val="single"/>
        </w:rPr>
        <w:t>Other Covenants.</w:t>
      </w:r>
      <w:r>
        <w:rPr>
          <w:rFonts w:ascii="Times New Roman;Times;serif" w:hAnsi="Times New Roman;Times;serif"/>
          <w:sz w:val="20"/>
        </w:rPr>
        <w:t xml:space="preserve"> </w:t>
      </w:r>
      <w:r>
        <w:rPr>
          <w:rFonts w:ascii="Arial;Helvetica;sans-serif" w:hAnsi="Arial;Helvetica;sans-serif"/>
          <w:sz w:val="22"/>
        </w:rPr>
        <w:t>Executive hereby makes the following covenants, each of which Executive acknowledges and agrees are a material part of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9.1</w:t>
      </w:r>
      <w:r>
        <w:rPr>
          <w:rFonts w:ascii="Arial;Helvetica;sans-serif" w:hAnsi="Arial;Helvetica;sans-serif"/>
          <w:sz w:val="22"/>
        </w:rPr>
        <w:t>During the Term,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9.2</w:t>
      </w:r>
      <w:r>
        <w:rPr>
          <w:rFonts w:ascii="Arial;Helvetica;sans-serif" w:hAnsi="Arial;Helvetica;sans-serif"/>
          <w:sz w:val="22"/>
        </w:rPr>
        <w:t>During the Term,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as may be determined by the Company in its sole discretion. If the Company believes such a conflict exists during the Term, the Company may ask Executive to choose to discontinue the other work or activity or resign employment with the 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9.3</w:t>
      </w:r>
      <w:r>
        <w:rPr>
          <w:rFonts w:ascii="Arial;Helvetica;sans-serif" w:hAnsi="Arial;Helvetica;sans-serif"/>
          <w:sz w:val="22"/>
        </w:rPr>
        <w:t>During the Term and after the termination thereof, neither Executive nor the Company will disparage each other, or the Company’s products, services, agents or employees.</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9.4</w:t>
      </w:r>
      <w:r>
        <w:rPr>
          <w:rFonts w:ascii="Arial;Helvetica;sans-serif" w:hAnsi="Arial;Helvetica;sans-serif"/>
          <w:sz w:val="22"/>
        </w:rPr>
        <w:t>During the Term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10.</w:t>
      </w:r>
      <w:r>
        <w:rPr>
          <w:rFonts w:ascii="Arial;Helvetica;sans-serif" w:hAnsi="Arial;Helvetica;sans-serif"/>
          <w:sz w:val="22"/>
          <w:u w:val="single"/>
        </w:rPr>
        <w:t>Confidentiality and Proprietary Rights</w:t>
      </w:r>
      <w:r>
        <w:rPr>
          <w:rFonts w:ascii="Arial;Helvetica;sans-serif" w:hAnsi="Arial;Helvetica;sans-serif"/>
          <w:sz w:val="22"/>
        </w:rPr>
        <w:t>. Executive agrees to abide by the Nondisclosure Agreement, which is incorporated herein by reference.</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11.</w:t>
      </w:r>
      <w:r>
        <w:rPr>
          <w:rFonts w:ascii="Arial;Helvetica;sans-serif" w:hAnsi="Arial;Helvetica;sans-serif"/>
          <w:sz w:val="22"/>
          <w:u w:val="single"/>
        </w:rPr>
        <w:t>Non-Competition; Nonsolicitation of Company’s Employees.</w:t>
      </w:r>
      <w:r>
        <w:rPr>
          <w:rFonts w:ascii="Times New Roman;Times;serif" w:hAnsi="Times New Roman;Times;serif"/>
          <w:sz w:val="20"/>
        </w:rPr>
        <w:t xml:space="preserve"> </w:t>
      </w:r>
      <w:r>
        <w:rPr>
          <w:rFonts w:ascii="Arial;Helvetica;sans-serif" w:hAnsi="Arial;Helvetica;sans-serif"/>
          <w:sz w:val="22"/>
        </w:rPr>
        <w:t>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is national in scope and that the Company, in the course of such business competes with other companies located 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post-secondary education institution, (ii)  any business that develops or administers services to degree-granting institutions of higher education, or (iii) any other business of the Company in which Executive had significant involvement prior to Executive's separation; (b) solicit funds on behalf of, or for the benefit of, any for-profit, post-secondary education institution (other than the Company) or any other entity that competes with the Company; (c)  induce or attempt to induce any employee of the Company to leave the employ of the Company, or in any way interfere with the relationship between the Company and any employee thereof, or (d) induce or attempt to induce any customer, supplier, licensee or other business relation of the Company to cease doing business with, or modify its business relationship with, the Company, or in any way interfere with or hinder the relationship between any such customer, supplier, licensee or business relation and the Company, as applicable.</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12.</w:t>
      </w:r>
      <w:r>
        <w:rPr>
          <w:rFonts w:ascii="Arial;Helvetica;sans-serif" w:hAnsi="Arial;Helvetica;sans-serif"/>
          <w:sz w:val="22"/>
          <w:u w:val="single"/>
        </w:rPr>
        <w:t>Injunctive Relief</w:t>
      </w:r>
      <w:r>
        <w:rPr>
          <w:rFonts w:ascii="Arial;Helvetica;sans-serif" w:hAnsi="Arial;Helvetica;sans-serif"/>
          <w:sz w:val="22"/>
        </w:rPr>
        <w:t>. Executive acknowledges that Executive's breach of the covenants contained in Sections 9, 10 and 11 hereof (collectively “</w:t>
      </w:r>
      <w:r>
        <w:rPr>
          <w:rFonts w:ascii="Arial;Helvetica;sans-serif" w:hAnsi="Arial;Helvetica;sans-serif"/>
          <w:sz w:val="22"/>
          <w:u w:val="single"/>
        </w:rPr>
        <w:t>Covenants”</w:t>
      </w:r>
      <w:r>
        <w:rPr>
          <w:rFonts w:ascii="Arial;Helvetica;sans-serif" w:hAnsi="Arial;Helvetica;sans-serif"/>
          <w:sz w:val="22"/>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13.</w:t>
      </w:r>
      <w:r>
        <w:rPr>
          <w:rFonts w:ascii="Arial;Helvetica;sans-serif" w:hAnsi="Arial;Helvetica;sans-serif"/>
          <w:sz w:val="22"/>
          <w:u w:val="single"/>
        </w:rPr>
        <w:t>Insurance; Indemnification</w:t>
      </w:r>
      <w:r>
        <w:rPr>
          <w:rFonts w:ascii="Arial;Helvetica;sans-serif" w:hAnsi="Arial;Helvetica;sans-serif"/>
          <w:sz w:val="22"/>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sz w:val="22"/>
        </w:rPr>
        <w:t>13.1</w:t>
      </w:r>
      <w:r>
        <w:rPr>
          <w:rFonts w:ascii="Arial;Helvetica;sans-serif" w:hAnsi="Arial;Helvetica;sans-serif"/>
          <w:sz w:val="22"/>
        </w:rPr>
        <w:t>During the Term, Executive will be covered by the Company’s director and officer insurance policy to the same extent as all other senior executive officers of the 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sz w:val="22"/>
        </w:rPr>
        <w:t>13.2</w:t>
      </w:r>
      <w:r>
        <w:rPr>
          <w:rFonts w:ascii="Arial;Helvetica;sans-serif" w:hAnsi="Arial;Helvetica;sans-serif"/>
          <w:sz w:val="22"/>
        </w:rPr>
        <w:t>Following the execution of this Agreement, the director and officer indemnification agreement executed by the Company and Executive will continue in effect in accordance with its terms.</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w:t>
      </w:r>
      <w:r>
        <w:rPr>
          <w:rFonts w:ascii="Arial;Helvetica;sans-serif" w:hAnsi="Arial;Helvetica;sans-serif"/>
          <w:sz w:val="22"/>
          <w:u w:val="single"/>
        </w:rPr>
        <w:t>General Provisions.</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14.1</w:t>
      </w:r>
      <w:r>
        <w:rPr>
          <w:rFonts w:ascii="Arial;Helvetica;sans-serif" w:hAnsi="Arial;Helvetica;sans-serif"/>
          <w:sz w:val="22"/>
          <w:u w:val="single"/>
        </w:rPr>
        <w:t>Successors and Assigns</w:t>
      </w:r>
      <w:r>
        <w:rPr>
          <w:rFonts w:ascii="Arial;Helvetica;sans-serif" w:hAnsi="Arial;Helvetica;sans-serif"/>
          <w:sz w:val="22"/>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14.2</w:t>
      </w:r>
      <w:r>
        <w:rPr>
          <w:rFonts w:ascii="Arial;Helvetica;sans-serif" w:hAnsi="Arial;Helvetica;sans-serif"/>
          <w:sz w:val="22"/>
          <w:u w:val="single"/>
        </w:rPr>
        <w:t>Waiver</w:t>
      </w:r>
      <w:r>
        <w:rPr>
          <w:rFonts w:ascii="Arial;Helvetica;sans-serif" w:hAnsi="Arial;Helvetica;sans-serif"/>
          <w:sz w:val="22"/>
        </w:rPr>
        <w:t>. Either party's failure to enforce any provision of this Agreement shall not in any way be construed as a waiver of any such provision, or prevent that party thereafter from enforcing each and every other provision of this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14.3</w:t>
      </w:r>
      <w:r>
        <w:rPr>
          <w:rFonts w:ascii="Arial;Helvetica;sans-serif" w:hAnsi="Arial;Helvetica;sans-serif"/>
          <w:sz w:val="22"/>
          <w:u w:val="single"/>
        </w:rPr>
        <w:t>Attorneys’ Fees</w:t>
      </w:r>
      <w:r>
        <w:rPr>
          <w:rFonts w:ascii="Arial;Helvetica;sans-serif" w:hAnsi="Arial;Helvetica;sans-serif"/>
          <w:sz w:val="22"/>
        </w:rPr>
        <w:t>. In the event of a dispute involving the interpretation or enforcement of this Agreement, a court shall award attorneys' fees and costs to the prevailing party.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14.4</w:t>
      </w:r>
      <w:r>
        <w:rPr>
          <w:rFonts w:ascii="Arial;Helvetica;sans-serif" w:hAnsi="Arial;Helvetica;sans-serif"/>
          <w:sz w:val="22"/>
          <w:u w:val="single"/>
        </w:rPr>
        <w:t>Severability</w:t>
      </w:r>
      <w:r>
        <w:rPr>
          <w:rFonts w:ascii="Arial;Helvetica;sans-serif" w:hAnsi="Arial;Helvetica;sans-serif"/>
          <w:sz w:val="22"/>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14.5</w:t>
      </w:r>
      <w:r>
        <w:rPr>
          <w:rFonts w:ascii="Arial;Helvetica;sans-serif" w:hAnsi="Arial;Helvetica;sans-serif"/>
          <w:sz w:val="22"/>
          <w:u w:val="single"/>
        </w:rPr>
        <w:t>Interpretation; Construction.</w:t>
      </w:r>
      <w:r>
        <w:rPr>
          <w:rFonts w:ascii="Times New Roman;Times;serif" w:hAnsi="Times New Roman;Times;serif"/>
          <w:sz w:val="20"/>
        </w:rPr>
        <w:t xml:space="preserve"> </w:t>
      </w:r>
      <w:r>
        <w:rPr>
          <w:rFonts w:ascii="Arial;Helvetica;sans-serif" w:hAnsi="Arial;Helvetica;sans-serif"/>
          <w:sz w:val="22"/>
        </w:rPr>
        <w:t>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14.6</w:t>
      </w:r>
      <w:r>
        <w:rPr>
          <w:rFonts w:ascii="Arial;Helvetica;sans-serif" w:hAnsi="Arial;Helvetica;sans-serif"/>
          <w:sz w:val="22"/>
          <w:u w:val="single"/>
        </w:rPr>
        <w:t>Governing Law; Forum</w:t>
      </w:r>
      <w:r>
        <w:rPr>
          <w:rFonts w:ascii="Arial;Helvetica;sans-serif" w:hAnsi="Arial;Helvetica;sans-serif"/>
          <w:sz w:val="22"/>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14.7</w:t>
      </w:r>
      <w:r>
        <w:rPr>
          <w:rFonts w:ascii="Arial;Helvetica;sans-serif" w:hAnsi="Arial;Helvetica;sans-serif"/>
          <w:sz w:val="22"/>
          <w:u w:val="single"/>
        </w:rPr>
        <w:t>Notices</w:t>
      </w:r>
      <w:r>
        <w:rPr>
          <w:rFonts w:ascii="Arial;Helvetica;sans-serif" w:hAnsi="Arial;Helvetica;sans-serif"/>
          <w:sz w:val="22"/>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14.8</w:t>
      </w:r>
      <w:r>
        <w:rPr>
          <w:rFonts w:ascii="Arial;Helvetica;sans-serif" w:hAnsi="Arial;Helvetica;sans-serif"/>
          <w:sz w:val="22"/>
          <w:u w:val="single"/>
        </w:rPr>
        <w:t>Survival</w:t>
      </w:r>
      <w:r>
        <w:rPr>
          <w:rFonts w:ascii="Arial;Helvetica;sans-serif" w:hAnsi="Arial;Helvetica;sans-serif"/>
          <w:sz w:val="22"/>
        </w:rPr>
        <w:t>. Sections 9 (“Other Covenants”), 10 ("Confidentiality and Proprietary Rights”), 11 (“Non-Competition; Nonsolicitation of Company’s Employees”), 12 (“Injunctive Relief”), 14 (“General Provisions”) and 15 (“Entire Agreement”) of this Agreement shall survive termination of Executive’s employment with the Company.</w:t>
      </w:r>
    </w:p>
    <w:p>
      <w:pPr>
        <w:pStyle w:val="TextBody"/>
        <w:spacing w:before="0" w:after="24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1F1F1F"/>
          <w:sz w:val="22"/>
        </w:rPr>
        <w:t>15.</w:t>
      </w:r>
      <w:r>
        <w:rPr>
          <w:rFonts w:ascii="Arial;Helvetica;sans-serif" w:hAnsi="Arial;Helvetica;sans-serif"/>
          <w:sz w:val="22"/>
          <w:u w:val="single"/>
        </w:rPr>
        <w:t>Entire Agreement.</w:t>
      </w:r>
      <w:r>
        <w:rPr>
          <w:rFonts w:ascii="Times New Roman;Times;serif" w:hAnsi="Times New Roman;Times;serif"/>
          <w:sz w:val="20"/>
        </w:rPr>
        <w:t xml:space="preserve"> </w:t>
      </w:r>
      <w:r>
        <w:rPr>
          <w:rFonts w:ascii="Arial;Helvetica;sans-serif" w:hAnsi="Arial;Helvetica;sans-serif"/>
          <w:sz w:val="22"/>
        </w:rPr>
        <w:t>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sz w:val="22"/>
        </w:rPr>
      </w:pPr>
      <w:r>
        <w:rPr>
          <w:rFonts w:ascii="Arial;Helvetica;sans-serif" w:hAnsi="Arial;Helvetica;sans-serif"/>
          <w:sz w:val="22"/>
        </w:rPr>
        <w:t>THE PARTIES TO THIS AGREEMENT HAVE READ THE FOREGOING AGREEMENT AND FULLY UNDERSTAND EACH AND EVERY PROVISION CONTAINED HEREIN. WHEREFORE, THE PARTIES HAVE EXECUTED THIS AGREEMENT ON THE DATES SHOWN BELOW.</w:t>
      </w:r>
    </w:p>
    <w:p>
      <w:pPr>
        <w:pStyle w:val="TextBody"/>
        <w:spacing w:before="0" w:after="0"/>
        <w:ind w:left="0" w:right="0" w:hanging="0"/>
        <w:jc w:val="both"/>
        <w:rPr/>
      </w:pPr>
      <w:r>
        <w:rPr/>
        <w:t>​</w:t>
      </w:r>
    </w:p>
    <w:tbl>
      <w:tblPr>
        <w:tblW w:w="5031" w:type="dxa"/>
        <w:jc w:val="left"/>
        <w:tblInd w:w="0" w:type="dxa"/>
        <w:tblCellMar>
          <w:top w:w="0" w:type="dxa"/>
          <w:left w:w="0" w:type="dxa"/>
          <w:bottom w:w="0" w:type="dxa"/>
          <w:right w:w="0" w:type="dxa"/>
        </w:tblCellMar>
      </w:tblPr>
      <w:tblGrid>
        <w:gridCol w:w="661"/>
        <w:gridCol w:w="856"/>
        <w:gridCol w:w="109"/>
        <w:gridCol w:w="844"/>
        <w:gridCol w:w="2561"/>
      </w:tblGrid>
      <w:tr>
        <w:trPr/>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19735" cy="175260"/>
                      <wp:effectExtent l="0" t="0" r="0" b="0"/>
                      <wp:wrapNone/>
                      <wp:docPr id="155" name="Frame155"/>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35940" cy="175260"/>
                      <wp:effectExtent l="0" t="0" r="0" b="0"/>
                      <wp:wrapNone/>
                      <wp:docPr id="156" name="Frame156"/>
                      <a:graphic xmlns:a="http://schemas.openxmlformats.org/drawingml/2006/main">
                        <a:graphicData uri="http://schemas.microsoft.com/office/word/2010/wordprocessingShape">
                          <wps:wsp>
                            <wps:cNvSpPr txBox="1"/>
                            <wps:spPr>
                              <a:xfrm>
                                <a:off x="0" y="0"/>
                                <a:ext cx="535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626235" cy="175260"/>
                      <wp:effectExtent l="0" t="0" r="0" b="0"/>
                      <wp:wrapNone/>
                      <wp:docPr id="157" name="Frame157"/>
                      <a:graphic xmlns:a="http://schemas.openxmlformats.org/drawingml/2006/main">
                        <a:graphicData uri="http://schemas.microsoft.com/office/word/2010/wordprocessingShape">
                          <wps:wsp>
                            <wps:cNvSpPr txBox="1"/>
                            <wps:spPr>
                              <a:xfrm>
                                <a:off x="0" y="0"/>
                                <a:ext cx="1626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405"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EXECUTIVE</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pPr>
            <w:r>
              <w:rPr/>
              <w:t>​</w:t>
            </w:r>
          </w:p>
        </w:tc>
        <w:tc>
          <w:tcPr>
            <w:tcW w:w="2561" w:type="dxa"/>
            <w:tcBorders/>
            <w:shd w:fill="auto" w:val="clear"/>
            <w:vAlign w:val="center"/>
          </w:tcPr>
          <w:p>
            <w:pPr>
              <w:pStyle w:val="TableContents"/>
              <w:spacing w:before="0" w:after="0"/>
              <w:ind w:left="0" w:right="0" w:hanging="0"/>
              <w:rPr/>
            </w:pPr>
            <w:r>
              <w:rPr/>
              <w:t>​</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5/1/2023</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Daniel E. Bachus</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56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pPr>
            <w:r>
              <w:rPr/>
              <w:t>​</w:t>
            </w:r>
          </w:p>
        </w:tc>
        <w:tc>
          <w:tcPr>
            <w:tcW w:w="2561" w:type="dxa"/>
            <w:tcBorders/>
            <w:shd w:fill="auto" w:val="clear"/>
            <w:vAlign w:val="center"/>
          </w:tcPr>
          <w:p>
            <w:pPr>
              <w:pStyle w:val="TableContents"/>
              <w:spacing w:before="0" w:after="0"/>
              <w:ind w:left="0" w:right="0" w:hanging="0"/>
              <w:rPr/>
            </w:pPr>
            <w:r>
              <w:rPr/>
              <w:t>​</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Address:</w:t>
            </w:r>
          </w:p>
        </w:tc>
        <w:tc>
          <w:tcPr>
            <w:tcW w:w="25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2600 West Camelback Road</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pPr>
            <w:r>
              <w:rPr/>
              <w:t>​</w:t>
            </w:r>
          </w:p>
        </w:tc>
        <w:tc>
          <w:tcPr>
            <w:tcW w:w="25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Phoenix, Arizona 85017</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pPr>
            <w:r>
              <w:rPr/>
              <w:t>​</w:t>
            </w:r>
          </w:p>
        </w:tc>
        <w:tc>
          <w:tcPr>
            <w:tcW w:w="2561" w:type="dxa"/>
            <w:tcBorders/>
            <w:shd w:fill="auto" w:val="clear"/>
            <w:vAlign w:val="center"/>
          </w:tcPr>
          <w:p>
            <w:pPr>
              <w:pStyle w:val="TableContents"/>
              <w:spacing w:before="0" w:after="0"/>
              <w:ind w:left="0" w:right="0" w:hanging="0"/>
              <w:rPr/>
            </w:pPr>
            <w:r>
              <w:rPr/>
              <w:t>​</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405"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GRAND CANYON EDUCATION, INC.</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pPr>
            <w:r>
              <w:rPr/>
              <w:t>​</w:t>
            </w:r>
          </w:p>
        </w:tc>
        <w:tc>
          <w:tcPr>
            <w:tcW w:w="2561" w:type="dxa"/>
            <w:tcBorders/>
            <w:shd w:fill="auto" w:val="clear"/>
            <w:vAlign w:val="center"/>
          </w:tcPr>
          <w:p>
            <w:pPr>
              <w:pStyle w:val="TableContents"/>
              <w:spacing w:before="0" w:after="0"/>
              <w:ind w:left="0" w:right="0" w:hanging="0"/>
              <w:rPr/>
            </w:pPr>
            <w:r>
              <w:rPr/>
              <w:t>​</w:t>
            </w:r>
          </w:p>
        </w:tc>
      </w:tr>
      <w:tr>
        <w:trPr/>
        <w:tc>
          <w:tcPr>
            <w:tcW w:w="6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5/1/2023</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5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Brian E. Mueller</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56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5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pPr>
            <w:r>
              <w:rPr/>
              <w:t>​</w:t>
            </w:r>
          </w:p>
        </w:tc>
        <w:tc>
          <w:tcPr>
            <w:tcW w:w="2561" w:type="dxa"/>
            <w:tcBorders/>
            <w:shd w:fill="auto" w:val="clear"/>
            <w:vAlign w:val="center"/>
          </w:tcPr>
          <w:p>
            <w:pPr>
              <w:pStyle w:val="TableContents"/>
              <w:spacing w:before="0" w:after="0"/>
              <w:ind w:left="0" w:right="0" w:hanging="0"/>
              <w:rPr/>
            </w:pPr>
            <w:r>
              <w:rPr/>
              <w:t>​</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Address:</w:t>
            </w:r>
          </w:p>
        </w:tc>
        <w:tc>
          <w:tcPr>
            <w:tcW w:w="25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2600 West Camelback Road</w:t>
            </w:r>
          </w:p>
        </w:tc>
      </w:tr>
      <w:tr>
        <w:trPr/>
        <w:tc>
          <w:tcPr>
            <w:tcW w:w="66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pPr>
            <w:r>
              <w:rPr/>
              <w:t>​</w:t>
            </w:r>
          </w:p>
        </w:tc>
        <w:tc>
          <w:tcPr>
            <w:tcW w:w="25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Phoenix, Arizona 85017</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rPr/>
      </w:pPr>
      <w:r>
        <w:rPr/>
      </w:r>
      <w:r>
        <w:br w:type="page"/>
      </w:r>
    </w:p>
    <w:p>
      <w:pPr>
        <w:pStyle w:val="TextBody"/>
        <w:spacing w:before="0" w:after="0"/>
        <w:ind w:left="0" w:right="0" w:hanging="0"/>
        <w:rPr/>
      </w:pPr>
      <w:bookmarkStart w:id="864" w:name="lope-20230331xex10d4.htm"/>
      <w:bookmarkStart w:id="865" w:name="kslope20230331xex10d4"/>
      <w:bookmarkEnd w:id="864"/>
      <w:bookmarkEnd w:id="865"/>
      <w:r>
        <w:rPr/>
        <w:t>​</w:t>
      </w:r>
    </w:p>
    <w:p>
      <w:pPr>
        <w:pStyle w:val="TextBody"/>
        <w:spacing w:before="0" w:after="0"/>
        <w:ind w:left="0" w:right="0" w:hanging="0"/>
        <w:jc w:val="right"/>
        <w:rPr>
          <w:rFonts w:ascii="Arial;Helvetica;sans-serif" w:hAnsi="Arial;Helvetica;sans-serif"/>
          <w:b/>
          <w:sz w:val="22"/>
        </w:rPr>
      </w:pPr>
      <w:r>
        <w:rPr>
          <w:rFonts w:ascii="Arial;Helvetica;sans-serif" w:hAnsi="Arial;Helvetica;sans-serif"/>
          <w:b/>
          <w:sz w:val="22"/>
        </w:rPr>
        <w:t>Exhibit 10.4</w: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SECOND AMENDED AND RESTATED</w:t>
      </w:r>
    </w:p>
    <w:p>
      <w:pPr>
        <w:pStyle w:val="TextBody"/>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EXECUTIVE EMPLOYMENT AGREEMENT</w:t>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(Chief Technology Officer)</w:t>
      </w:r>
    </w:p>
    <w:p>
      <w:pPr>
        <w:pStyle w:val="TextBody"/>
        <w:spacing w:before="0" w:after="0"/>
        <w:ind w:left="0" w:right="0" w:hanging="0"/>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color w:val="1F1F1F"/>
          <w:sz w:val="22"/>
        </w:rPr>
        <w:t>This Second Amended and Restated Executive Employment Agreement (the “</w:t>
      </w:r>
      <w:r>
        <w:rPr>
          <w:rFonts w:ascii="Arial;Helvetica;sans-serif" w:hAnsi="Arial;Helvetica;sans-serif"/>
          <w:color w:val="1F1F1F"/>
          <w:sz w:val="22"/>
          <w:u w:val="single"/>
        </w:rPr>
        <w:t>Agreement"</w:t>
      </w:r>
      <w:r>
        <w:rPr>
          <w:rFonts w:ascii="Arial;Helvetica;sans-serif" w:hAnsi="Arial;Helvetica;sans-serif"/>
          <w:color w:val="1F1F1F"/>
          <w:sz w:val="22"/>
        </w:rPr>
        <w:t>) is entered into on May 1, 2023, and is effective as of July 1, 2023 (the “</w:t>
      </w:r>
      <w:r>
        <w:rPr>
          <w:rFonts w:ascii="Arial;Helvetica;sans-serif" w:hAnsi="Arial;Helvetica;sans-serif"/>
          <w:color w:val="1F1F1F"/>
          <w:sz w:val="22"/>
          <w:u w:val="single"/>
        </w:rPr>
        <w:t>Effective Date</w:t>
      </w:r>
      <w:r>
        <w:rPr>
          <w:rFonts w:ascii="Arial;Helvetica;sans-serif" w:hAnsi="Arial;Helvetica;sans-serif"/>
          <w:color w:val="1F1F1F"/>
          <w:sz w:val="20"/>
        </w:rPr>
        <w:t>”</w:t>
      </w:r>
      <w:r>
        <w:rPr>
          <w:rFonts w:ascii="Arial;Helvetica;sans-serif" w:hAnsi="Arial;Helvetica;sans-serif"/>
          <w:color w:val="1F1F1F"/>
          <w:sz w:val="22"/>
        </w:rPr>
        <w:t>), by and between Grand Canyon Education, Inc., a Delaware corporation (“Company”) and Dilek Marsh (“</w:t>
      </w:r>
      <w:r>
        <w:rPr>
          <w:rFonts w:ascii="Arial;Helvetica;sans-serif" w:hAnsi="Arial;Helvetica;sans-serif"/>
          <w:color w:val="1F1F1F"/>
          <w:sz w:val="22"/>
          <w:u w:val="single"/>
        </w:rPr>
        <w:t>Executive</w:t>
      </w:r>
      <w:r>
        <w:rPr>
          <w:rFonts w:ascii="Arial;Helvetica;sans-serif" w:hAnsi="Arial;Helvetica;sans-serif"/>
          <w:color w:val="1F1F1F"/>
          <w:sz w:val="20"/>
        </w:rPr>
        <w:t>”</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color w:val="1F1F1F"/>
          <w:sz w:val="22"/>
        </w:rPr>
        <w:t>WHEREAS, Company and Executive are parties to a second amended and restated executive employment agreement effective as of August 16, 2012, July 1, 2018, and July 1, 2021 (as amended, the “</w:t>
      </w:r>
      <w:r>
        <w:rPr>
          <w:rFonts w:ascii="Arial;Helvetica;sans-serif" w:hAnsi="Arial;Helvetica;sans-serif"/>
          <w:color w:val="1F1F1F"/>
          <w:sz w:val="22"/>
          <w:u w:val="single"/>
        </w:rPr>
        <w:t>Original Agreement”</w:t>
      </w:r>
      <w:r>
        <w:rPr>
          <w:rFonts w:ascii="Arial;Helvetica;sans-serif" w:hAnsi="Arial;Helvetica;sans-serif"/>
          <w:color w:val="1F1F1F"/>
          <w:sz w:val="22"/>
        </w:rPr>
        <w:t>), and Executive has been employed with Company since that time; and</w:t>
      </w:r>
    </w:p>
    <w:p>
      <w:pPr>
        <w:pStyle w:val="TextBody"/>
        <w:spacing w:before="0" w:after="0"/>
        <w:ind w:left="0" w:right="0" w:hanging="0"/>
        <w:jc w:val="both"/>
        <w:rPr/>
      </w:pPr>
      <w:r>
        <w:rPr/>
        <w:t>​</w:t>
      </w:r>
    </w:p>
    <w:p>
      <w:pPr>
        <w:pStyle w:val="TextBody"/>
        <w:spacing w:before="0" w:after="0"/>
        <w:ind w:left="0" w:right="0" w:firstLine="720"/>
        <w:jc w:val="both"/>
        <w:rPr>
          <w:rFonts w:ascii="Arial;Helvetica;sans-serif" w:hAnsi="Arial;Helvetica;sans-serif"/>
          <w:color w:val="1F1F1F"/>
          <w:sz w:val="22"/>
        </w:rPr>
      </w:pPr>
      <w:r>
        <w:rPr>
          <w:rFonts w:ascii="Arial;Helvetica;sans-serif" w:hAnsi="Arial;Helvetica;sans-serif"/>
          <w:color w:val="1F1F1F"/>
          <w:sz w:val="22"/>
        </w:rPr>
        <w:t>WHEREAS, Company and Executive desire to amend and restate the Original Agreement through the execution and delivery of this Agreement.</w:t>
      </w:r>
    </w:p>
    <w:p>
      <w:pPr>
        <w:pStyle w:val="TextBody"/>
        <w:spacing w:before="0" w:after="0"/>
        <w:ind w:left="0" w:right="0" w:hanging="0"/>
        <w:jc w:val="both"/>
        <w:rPr/>
      </w:pPr>
      <w:r>
        <w:rPr/>
        <w:t>​</w:t>
      </w:r>
    </w:p>
    <w:p>
      <w:pPr>
        <w:pStyle w:val="TextBody"/>
        <w:spacing w:before="0" w:after="0"/>
        <w:ind w:left="0" w:right="0" w:firstLine="720"/>
        <w:jc w:val="both"/>
        <w:rPr>
          <w:rFonts w:ascii="Arial;Helvetica;sans-serif" w:hAnsi="Arial;Helvetica;sans-serif"/>
          <w:color w:val="1F1F1F"/>
          <w:sz w:val="22"/>
        </w:rPr>
      </w:pPr>
      <w:r>
        <w:rPr>
          <w:rFonts w:ascii="Arial;Helvetica;sans-serif" w:hAnsi="Arial;Helvetica;sans-serif"/>
          <w:color w:val="1F1F1F"/>
          <w:sz w:val="22"/>
        </w:rPr>
        <w:t>NOW, THEREFORE, for good and valuable consideration, the receipt and sufficiency of which are hereby acknowledged, the parties agree as follows: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w:t>
      </w:r>
      <w:r>
        <w:rPr>
          <w:rFonts w:ascii="Arial;Helvetica;sans-serif" w:hAnsi="Arial;Helvetica;sans-serif"/>
          <w:color w:val="1F1F1F"/>
          <w:sz w:val="22"/>
          <w:u w:val="single"/>
        </w:rPr>
        <w:t>Employment.</w:t>
      </w:r>
      <w:r>
        <w:rPr>
          <w:rFonts w:ascii="Arial;Helvetica;sans-serif" w:hAnsi="Arial;Helvetica;sans-serif"/>
          <w:color w:val="1F1F1F"/>
          <w:sz w:val="20"/>
        </w:rPr>
        <w:t xml:space="preserve"> </w:t>
      </w:r>
      <w:r>
        <w:rPr>
          <w:rFonts w:ascii="Arial;Helvetica;sans-serif" w:hAnsi="Arial;Helvetica;sans-serif"/>
          <w:color w:val="1F1F1F"/>
          <w:sz w:val="22"/>
        </w:rPr>
        <w:t>Company desires to continue to employ Executive, and Executive desires to continue such employment, upon the terms and conditions set forth herein.</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w:t>
      </w:r>
      <w:r>
        <w:rPr>
          <w:rFonts w:ascii="Arial;Helvetica;sans-serif" w:hAnsi="Arial;Helvetica;sans-serif"/>
          <w:color w:val="1F1F1F"/>
          <w:sz w:val="22"/>
          <w:u w:val="single"/>
        </w:rPr>
        <w:t>Duties</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2.1</w:t>
      </w:r>
      <w:r>
        <w:rPr>
          <w:rFonts w:ascii="Arial;Helvetica;sans-serif" w:hAnsi="Arial;Helvetica;sans-serif"/>
          <w:color w:val="1F1F1F"/>
          <w:sz w:val="22"/>
          <w:u w:val="single"/>
        </w:rPr>
        <w:t>Position</w:t>
      </w:r>
      <w:r>
        <w:rPr>
          <w:rFonts w:ascii="Arial;Helvetica;sans-serif" w:hAnsi="Arial;Helvetica;sans-serif"/>
          <w:color w:val="1F1F1F"/>
          <w:sz w:val="22"/>
        </w:rPr>
        <w:t>. Executive is employed by Company and shall have the duties and responsibilities reasonably assigned to Executive from time to time by Company’s Chief Executive Officer, (“</w:t>
      </w:r>
      <w:r>
        <w:rPr>
          <w:rFonts w:ascii="Arial;Helvetica;sans-serif" w:hAnsi="Arial;Helvetica;sans-serif"/>
          <w:color w:val="1F1F1F"/>
          <w:sz w:val="22"/>
          <w:u w:val="single"/>
        </w:rPr>
        <w:t>CEO</w:t>
      </w:r>
      <w:r>
        <w:rPr>
          <w:rFonts w:ascii="Arial;Helvetica;sans-serif" w:hAnsi="Arial;Helvetica;sans-serif"/>
          <w:color w:val="1F1F1F"/>
          <w:sz w:val="20"/>
        </w:rPr>
        <w:t>”</w:t>
      </w:r>
      <w:r>
        <w:rPr>
          <w:rFonts w:ascii="Arial;Helvetica;sans-serif" w:hAnsi="Arial;Helvetica;sans-serif"/>
          <w:color w:val="1F1F1F"/>
          <w:sz w:val="22"/>
        </w:rPr>
        <w:t>), or Board of Directors (the “</w:t>
      </w:r>
      <w:r>
        <w:rPr>
          <w:rFonts w:ascii="Arial;Helvetica;sans-serif" w:hAnsi="Arial;Helvetica;sans-serif"/>
          <w:color w:val="1F1F1F"/>
          <w:sz w:val="22"/>
          <w:u w:val="single"/>
        </w:rPr>
        <w:t>Board</w:t>
      </w:r>
      <w:r>
        <w:rPr>
          <w:rFonts w:ascii="Arial;Helvetica;sans-serif" w:hAnsi="Arial;Helvetica;sans-serif"/>
          <w:color w:val="1F1F1F"/>
          <w:sz w:val="20"/>
        </w:rPr>
        <w:t>”</w:t>
      </w:r>
      <w:r>
        <w:rPr>
          <w:rFonts w:ascii="Arial;Helvetica;sans-serif" w:hAnsi="Arial;Helvetica;sans-serif"/>
          <w:color w:val="1F1F1F"/>
          <w:sz w:val="22"/>
        </w:rPr>
        <w:t>). Executive shall perform faithfully and diligently all duties assigned to Executive. Company reserves the right to modify Executive’s position and duties at any time in its sole and absolute discretion, except that any material diminution in Executive’s duties shall be subject to Section 7.3(ii).</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2.2</w:t>
      </w:r>
      <w:r>
        <w:rPr>
          <w:rFonts w:ascii="Arial;Helvetica;sans-serif" w:hAnsi="Arial;Helvetica;sans-serif"/>
          <w:color w:val="1F1F1F"/>
          <w:sz w:val="22"/>
          <w:u w:val="single"/>
        </w:rPr>
        <w:t>Best Efforts/Full-time</w:t>
      </w:r>
      <w:r>
        <w:rPr>
          <w:rFonts w:ascii="Arial;Helvetica;sans-serif" w:hAnsi="Arial;Helvetica;sans-serif"/>
          <w:color w:val="1F1F1F"/>
          <w:sz w:val="22"/>
        </w:rPr>
        <w:t>. Executive will expend Executive’s best efforts on behalf of Company in the performance of duties assigned to Executive under this Agreement, and will abide by all policies and decisions made by Company, as well as all applicable federal, state and local laws, regulations or ordinances. Executive will act in the best interest of Company at all times in the performance of duties assigned to Executive under this Agreement. Executive shall devote Executive's full business time and efforts to the performance of Executive’s assigned duties for Company, unless Executive notifies Company in advance of Executive's intent to engage in other paid work and receives Company’s express written consent to do so. Notwithstanding the foregoing, Executive will be permitted to serve as an outside director on the board of directors for corporate, civic, nonprofit or charitable entities, so long as Executive obtains the consent of Company and provided such entities are not competitive with Company or Company and subject to the provisions of Section 9.</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2.3</w:t>
      </w:r>
      <w:r>
        <w:rPr>
          <w:rFonts w:ascii="Arial;Helvetica;sans-serif" w:hAnsi="Arial;Helvetica;sans-serif"/>
          <w:color w:val="1F1F1F"/>
          <w:sz w:val="22"/>
          <w:u w:val="single"/>
        </w:rPr>
        <w:t>Work Location</w:t>
      </w:r>
      <w:r>
        <w:rPr>
          <w:rFonts w:ascii="Arial;Helvetica;sans-serif" w:hAnsi="Arial;Helvetica;sans-serif"/>
          <w:color w:val="1F1F1F"/>
          <w:sz w:val="22"/>
        </w:rPr>
        <w:t>. Executive's principal place of work shall be located in Phoenix, Arizona, or such other location as Company may direct from time to time.</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HorizontalLine"/>
        <w:rPr/>
      </w:pPr>
      <w:r>
        <w:rPr/>
      </w:r>
    </w:p>
    <w:p>
      <w:pPr>
        <w:pStyle w:val="TextBody"/>
        <w:spacing w:before="0" w:after="0"/>
        <w:ind w:left="0" w:right="0" w:hanging="0"/>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3.</w:t>
      </w:r>
      <w:r>
        <w:rPr>
          <w:rFonts w:ascii="Arial;Helvetica;sans-serif" w:hAnsi="Arial;Helvetica;sans-serif"/>
          <w:color w:val="1F1F1F"/>
          <w:sz w:val="22"/>
          <w:u w:val="single"/>
        </w:rPr>
        <w:t>Term</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3.1</w:t>
      </w:r>
      <w:r>
        <w:rPr>
          <w:rFonts w:ascii="Arial;Helvetica;sans-serif" w:hAnsi="Arial;Helvetica;sans-serif"/>
          <w:color w:val="1F1F1F"/>
          <w:sz w:val="22"/>
          <w:u w:val="single"/>
        </w:rPr>
        <w:t>Initial Term</w:t>
      </w:r>
      <w:r>
        <w:rPr>
          <w:rFonts w:ascii="Arial;Helvetica;sans-serif" w:hAnsi="Arial;Helvetica;sans-serif"/>
          <w:color w:val="1F1F1F"/>
          <w:sz w:val="22"/>
        </w:rPr>
        <w:t>. The employment relationship pursuant to this Agreement shall be for an initial term commencing on the Effective Date and shall continue in effect for a period through June 30, 2028 (the “</w:t>
      </w:r>
      <w:r>
        <w:rPr>
          <w:rFonts w:ascii="Arial;Helvetica;sans-serif" w:hAnsi="Arial;Helvetica;sans-serif"/>
          <w:color w:val="1F1F1F"/>
          <w:sz w:val="22"/>
          <w:u w:val="single"/>
        </w:rPr>
        <w:t>Initial Term</w:t>
      </w:r>
      <w:r>
        <w:rPr>
          <w:rFonts w:ascii="Arial;Helvetica;sans-serif" w:hAnsi="Arial;Helvetica;sans-serif"/>
          <w:color w:val="1F1F1F"/>
          <w:sz w:val="22"/>
        </w:rPr>
        <w:t>"), unless sooner terminated in accordance with Section 7.</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3.2</w:t>
      </w:r>
      <w:r>
        <w:rPr>
          <w:rFonts w:ascii="Arial;Helvetica;sans-serif" w:hAnsi="Arial;Helvetica;sans-serif"/>
          <w:color w:val="1F1F1F"/>
          <w:sz w:val="22"/>
          <w:u w:val="single"/>
        </w:rPr>
        <w:t>Renewal</w:t>
      </w:r>
      <w:r>
        <w:rPr>
          <w:rFonts w:ascii="Arial;Helvetica;sans-serif" w:hAnsi="Arial;Helvetica;sans-serif"/>
          <w:color w:val="1F1F1F"/>
          <w:sz w:val="22"/>
        </w:rPr>
        <w:t>. Upon expiration of the Initial Term and each Renewal Term, this Agreement will automatically renew for subsequent one (1) year terms (each a “</w:t>
      </w:r>
      <w:r>
        <w:rPr>
          <w:rFonts w:ascii="Arial;Helvetica;sans-serif" w:hAnsi="Arial;Helvetica;sans-serif"/>
          <w:color w:val="1F1F1F"/>
          <w:sz w:val="22"/>
          <w:u w:val="single"/>
        </w:rPr>
        <w:t>Renewal Term</w:t>
      </w:r>
      <w:r>
        <w:rPr>
          <w:rFonts w:ascii="Arial;Helvetica;sans-serif" w:hAnsi="Arial;Helvetica;sans-serif"/>
          <w:color w:val="1F1F1F"/>
          <w:sz w:val="20"/>
        </w:rPr>
        <w:t>”</w:t>
      </w:r>
      <w:r>
        <w:rPr>
          <w:rFonts w:ascii="Arial;Helvetica;sans-serif" w:hAnsi="Arial;Helvetica;sans-serif"/>
          <w:color w:val="1F1F1F"/>
          <w:sz w:val="22"/>
        </w:rPr>
        <w:t>) unless either party provides ninety (90) days' advance written notice to the other that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Helvetica;sans-serif" w:hAnsi="Arial;Helvetica;sans-serif"/>
          <w:color w:val="1F1F1F"/>
          <w:sz w:val="22"/>
          <w:u w:val="single"/>
        </w:rPr>
        <w:t>Term</w:t>
      </w:r>
      <w:r>
        <w:rPr>
          <w:rFonts w:ascii="Arial;Helvetica;sans-serif" w:hAnsi="Arial;Helvetica;sans-serif"/>
          <w:color w:val="1F1F1F"/>
          <w:sz w:val="20"/>
        </w:rPr>
        <w:t>”</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4.</w:t>
      </w:r>
      <w:r>
        <w:rPr>
          <w:rFonts w:ascii="Arial;Helvetica;sans-serif" w:hAnsi="Arial;Helvetica;sans-serif"/>
          <w:color w:val="1F1F1F"/>
          <w:sz w:val="22"/>
          <w:u w:val="single"/>
        </w:rPr>
        <w:t>Compensation.</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4.1</w:t>
      </w:r>
      <w:r>
        <w:rPr>
          <w:rFonts w:ascii="Arial;Helvetica;sans-serif" w:hAnsi="Arial;Helvetica;sans-serif"/>
          <w:color w:val="1F1F1F"/>
          <w:sz w:val="22"/>
          <w:u w:val="single"/>
        </w:rPr>
        <w:t>Base-Salary</w:t>
      </w:r>
      <w:r>
        <w:rPr>
          <w:rFonts w:ascii="Arial;Helvetica;sans-serif" w:hAnsi="Arial;Helvetica;sans-serif"/>
          <w:color w:val="1F1F1F"/>
          <w:sz w:val="22"/>
        </w:rPr>
        <w:t>. As compensation for Executive’s performance of Executive’s duties hereunder, effective beginning on the Effective Date Company shall pay to Executive an initial Base Salary at the rate of Three Hundred Sixteen Thousand Six Hundred Ten and 08/100 Dollars ($316,610.08) per year, payable in accordance with the normal payroll practices of Company, less required deductions for state and federal withholding tax, social security and all other employment taxes and payroll deductions. Executives Base Salary shall be reviewed annually by the Compensation Committee of Company (the “</w:t>
      </w:r>
      <w:r>
        <w:rPr>
          <w:rFonts w:ascii="Arial;Helvetica;sans-serif" w:hAnsi="Arial;Helvetica;sans-serif"/>
          <w:color w:val="1F1F1F"/>
          <w:sz w:val="22"/>
          <w:u w:val="single"/>
        </w:rPr>
        <w:t>Compensation Committee</w:t>
      </w:r>
      <w:r>
        <w:rPr>
          <w:rFonts w:ascii="Arial;Helvetica;sans-serif" w:hAnsi="Arial;Helvetica;sans-serif"/>
          <w:color w:val="1F1F1F"/>
          <w:sz w:val="20"/>
        </w:rPr>
        <w:t>”</w:t>
      </w:r>
      <w:r>
        <w:rPr>
          <w:rFonts w:ascii="Arial;Helvetica;sans-serif" w:hAnsi="Arial;Helvetica;sans-serif"/>
          <w:color w:val="1F1F1F"/>
          <w:sz w:val="22"/>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3"/>
        </w:rPr>
        <w:t>4.2</w:t>
      </w:r>
      <w:r>
        <w:rPr>
          <w:rFonts w:ascii="Arial;Helvetica;sans-serif" w:hAnsi="Arial;Helvetica;sans-serif"/>
          <w:color w:val="1F1F1F"/>
          <w:sz w:val="22"/>
          <w:u w:val="single"/>
        </w:rPr>
        <w:t>Incentive Compensation.</w:t>
      </w:r>
      <w:r>
        <w:rPr>
          <w:rFonts w:ascii="Arial;Helvetica;sans-serif" w:hAnsi="Arial;Helvetica;sans-serif"/>
          <w:color w:val="1F1F1F"/>
          <w:sz w:val="20"/>
        </w:rPr>
        <w:t xml:space="preserve"> </w:t>
      </w:r>
      <w:r>
        <w:rPr>
          <w:rFonts w:ascii="Arial;Helvetica;sans-serif" w:hAnsi="Arial;Helvetica;sans-serif"/>
          <w:color w:val="1F1F1F"/>
          <w:sz w:val="22"/>
        </w:rPr>
        <w:t>Executive will be eligible to earn incentive compensation in the form of an annual bonus for each fiscal year of Company, to be awarded under Company’s annual cash incentive plan as then in effect, with a target amount equal to One Hundred Ten Thousand Dollars ($110,000) (the “</w:t>
      </w:r>
      <w:r>
        <w:rPr>
          <w:rFonts w:ascii="Arial;Helvetica;sans-serif" w:hAnsi="Arial;Helvetica;sans-serif"/>
          <w:color w:val="1F1F1F"/>
          <w:sz w:val="22"/>
          <w:u w:val="single"/>
        </w:rPr>
        <w:t>Target Bonus</w:t>
      </w:r>
      <w:r>
        <w:rPr>
          <w:rFonts w:ascii="Arial;Helvetica;sans-serif" w:hAnsi="Arial;Helvetica;sans-serif"/>
          <w:color w:val="1F1F1F"/>
          <w:sz w:val="22"/>
        </w:rPr>
        <w:t>").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Company's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Company fiscal year.</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3"/>
        </w:rPr>
        <w:t>4.3</w:t>
      </w:r>
      <w:r>
        <w:rPr>
          <w:rFonts w:ascii="Arial;Helvetica;sans-serif" w:hAnsi="Arial;Helvetica;sans-serif"/>
          <w:color w:val="1F1F1F"/>
          <w:sz w:val="22"/>
          <w:u w:val="single"/>
        </w:rPr>
        <w:t>Equity Awards</w:t>
      </w:r>
      <w:r>
        <w:rPr>
          <w:rFonts w:ascii="Arial;Helvetica;sans-serif" w:hAnsi="Arial;Helvetica;sans-serif"/>
          <w:color w:val="1F1F1F"/>
          <w:sz w:val="22"/>
        </w:rPr>
        <w:t>. Executive will be eligible to receive stock, option or other equity awards (each, an “</w:t>
      </w:r>
      <w:r>
        <w:rPr>
          <w:rFonts w:ascii="Arial;Helvetica;sans-serif" w:hAnsi="Arial;Helvetica;sans-serif"/>
          <w:color w:val="1F1F1F"/>
          <w:sz w:val="22"/>
          <w:u w:val="single"/>
        </w:rPr>
        <w:t>Equity Award</w:t>
      </w:r>
      <w:r>
        <w:rPr>
          <w:rFonts w:ascii="Arial;Helvetica;sans-serif" w:hAnsi="Arial;Helvetica;sans-serif"/>
          <w:color w:val="1F1F1F"/>
          <w:sz w:val="20"/>
        </w:rPr>
        <w:t>”</w:t>
      </w:r>
      <w:r>
        <w:rPr>
          <w:rFonts w:ascii="Arial;Helvetica;sans-serif" w:hAnsi="Arial;Helvetica;sans-serif"/>
          <w:color w:val="1F1F1F"/>
          <w:sz w:val="22"/>
        </w:rPr>
        <w:t>) under Company’s equity incentive plan as then in effect (the “</w:t>
      </w:r>
      <w:r>
        <w:rPr>
          <w:rFonts w:ascii="Arial;Helvetica;sans-serif" w:hAnsi="Arial;Helvetica;sans-serif"/>
          <w:color w:val="1F1F1F"/>
          <w:sz w:val="22"/>
          <w:u w:val="single"/>
        </w:rPr>
        <w:t>Plan</w:t>
      </w:r>
      <w:r>
        <w:rPr>
          <w:rFonts w:ascii="Arial;Helvetica;sans-serif" w:hAnsi="Arial;Helvetica;sans-serif"/>
          <w:color w:val="1F1F1F"/>
          <w:sz w:val="20"/>
        </w:rPr>
        <w:t>”</w:t>
      </w:r>
      <w:r>
        <w:rPr>
          <w:rFonts w:ascii="Arial;Helvetica;sans-serif" w:hAnsi="Arial;Helvetica;sans-serif"/>
          <w:color w:val="1F1F1F"/>
          <w:sz w:val="22"/>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5.</w:t>
      </w:r>
      <w:r>
        <w:rPr>
          <w:rFonts w:ascii="Arial;Helvetica;sans-serif" w:hAnsi="Arial;Helvetica;sans-serif"/>
          <w:color w:val="1F1F1F"/>
          <w:sz w:val="22"/>
          <w:u w:val="single"/>
        </w:rPr>
        <w:t>Customary Fringe Benefits</w:t>
      </w:r>
      <w:r>
        <w:rPr>
          <w:rFonts w:ascii="Arial;Helvetica;sans-serif" w:hAnsi="Arial;Helvetica;sans-serif"/>
          <w:color w:val="1F1F1F"/>
          <w:sz w:val="22"/>
        </w:rPr>
        <w:t>. Executive will be eligible for all customary and usual fringe benefits generally available to senior management of Company, subject to the terms and conditions of Company's benefit plan documents. Company reserves the right to change or eliminate fringe benefits on a prospective basis, at any time, effective upon notice to Executive.</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rPr/>
      </w:pPr>
      <w:r>
        <w:rPr/>
      </w:r>
    </w:p>
    <w:p>
      <w:pPr>
        <w:pStyle w:val="TextBody"/>
        <w:spacing w:before="0" w:after="0"/>
        <w:ind w:left="0" w:right="0" w:hanging="0"/>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6.</w:t>
      </w:r>
      <w:r>
        <w:rPr>
          <w:rFonts w:ascii="Arial;Helvetica;sans-serif" w:hAnsi="Arial;Helvetica;sans-serif"/>
          <w:color w:val="1F1F1F"/>
          <w:sz w:val="22"/>
          <w:u w:val="single"/>
        </w:rPr>
        <w:t>Business Expenses</w:t>
      </w:r>
      <w:r>
        <w:rPr>
          <w:rFonts w:ascii="Arial;Helvetica;sans-serif" w:hAnsi="Arial;Helvetica;sans-serif"/>
          <w:color w:val="1F1F1F"/>
          <w:sz w:val="22"/>
        </w:rPr>
        <w:t>. Executive will be reimbursed for all reasonable, out-of- pocket business expenses incurred in the performance of Executive's duties on behalf of Company. To obtain reimbursement, expenses must be submitted promptly with appropriate supporting documentation and will be reimbursed in accordance with Company's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w:t>
      </w:r>
      <w:r>
        <w:rPr>
          <w:rFonts w:ascii="Arial;Helvetica;sans-serif" w:hAnsi="Arial;Helvetica;sans-serif"/>
          <w:color w:val="1F1F1F"/>
          <w:sz w:val="22"/>
          <w:u w:val="single"/>
        </w:rPr>
        <w:t>Termination of Executive's Employment</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7.1</w:t>
      </w:r>
      <w:r>
        <w:rPr>
          <w:rFonts w:ascii="Arial;Helvetica;sans-serif" w:hAnsi="Arial;Helvetica;sans-serif"/>
          <w:color w:val="1F1F1F"/>
          <w:sz w:val="22"/>
          <w:u w:val="single"/>
        </w:rPr>
        <w:t>Termination for Cause by Company</w:t>
      </w:r>
      <w:r>
        <w:rPr>
          <w:rFonts w:ascii="Arial;Helvetica;sans-serif" w:hAnsi="Arial;Helvetica;sans-serif"/>
          <w:color w:val="1F1F1F"/>
          <w:sz w:val="22"/>
        </w:rPr>
        <w:t>. Although Company anticipates the continuation of a mutually rewarding employment relationship with Executive, Company may terminate Executive’s employment immediately at any time for Cause. For purposes of this Agreement, "</w:t>
      </w:r>
      <w:r>
        <w:rPr>
          <w:rFonts w:ascii="Arial;Helvetica;sans-serif" w:hAnsi="Arial;Helvetica;sans-serif"/>
          <w:color w:val="1F1F1F"/>
          <w:sz w:val="22"/>
          <w:u w:val="single"/>
        </w:rPr>
        <w:t>Cause</w:t>
      </w:r>
      <w:r>
        <w:rPr>
          <w:rFonts w:ascii="Arial;Helvetica;sans-serif" w:hAnsi="Arial;Helvetica;sans-serif"/>
          <w:color w:val="1F1F1F"/>
          <w:sz w:val="20"/>
        </w:rPr>
        <w:t xml:space="preserve"> </w:t>
      </w:r>
      <w:r>
        <w:rPr>
          <w:rFonts w:ascii="Arial;Helvetica;sans-serif" w:hAnsi="Arial;Helvetica;sans-serif"/>
          <w:color w:val="1F1F1F"/>
          <w:sz w:val="22"/>
        </w:rPr>
        <w:t>is defined as: (a) acts or omissions constituting gross negligence, recklessness or willful misconduct on the part of Executive with respect to Executive’s ' obligations or otherwise relating to the business of Company; (b) Executive’s material breach of this Agreement including, without limitation, any breach of Section 8, Section 9 or Section 11; (c) Executive’s breach of Company's Employee Nondisclosure and Assignment Agreement (a copy of which has been executed and delivered to Company with this Agreement) (the “</w:t>
      </w:r>
      <w:r>
        <w:rPr>
          <w:rFonts w:ascii="Arial;Helvetica;sans-serif" w:hAnsi="Arial;Helvetica;sans-serif"/>
          <w:color w:val="1F1F1F"/>
          <w:sz w:val="22"/>
          <w:u w:val="single"/>
        </w:rPr>
        <w:t>Nondisclosure Agreement”</w:t>
      </w:r>
      <w:r>
        <w:rPr>
          <w:rFonts w:ascii="Arial;Helvetica;sans-serif" w:hAnsi="Arial;Helvetica;sans-serif"/>
          <w:color w:val="1F1F1F"/>
          <w:sz w:val="22"/>
        </w:rPr>
        <w:t xml:space="preserve">); (d) Executive's conviction or entry of a plea of </w:t>
      </w:r>
      <w:r>
        <w:rPr>
          <w:rFonts w:ascii="Arial;Helvetica;sans-serif" w:hAnsi="Arial;Helvetica;sans-serif"/>
          <w:i/>
          <w:color w:val="1F1F1F"/>
          <w:sz w:val="22"/>
        </w:rPr>
        <w:t xml:space="preserve">nolo contendere </w:t>
      </w:r>
      <w:r>
        <w:rPr>
          <w:rFonts w:ascii="Arial;Helvetica;sans-serif" w:hAnsi="Arial;Helvetica;sans-serif"/>
          <w:color w:val="1F1F1F"/>
          <w:sz w:val="22"/>
        </w:rPr>
        <w:t>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Company, provided that Executive has received written notice of the action or omission giving rise to such determination and has failed to remedy such situation to the satisfaction of Company within thirty (30) days following receipt of such written notice, unless Executive’s action or omission is not subject to cure, in which case no such notice shall be required; or (g) Executive's death. In the event Executive's employment is terminated in accordance with this Section 7 1, Executive shall be entitled to receive only Executive's Base Salary then in effect, prorated to the date of Executive’s termination of employment with Company (the “</w:t>
      </w:r>
      <w:r>
        <w:rPr>
          <w:rFonts w:ascii="Arial;Helvetica;sans-serif" w:hAnsi="Arial;Helvetica;sans-serif"/>
          <w:color w:val="1F1F1F"/>
          <w:sz w:val="22"/>
          <w:u w:val="single"/>
        </w:rPr>
        <w:t>Termination Date</w:t>
      </w:r>
      <w:r>
        <w:rPr>
          <w:rFonts w:ascii="Arial;Helvetica;sans-serif" w:hAnsi="Arial;Helvetica;sans-serif"/>
          <w:color w:val="1F1F1F"/>
          <w:sz w:val="20"/>
        </w:rPr>
        <w:t>”</w:t>
      </w:r>
      <w:r>
        <w:rPr>
          <w:rFonts w:ascii="Arial;Helvetica;sans-serif" w:hAnsi="Arial;Helvetica;sans-serif"/>
          <w:color w:val="1F1F1F"/>
          <w:sz w:val="22"/>
        </w:rPr>
        <w:t>), and all amounts and benefits earned or incurred pursuant to Sections 5 and 6 through the Termination Date. All other Company obligations to Executive pursuant to this Agreement will be automatically terminated and completely extinguished as of the Termination Date, but will be subject to the surviving provisions of this Agreement set forth in Section 14.8. Executive will not be entitled to receive the Severance Package described in Section 7.2.</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7.2</w:t>
      </w:r>
      <w:r>
        <w:rPr>
          <w:rFonts w:ascii="Arial;Helvetica;sans-serif" w:hAnsi="Arial;Helvetica;sans-serif"/>
          <w:color w:val="1F1F1F"/>
          <w:sz w:val="22"/>
          <w:u w:val="single"/>
        </w:rPr>
        <w:t>Termination Without Cause by Company.</w:t>
      </w:r>
      <w:r>
        <w:rPr>
          <w:rFonts w:ascii="Arial;Helvetica;sans-serif" w:hAnsi="Arial;Helvetica;sans-serif"/>
          <w:color w:val="1F1F1F"/>
          <w:sz w:val="20"/>
        </w:rPr>
        <w:t xml:space="preserve"> </w:t>
      </w:r>
      <w:r>
        <w:rPr>
          <w:rFonts w:ascii="Arial;Helvetica;sans-serif" w:hAnsi="Arial;Helvetica;sans-serif"/>
          <w:color w:val="1F1F1F"/>
          <w:sz w:val="22"/>
        </w:rPr>
        <w:t>Company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Helvetica;sans-serif" w:hAnsi="Arial;Helvetica;sans-serif"/>
          <w:color w:val="1F1F1F"/>
          <w:sz w:val="22"/>
          <w:u w:val="single"/>
        </w:rPr>
        <w:t>Severance Package”</w:t>
      </w:r>
      <w:r>
        <w:rPr>
          <w:rFonts w:ascii="Arial;Helvetica;sans-serif" w:hAnsi="Arial;Helvetica;sans-serif"/>
          <w:color w:val="1F1F1F"/>
          <w:sz w:val="20"/>
        </w:rPr>
        <w:t xml:space="preserve"> </w:t>
      </w:r>
      <w:r>
        <w:rPr>
          <w:rFonts w:ascii="Arial;Helvetica;sans-serif" w:hAnsi="Arial;Helvetica;sans-serif"/>
          <w:color w:val="1F1F1F"/>
          <w:sz w:val="22"/>
        </w:rPr>
        <w:t>that shall consist of:</w:t>
      </w:r>
    </w:p>
    <w:p>
      <w:pPr>
        <w:pStyle w:val="TextBody"/>
        <w:spacing w:before="0" w:after="0"/>
        <w:ind w:left="0" w:right="0" w:hanging="0"/>
        <w:jc w:val="both"/>
        <w:rPr/>
      </w:pPr>
      <w:r>
        <w:rPr/>
        <w:t>​</w:t>
      </w:r>
    </w:p>
    <w:p>
      <w:pPr>
        <w:pStyle w:val="TextBody"/>
        <w:spacing w:before="0" w:after="240"/>
        <w:ind w:left="0" w:right="0" w:firstLine="2160"/>
        <w:jc w:val="both"/>
        <w:rPr>
          <w:rFonts w:ascii="Arial;Helvetica;sans-serif" w:hAnsi="Arial;Helvetica;sans-serif"/>
          <w:sz w:val="22"/>
        </w:rPr>
      </w:pPr>
      <w:r>
        <w:rPr>
          <w:rFonts w:ascii="Arial;Helvetica;sans-serif" w:hAnsi="Arial;Helvetica;sans-serif"/>
          <w:sz w:val="22"/>
        </w:rPr>
        <w:t>(a)severance in an amount equal to the sum of (i) twelve (12) months of Executive’s Base Salary then in effect on the Termination Date, and (ii) 100% of Executive’s Target Bonus for the fiscal year in which the Termination Date occurs, with the total of such amounts to be payable over twelve (12) months in equal installments in accordance with</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Arial;Helvetica;sans-serif" w:hAnsi="Arial;Helvetica;sans-serif"/>
          <w:sz w:val="22"/>
        </w:rPr>
      </w:pPr>
      <w:r>
        <w:rPr>
          <w:rFonts w:ascii="Arial;Helvetica;sans-serif" w:hAnsi="Arial;Helvetica;sans-serif"/>
          <w:sz w:val="22"/>
        </w:rPr>
        <w:t>Company’s regular payroll cycle, commencing with the first payroll date occurring on or after the 60th day following the Termination Date;</w:t>
      </w:r>
    </w:p>
    <w:p>
      <w:pPr>
        <w:pStyle w:val="TextBody"/>
        <w:spacing w:before="0" w:after="240"/>
        <w:ind w:left="0" w:right="0" w:firstLine="2160"/>
        <w:jc w:val="both"/>
        <w:rPr>
          <w:rFonts w:ascii="Arial;Helvetica;sans-serif" w:hAnsi="Arial;Helvetica;sans-serif"/>
          <w:sz w:val="20"/>
        </w:rPr>
      </w:pPr>
      <w:r>
        <w:rPr>
          <w:rFonts w:ascii="Arial;Helvetica;sans-serif" w:hAnsi="Arial;Helvetica;sans-serif"/>
          <w:sz w:val="22"/>
        </w:rPr>
        <w:t>(b)payment by Company of the premiums required to continue Executive’s group health care coverage under the applicable provisions of the Consolidated Omnibus Budget Reconciliation Act of 1985 (“</w:t>
      </w:r>
      <w:r>
        <w:rPr>
          <w:rFonts w:ascii="Arial;Helvetica;sans-serif" w:hAnsi="Arial;Helvetica;sans-serif"/>
          <w:sz w:val="22"/>
          <w:u w:val="single"/>
        </w:rPr>
        <w:t>COBRA</w:t>
      </w:r>
      <w:r>
        <w:rPr>
          <w:rFonts w:ascii="Arial;Helvetica;sans-serif" w:hAnsi="Arial;Helvetica;sans-serif"/>
          <w:sz w:val="20"/>
        </w:rPr>
        <w:t>”</w:t>
      </w:r>
      <w:r>
        <w:rPr>
          <w:rFonts w:ascii="Arial;Helvetica;sans-serif" w:hAnsi="Arial;Helvetica;sans-serif"/>
          <w:sz w:val="22"/>
        </w:rPr>
        <w:t>) for a period (the “</w:t>
      </w:r>
      <w:r>
        <w:rPr>
          <w:rFonts w:ascii="Arial;Helvetica;sans-serif" w:hAnsi="Arial;Helvetica;sans-serif"/>
          <w:sz w:val="22"/>
          <w:u w:val="single"/>
        </w:rPr>
        <w:t>COBRA Payment Period</w:t>
      </w:r>
      <w:r>
        <w:rPr>
          <w:rFonts w:ascii="Arial;Helvetica;sans-serif" w:hAnsi="Arial;Helvetica;sans-serif"/>
          <w:sz w:val="20"/>
        </w:rPr>
        <w:t>”</w:t>
      </w:r>
      <w:r>
        <w:rPr>
          <w:rFonts w:ascii="Arial;Helvetica;sans-serif" w:hAnsi="Arial;Helvetica;sans-serif"/>
          <w:sz w:val="22"/>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pStyle w:val="TextBody"/>
        <w:spacing w:before="0" w:after="240"/>
        <w:ind w:left="0" w:right="0" w:firstLine="2160"/>
        <w:jc w:val="both"/>
        <w:rPr>
          <w:rFonts w:ascii="Arial;Helvetica;sans-serif" w:hAnsi="Arial;Helvetica;sans-serif"/>
          <w:sz w:val="22"/>
        </w:rPr>
      </w:pPr>
      <w:r>
        <w:rPr>
          <w:rFonts w:ascii="Arial;Helvetica;sans-serif" w:hAnsi="Arial;Helvetica;sans-serif"/>
          <w:sz w:val="22"/>
        </w:rPr>
        <w:t>(c)acceleration of the vesting of any outstanding time-based Equity Awards to the extent that such Equity Awards would have vested in accordance with their terms had Executive’s employment with Company continued uninterrupted until the first anniversary of the Termination Date.</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2"/>
        </w:rPr>
        <w:t>Notwithstanding Section 7.2(b), if Company determines, in its sole discretion, that the payment of the COBRA premiums would result in a violation of the nondiscrimination rules of Section 105(h)(2) of the Internal Revenue Code of 1986, as amended (the “</w:t>
      </w:r>
      <w:r>
        <w:rPr>
          <w:rFonts w:ascii="Arial;Helvetica;sans-serif" w:hAnsi="Arial;Helvetica;sans-serif"/>
          <w:sz w:val="22"/>
          <w:u w:val="single"/>
        </w:rPr>
        <w:t>Code</w:t>
      </w:r>
      <w:r>
        <w:rPr>
          <w:rFonts w:ascii="Arial;Helvetica;sans-serif" w:hAnsi="Arial;Helvetica;sans-serif"/>
          <w:sz w:val="20"/>
        </w:rPr>
        <w:t>”</w:t>
      </w:r>
      <w:r>
        <w:rPr>
          <w:rFonts w:ascii="Arial;Helvetica;sans-serif" w:hAnsi="Arial;Helvetica;sans-serif"/>
          <w:sz w:val="22"/>
        </w:rPr>
        <w:t>), or any statute or regulation of similar effect (including but not limited to the 2010 Patient Protection and Affordable Care Act, as amended by the 2010 Health Care and Education Reconciliation Act), then in lieu of providing the COBRA premiums, Company, in its sole discretion, may elect to instead pay Executive on the first day of each month of the COBRA Payment Period, a fully taxable cash payment equal to the COBRA premiums for that month, subject to applicable tax withholdings (such amount, the “</w:t>
      </w:r>
      <w:r>
        <w:rPr>
          <w:rFonts w:ascii="Arial;Helvetica;sans-serif" w:hAnsi="Arial;Helvetica;sans-serif"/>
          <w:sz w:val="22"/>
          <w:u w:val="single"/>
        </w:rPr>
        <w:t>Special Severance Payment</w:t>
      </w:r>
      <w:r>
        <w:rPr>
          <w:rFonts w:ascii="Arial;Helvetica;sans-serif" w:hAnsi="Arial;Helvetica;sans-serif"/>
          <w:sz w:val="22"/>
        </w:rPr>
        <w:t>,” which shall be treated as part of the Severance Package), for the remainder of the COBRA Payment Period. Executive may, but is not obligated to, use such Special Severance Payment toward the cost of COBRA premiums. All other Company obligations to Executive will be automatically terminated and completely extinguished, but will be subject to the surviving provisions of this Agreement set forth in Section 14.8.</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7.3</w:t>
      </w:r>
      <w:r>
        <w:rPr>
          <w:rFonts w:ascii="Arial;Helvetica;sans-serif" w:hAnsi="Arial;Helvetica;sans-serif"/>
          <w:color w:val="1F1F1F"/>
          <w:sz w:val="22"/>
          <w:u w:val="single"/>
        </w:rPr>
        <w:t>Voluntary Resignation by Executive for Good Reason</w:t>
      </w:r>
      <w:r>
        <w:rPr>
          <w:rFonts w:ascii="Arial;Helvetica;sans-serif" w:hAnsi="Arial;Helvetica;sans-serif"/>
          <w:color w:val="1F1F1F"/>
          <w:sz w:val="22"/>
        </w:rPr>
        <w:t>. Executive may voluntarily resign Executive's position with Company for Good Reason at any time on thirty (30) days' advance written notice to Company.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Company obligations to Executive pursuant to this Agreement will be automatically terminated and completely extinguished, but will be subject to the surviving provisions of this Agreement set forth in Section 14.8. Executive will be deemed to have resigned for Good Reason if Executive voluntarily terminates Executive's employment with Company within ninety (90) days following the first occurrence of a condition constituting Good Reason. “</w:t>
      </w:r>
      <w:r>
        <w:rPr>
          <w:rFonts w:ascii="Arial;Helvetica;sans-serif" w:hAnsi="Arial;Helvetica;sans-serif"/>
          <w:color w:val="1F1F1F"/>
          <w:sz w:val="22"/>
          <w:u w:val="single"/>
        </w:rPr>
        <w:t>Good Reason</w:t>
      </w:r>
      <w:r>
        <w:rPr>
          <w:rFonts w:ascii="Arial;Helvetica;sans-serif" w:hAnsi="Arial;Helvetica;sans-serif"/>
          <w:color w:val="1F1F1F"/>
          <w:sz w:val="20"/>
        </w:rPr>
        <w:t xml:space="preserve">” </w:t>
      </w:r>
      <w:r>
        <w:rPr>
          <w:rFonts w:ascii="Arial;Helvetica;sans-serif" w:hAnsi="Arial;Helvetica;sans-serif"/>
          <w:color w:val="1F1F1F"/>
          <w:sz w:val="22"/>
        </w:rPr>
        <w:t>means the occurrence of any of the following conditions without Executive's written consent, which condition(s) remain(s) in effect thirty (30) days after Executive provides written notice to Company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Company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Company of Executive's intent to</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color w:val="1F1F1F"/>
          <w:sz w:val="22"/>
        </w:rPr>
      </w:pPr>
      <w:r>
        <w:rPr>
          <w:rFonts w:ascii="Arial;Helvetica;sans-serif" w:hAnsi="Arial;Helvetica;sans-serif"/>
          <w:color w:val="1F1F1F"/>
          <w:sz w:val="22"/>
        </w:rPr>
        <w:t>exercise Executive's rights pursuant to this Section within thirty (30) days following the first occurrence of such condition(s).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7.4</w:t>
      </w:r>
      <w:r>
        <w:rPr>
          <w:rFonts w:ascii="Arial;Helvetica;sans-serif" w:hAnsi="Arial;Helvetica;sans-serif"/>
          <w:color w:val="1F1F1F"/>
          <w:sz w:val="22"/>
          <w:u w:val="single"/>
        </w:rPr>
        <w:t>Voluntary Resignation by Executive Without Good Reason</w:t>
      </w:r>
      <w:r>
        <w:rPr>
          <w:rFonts w:ascii="Arial;Helvetica;sans-serif" w:hAnsi="Arial;Helvetica;sans-serif"/>
          <w:color w:val="1F1F1F"/>
          <w:sz w:val="22"/>
        </w:rPr>
        <w:t>. Executive may voluntarily resign Executive's position with Company without Good Reason at any time on thirty (30) days' advance written notice to Company.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14.8.</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7.5</w:t>
      </w:r>
      <w:r>
        <w:rPr>
          <w:rFonts w:ascii="Arial;Helvetica;sans-serif" w:hAnsi="Arial;Helvetica;sans-serif"/>
          <w:color w:val="1F1F1F"/>
          <w:sz w:val="22"/>
          <w:u w:val="single"/>
        </w:rPr>
        <w:t>Termination After a Change in Control</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(a)</w:t>
      </w:r>
      <w:r>
        <w:rPr>
          <w:rFonts w:ascii="Arial;Helvetica;sans-serif" w:hAnsi="Arial;Helvetica;sans-serif"/>
          <w:color w:val="1F1F1F"/>
          <w:sz w:val="22"/>
          <w:u w:val="single"/>
        </w:rPr>
        <w:t>Severance Payment; Equity Award Acceleration.</w:t>
      </w:r>
      <w:r>
        <w:rPr>
          <w:rFonts w:ascii="Arial;Helvetica;sans-serif" w:hAnsi="Arial;Helvetica;sans-serif"/>
          <w:color w:val="1F1F1F"/>
          <w:sz w:val="20"/>
        </w:rPr>
        <w:t xml:space="preserve"> </w:t>
      </w:r>
      <w:r>
        <w:rPr>
          <w:rFonts w:ascii="Arial;Helvetica;sans-serif" w:hAnsi="Arial;Helvetica;sans-serif"/>
          <w:color w:val="1F1F1F"/>
          <w:sz w:val="22"/>
        </w:rPr>
        <w:t>If, upon or within twelve (12) months after a Change in Control (as that term is defined below), Executive’s employment is terminated by Company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Company shall vest in full as of the Termination Date. All other Company or Company obligations to Executive pursuant to this Agreement will be automatically terminated and completely extinguished as of the Termination Date, but will be subject to the surviving provisions of this Agreement set forth in Section 14.8.</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(b)</w:t>
      </w:r>
      <w:r>
        <w:rPr>
          <w:rFonts w:ascii="Arial;Helvetica;sans-serif" w:hAnsi="Arial;Helvetica;sans-serif"/>
          <w:color w:val="1F1F1F"/>
          <w:sz w:val="22"/>
          <w:u w:val="single"/>
        </w:rPr>
        <w:t>Parachute Payments</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w:t>
      </w:r>
      <w:r>
        <w:rPr>
          <w:rFonts w:ascii="Arial;Helvetica;sans-serif" w:hAnsi="Arial;Helvetica;sans-serif"/>
          <w:color w:val="1F1F1F"/>
          <w:sz w:val="22"/>
        </w:rPr>
        <w:t>Notwithstanding any provision of this Agreement to the contrary, if any payment or benefit Executive would receive pursuant to this Agreement or otherwise (collectively, the “</w:t>
      </w:r>
      <w:r>
        <w:rPr>
          <w:rFonts w:ascii="Arial;Helvetica;sans-serif" w:hAnsi="Arial;Helvetica;sans-serif"/>
          <w:color w:val="1F1F1F"/>
          <w:sz w:val="22"/>
          <w:u w:val="single"/>
        </w:rPr>
        <w:t>Payments”</w:t>
      </w:r>
      <w:r>
        <w:rPr>
          <w:rFonts w:ascii="Arial;Helvetica;sans-serif" w:hAnsi="Arial;Helvetica;sans-serif"/>
          <w:color w:val="1F1F1F"/>
          <w:sz w:val="22"/>
        </w:rPr>
        <w:t>) would constitute a “parachute payment” within the meaning of Section 280G of the Code, and, but for this sentence, would be subject to the excise tax imposed by Section 4999 of the Code or any similar or successor provision (the “</w:t>
      </w:r>
      <w:r>
        <w:rPr>
          <w:rFonts w:ascii="Arial;Helvetica;sans-serif" w:hAnsi="Arial;Helvetica;sans-serif"/>
          <w:color w:val="1F1F1F"/>
          <w:sz w:val="22"/>
          <w:u w:val="single"/>
        </w:rPr>
        <w:t>Excise Tax</w:t>
      </w:r>
      <w:r>
        <w:rPr>
          <w:rFonts w:ascii="Arial;Helvetica;sans-serif" w:hAnsi="Arial;Helvetica;sans-serif"/>
          <w:color w:val="1F1F1F"/>
          <w:sz w:val="20"/>
        </w:rPr>
        <w:t>”</w:t>
      </w:r>
      <w:r>
        <w:rPr>
          <w:rFonts w:ascii="Arial;Helvetica;sans-serif" w:hAnsi="Arial;Helvetica;sans-serif"/>
          <w:color w:val="1F1F1F"/>
          <w:sz w:val="22"/>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rPr/>
      </w:pPr>
      <w:r>
        <w:rPr/>
      </w:r>
    </w:p>
    <w:p>
      <w:pPr>
        <w:pStyle w:val="TextBody"/>
        <w:spacing w:before="0" w:after="0"/>
        <w:ind w:left="0" w:right="0" w:hanging="0"/>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w:t>
      </w:r>
      <w:r>
        <w:rPr>
          <w:rFonts w:ascii="Arial;Helvetica;sans-serif" w:hAnsi="Arial;Helvetica;sans-serif"/>
          <w:color w:val="1F1F1F"/>
          <w:sz w:val="22"/>
        </w:rPr>
        <w:t>The professional firm engaged by Company for general tax purposes as of the day prior to the date of the event that might reasonably be anticipated to result in Payments that would otherwise be subject to the Excise Tax will perform the foregoing calculations. If the tax firm so engaged by Company is serving as accountant or auditor for the acquiring company, Company will appoint a nationally recognized tax firm to make the determinations required by this Section. Company will bear all expenses with respect to the determinations by the tax firm required to be made by this Section. Company and Executive shall furnish the tax firm such information and documents as the tax firm may reasonably request in order to make its required determination. The tax firm will provide its calculations, together with detailed supporting documentation, to Company and Executive as soon as practicable following its engagement. Any good faith determinations of the tax firm made hereunder will be final, binding and conclusive upon Company, Company and Executive.</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(c)</w:t>
      </w:r>
      <w:r>
        <w:rPr>
          <w:rFonts w:ascii="Arial;Helvetica;sans-serif" w:hAnsi="Arial;Helvetica;sans-serif"/>
          <w:color w:val="1F1F1F"/>
          <w:sz w:val="22"/>
          <w:u w:val="single"/>
        </w:rPr>
        <w:t>Change in Control</w:t>
      </w:r>
      <w:r>
        <w:rPr>
          <w:rFonts w:ascii="Arial;Helvetica;sans-serif" w:hAnsi="Arial;Helvetica;sans-serif"/>
          <w:color w:val="1F1F1F"/>
          <w:sz w:val="22"/>
        </w:rPr>
        <w:t>. A Change in Control is defined as any one of the following occurrences:</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w:t>
      </w:r>
      <w:r>
        <w:rPr>
          <w:rFonts w:ascii="Arial;Helvetica;sans-serif" w:hAnsi="Arial;Helvetica;sans-serif"/>
          <w:color w:val="1F1F1F"/>
          <w:sz w:val="22"/>
        </w:rPr>
        <w:t>Any “person” (as such term is used in Sections 13(d) and 14(d) of the Securities Exchange Act of 1934 (the “</w:t>
      </w:r>
      <w:r>
        <w:rPr>
          <w:rFonts w:ascii="Arial;Helvetica;sans-serif" w:hAnsi="Arial;Helvetica;sans-serif"/>
          <w:color w:val="1F1F1F"/>
          <w:sz w:val="22"/>
          <w:u w:val="single"/>
        </w:rPr>
        <w:t>Exchange Act</w:t>
      </w:r>
      <w:r>
        <w:rPr>
          <w:rFonts w:ascii="Arial;Helvetica;sans-serif" w:hAnsi="Arial;Helvetica;sans-serif"/>
          <w:color w:val="1F1F1F"/>
          <w:sz w:val="20"/>
        </w:rPr>
        <w:t>”</w:t>
      </w:r>
      <w:r>
        <w:rPr>
          <w:rFonts w:ascii="Arial;Helvetica;sans-serif" w:hAnsi="Arial;Helvetica;sans-serif"/>
          <w:color w:val="1F1F1F"/>
          <w:sz w:val="22"/>
        </w:rPr>
        <w:t>)), becomes the “beneficial owner” (as such term is defined in Rule 13d-3 promulgated under the Exchange Act), directly or indirectly, of securities of Company representing more than fifty percent (50%) of the total fair market value or total combined voting power of Company’s then 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Company, including, without limitation, pursuant to or in connection with a public offering of securities, (C) any acquisition of securities by Company, (D) any acquisition of securities by a trustee or other fiduciary under an employee benefit plan of Company, or (E) any acquisition of securities by an entity owned directly or indirectly by the stockholders of Company in substantially the same proportions as their ownership of the voting securities of Company; or</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w:t>
      </w:r>
      <w:r>
        <w:rPr>
          <w:rFonts w:ascii="Arial;Helvetica;sans-serif" w:hAnsi="Arial;Helvetica;sans-serif"/>
          <w:color w:val="1F1F1F"/>
          <w:sz w:val="22"/>
        </w:rPr>
        <w:t>the sale or disposition of all or substantially all of Company's assets (other than a sale or disposition to one or more subsidiaries of Company), or any transaction having similar effect is consummated; or</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(iii)</w:t>
      </w:r>
      <w:r>
        <w:rPr>
          <w:rFonts w:ascii="Arial;Helvetica;sans-serif" w:hAnsi="Arial;Helvetica;sans-serif"/>
          <w:color w:val="1F1F1F"/>
          <w:sz w:val="22"/>
        </w:rPr>
        <w:t>Company is party to a merger or consolidation that results in the holders of voting securities of Company outstanding immediately prior thereto failing to continue to represent (either by remaining outstanding or by being converted into voting securities of the surviving entity) more than 50% of the combined voting power of the voting securities of Company or such surviving entity outstanding immediately after such merger or consolidation; or</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(iv)</w:t>
      </w:r>
      <w:r>
        <w:rPr>
          <w:rFonts w:ascii="Arial;Helvetica;sans-serif" w:hAnsi="Arial;Helvetica;sans-serif"/>
          <w:color w:val="1F1F1F"/>
          <w:sz w:val="22"/>
        </w:rPr>
        <w:t>the dissolution or liquidation of 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7.6</w:t>
      </w:r>
      <w:r>
        <w:rPr>
          <w:rFonts w:ascii="Arial;Helvetica;sans-serif" w:hAnsi="Arial;Helvetica;sans-serif"/>
          <w:color w:val="1F1F1F"/>
          <w:sz w:val="22"/>
          <w:u w:val="single"/>
        </w:rPr>
        <w:t>Termination of Employment Upon Nonrenewal.</w:t>
      </w:r>
      <w:r>
        <w:rPr>
          <w:rFonts w:ascii="Arial;Helvetica;sans-serif" w:hAnsi="Arial;Helvetica;sans-serif"/>
          <w:color w:val="1F1F1F"/>
          <w:sz w:val="20"/>
        </w:rPr>
        <w:t xml:space="preserve"> </w:t>
      </w:r>
      <w:r>
        <w:rPr>
          <w:rFonts w:ascii="Arial;Helvetica;sans-serif" w:hAnsi="Arial;Helvetica;sans-serif"/>
          <w:color w:val="1F1F1F"/>
          <w:sz w:val="22"/>
        </w:rPr>
        <w:t>In the event either party decides not to renew this Agreement for a subsequent term in accordance with Section 3.2, this Agreement will expire automatically upon completion of the then effective Term, and Executive’s employment with Company will thereupon terminate. Executive will be entitled to receive only Executive's Base Salary then in effect, prorated to the Termination Date, and all amounts and benefits earned or incurred pursuant to Sections 5 and 6 through the Termination Date. All other Company obligations to Executive pursuant to this Agreement will be automatically terminated and completely extinguished. Executive will not be entitled to receive the Severance Package</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color w:val="1F1F1F"/>
          <w:sz w:val="22"/>
        </w:rPr>
      </w:pPr>
      <w:r>
        <w:rPr>
          <w:rFonts w:ascii="Arial;Helvetica;sans-serif" w:hAnsi="Arial;Helvetica;sans-serif"/>
          <w:color w:val="1F1F1F"/>
          <w:sz w:val="22"/>
        </w:rPr>
        <w:t>described in Section 7.2, but will be subject to the surviving provisions of this Agreement as set forth in Section 14.8.</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7.7</w:t>
      </w:r>
      <w:r>
        <w:rPr>
          <w:rFonts w:ascii="Arial;Helvetica;sans-serif" w:hAnsi="Arial;Helvetica;sans-serif"/>
          <w:color w:val="1F1F1F"/>
          <w:sz w:val="22"/>
          <w:u w:val="single"/>
        </w:rPr>
        <w:t>Conditions to Severance Package</w:t>
      </w:r>
      <w:r>
        <w:rPr>
          <w:rFonts w:ascii="Arial;Helvetica;sans-serif" w:hAnsi="Arial;Helvetica;sans-serif"/>
          <w:color w:val="1F1F1F"/>
          <w:sz w:val="22"/>
        </w:rPr>
        <w:t>. Executive will only be entitled to receive the Severance Package if, on or before the 60th day following the Termination Date, Executive executes a full general release, releasing all claims, known or unknown, that Executive may have against Company and its officers, directors, employees and affiliated companies arising out of or any way related to Executive's employment or termination of employment with Company,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Company Employees”), Company shall have the right to (a) terminate further provision of any portion of the Severance Package not yet paid or provided, and (b) seek reimbursement from Executive for any and all portions of the Severance Package previously paid or provided to Executive.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7.8</w:t>
      </w:r>
      <w:r>
        <w:rPr>
          <w:rFonts w:ascii="Arial;Helvetica;sans-serif" w:hAnsi="Arial;Helvetica;sans-serif"/>
          <w:color w:val="1F1F1F"/>
          <w:sz w:val="22"/>
          <w:u w:val="single"/>
        </w:rPr>
        <w:t>Resignation of Board or Other Positions</w:t>
      </w:r>
      <w:r>
        <w:rPr>
          <w:rFonts w:ascii="Arial;Helvetica;sans-serif" w:hAnsi="Arial;Helvetica;sans-serif"/>
          <w:color w:val="1F1F1F"/>
          <w:sz w:val="22"/>
        </w:rPr>
        <w:t>. Executive agrees that should Executive's employment terminate for any reason, Executive will immediately resign all other positions (including board membership) Executive may hold on behalf of 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7.9</w:t>
      </w:r>
      <w:r>
        <w:rPr>
          <w:rFonts w:ascii="Arial;Helvetica;sans-serif" w:hAnsi="Arial;Helvetica;sans-serif"/>
          <w:color w:val="1F1F1F"/>
          <w:sz w:val="22"/>
          <w:u w:val="single"/>
        </w:rPr>
        <w:t>Application of Section 409A</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(a)Notwithstanding anything set forth in this Agreement to the contrary, no amount payable pursuant to this Agreement on account of Executive's termination of employment with Company which constitutes a “deferral of compensation” within the meaning of the Treasury Regulations issued pursuant to Section 409A of the Code (the “</w:t>
      </w:r>
      <w:r>
        <w:rPr>
          <w:rFonts w:ascii="Arial;Helvetica;sans-serif" w:hAnsi="Arial;Helvetica;sans-serif"/>
          <w:color w:val="1F1F1F"/>
          <w:sz w:val="22"/>
          <w:u w:val="single"/>
        </w:rPr>
        <w:t>Section 409A Regulations”</w:t>
      </w:r>
      <w:r>
        <w:rPr>
          <w:rFonts w:ascii="Arial;Helvetica;sans-serif" w:hAnsi="Arial;Helvetica;sans-serif"/>
          <w:color w:val="1F1F1F"/>
          <w:sz w:val="22"/>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Helvetica;sans-serif" w:hAnsi="Arial;Helvetica;sans-serif"/>
          <w:color w:val="1F1F1F"/>
          <w:sz w:val="22"/>
          <w:u w:val="single"/>
        </w:rPr>
        <w:t>Delayed Payment Date</w:t>
      </w:r>
      <w:r>
        <w:rPr>
          <w:rFonts w:ascii="Arial;Helvetica;sans-serif" w:hAnsi="Arial;Helvetica;sans-serif"/>
          <w:color w:val="1F1F1F"/>
          <w:sz w:val="20"/>
        </w:rPr>
        <w:t>”</w:t>
      </w:r>
      <w:r>
        <w:rPr>
          <w:rFonts w:ascii="Arial;Helvetica;sans-serif" w:hAnsi="Arial;Helvetica;sans-serif"/>
          <w:color w:val="1F1F1F"/>
          <w:sz w:val="22"/>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pStyle w:val="TextBody"/>
        <w:spacing w:before="0" w:after="0"/>
        <w:ind w:left="216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(b)</w:t>
      </w:r>
      <w:r>
        <w:rPr>
          <w:rFonts w:ascii="Arial;Helvetica;sans-serif" w:hAnsi="Arial;Helvetica;sans-serif"/>
          <w:sz w:val="22"/>
        </w:rPr>
        <w:t>It is the intent of Company and Executive that any right of Executive to receive installment payments hereunder shall, for all purposes of Section 409A of the Code, be treated as a right to a series of separate payments.</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(c)</w:t>
      </w:r>
      <w:r>
        <w:rPr>
          <w:rFonts w:ascii="Arial;Helvetica;sans-serif" w:hAnsi="Arial;Helvetica;sans-serif"/>
          <w:sz w:val="22"/>
        </w:rPr>
        <w:t xml:space="preserve">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Helvetica;sans-serif" w:hAnsi="Arial;Helvetica;sans-serif"/>
          <w:b/>
          <w:sz w:val="22"/>
        </w:rPr>
        <w:t>However, Company does not guarantee any particular tax effect for income provided to Executive pursuant to this Agreement.</w:t>
      </w:r>
      <w:r>
        <w:rPr>
          <w:rFonts w:ascii="Arial;Helvetica;sans-serif" w:hAnsi="Arial;Helvetica;sans-serif"/>
          <w:sz w:val="20"/>
        </w:rPr>
        <w:t xml:space="preserve"> </w:t>
      </w:r>
      <w:r>
        <w:rPr>
          <w:rFonts w:ascii="Arial;Helvetica;sans-serif" w:hAnsi="Arial;Helvetica;sans-serif"/>
          <w:sz w:val="22"/>
        </w:rPr>
        <w:t>In any event, except for Company's responsibility to withhold applicable income and employment taxes from compensation paid or provided to Executive, Company shall not be responsible for the payment of any applicable taxes incurred by Executive on compensation paid or provided to Executive pursuant to this Agreement.</w:t>
      </w:r>
    </w:p>
    <w:p>
      <w:pPr>
        <w:pStyle w:val="TextBody"/>
        <w:spacing w:before="0" w:after="0"/>
        <w:ind w:left="0" w:right="0" w:firstLine="8"/>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HorizontalLine"/>
        <w:rPr/>
      </w:pPr>
      <w:r>
        <w:rPr/>
      </w:r>
    </w:p>
    <w:p>
      <w:pPr>
        <w:pStyle w:val="TextBody"/>
        <w:spacing w:before="0" w:after="0"/>
        <w:ind w:left="0" w:right="0" w:hanging="0"/>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8.</w:t>
      </w:r>
      <w:r>
        <w:rPr>
          <w:rFonts w:ascii="Arial;Helvetica;sans-serif" w:hAnsi="Arial;Helvetica;sans-serif"/>
          <w:sz w:val="22"/>
          <w:u w:val="single"/>
        </w:rPr>
        <w:t>No Violation of Rights of Third Parties.</w:t>
      </w:r>
      <w:r>
        <w:rPr>
          <w:rFonts w:ascii="Arial;Helvetica;sans-serif" w:hAnsi="Arial;Helvetica;sans-serif"/>
          <w:sz w:val="20"/>
        </w:rPr>
        <w:t xml:space="preserve"> </w:t>
      </w:r>
      <w:r>
        <w:rPr>
          <w:rFonts w:ascii="Arial;Helvetica;sans-serif" w:hAnsi="Arial;Helvetica;sans-serif"/>
          <w:sz w:val="22"/>
        </w:rPr>
        <w:t>Executive represents and warrants to Company that Executive is not currently a party, and will not become a party, to any other agreement that is in conflict with, or will prevent Executive from complying with, this Agreement. Executive further represents and warrants to Company that Executive's performance of all of the terms of this Agreement as an employee of Company does not and will not breach any agreement to keep in confidence any proprietary information, knowledge, or data acquired by Executive in confidence or trust prior to Executive’s employment with Company. Executive acknowledges and agrees that the representations and warranties in this Section 8 are a material part of this Agreement.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w:t>
      </w:r>
      <w:r>
        <w:rPr>
          <w:rFonts w:ascii="Arial;Helvetica;sans-serif" w:hAnsi="Arial;Helvetica;sans-serif"/>
          <w:sz w:val="22"/>
          <w:u w:val="single"/>
        </w:rPr>
        <w:t>Other Covenants.</w:t>
      </w:r>
      <w:r>
        <w:rPr>
          <w:rFonts w:ascii="Arial;Helvetica;sans-serif" w:hAnsi="Arial;Helvetica;sans-serif"/>
          <w:sz w:val="20"/>
        </w:rPr>
        <w:t xml:space="preserve"> </w:t>
      </w:r>
      <w:r>
        <w:rPr>
          <w:rFonts w:ascii="Arial;Helvetica;sans-serif" w:hAnsi="Arial;Helvetica;sans-serif"/>
          <w:sz w:val="22"/>
        </w:rPr>
        <w:t>Executive hereby makes the following covenants, each of which Executive acknowledges and agrees are a material part of this Agreement:</w:t>
      </w:r>
    </w:p>
    <w:p>
      <w:pPr>
        <w:pStyle w:val="TextBody"/>
        <w:spacing w:before="0" w:after="0"/>
        <w:ind w:left="0" w:right="0" w:firstLine="8"/>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9.1</w:t>
      </w:r>
      <w:r>
        <w:rPr>
          <w:rFonts w:ascii="Arial;Helvetica;sans-serif" w:hAnsi="Arial;Helvetica;sans-serif"/>
          <w:sz w:val="22"/>
        </w:rPr>
        <w:t>During the Term, Executive will not (a) breach any agreement to keep in confidence any confidential or proprietary information, knowledge or data acquired by Executive prior to Executive’s employment with Company, or (b) disclose to Company, or use or induce Company to use, any confidential or proprietary information or material belonging to any previous employer or any other third party. Executive acknowledges that Company has specifically instructed Executive not to breach any such agreement or make any such disclosure to 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9.2</w:t>
      </w:r>
      <w:r>
        <w:rPr>
          <w:rFonts w:ascii="Arial;Helvetica;sans-serif" w:hAnsi="Arial;Helvetica;sans-serif"/>
          <w:sz w:val="22"/>
        </w:rPr>
        <w:t>During the Term, Executive will not engage in any work or activity, paid or unpaid, that creates an actual conflict of interest with Company. Such work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as may be determined by Company in their sole discretion. If Company believes such a conflict exists during the Term, Company may ask Executive to choose to discontinue the other work or activity or resign employment with 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9.3</w:t>
      </w:r>
      <w:r>
        <w:rPr>
          <w:rFonts w:ascii="Arial;Helvetica;sans-serif" w:hAnsi="Arial;Helvetica;sans-serif"/>
          <w:sz w:val="22"/>
        </w:rPr>
        <w:t>During the Term and after the termination thereof, neither Executive nor Company will disparage each other, or Company's products, services, agents or employees.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9.4</w:t>
      </w:r>
      <w:r>
        <w:rPr>
          <w:rFonts w:ascii="Arial;Helvetica;sans-serif" w:hAnsi="Arial;Helvetica;sans-serif"/>
          <w:sz w:val="22"/>
        </w:rPr>
        <w:t>During the Term and after the termination thereof, at Company's expense and upon its reasonable request, Executive will cooperate and assist Company in its defense or prosecution of any disputes, differences, grievances, claims, charges, or complaints between Company and any third party, which assistance will include testifying on Company's behalf in connection with any such matter or performing any other task reasonably requested by Company in connection therewith.</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10.</w:t>
      </w:r>
      <w:r>
        <w:rPr>
          <w:rFonts w:ascii="Arial;Helvetica;sans-serif" w:hAnsi="Arial;Helvetica;sans-serif"/>
          <w:sz w:val="22"/>
          <w:u w:val="single"/>
        </w:rPr>
        <w:t>Confidentiality and Proprietary Rights</w:t>
      </w:r>
      <w:r>
        <w:rPr>
          <w:rFonts w:ascii="Arial;Helvetica;sans-serif" w:hAnsi="Arial;Helvetica;sans-serif"/>
          <w:sz w:val="22"/>
        </w:rPr>
        <w:t>. Executive agrees to abide by the Nondisclosure Agreement, which is incorporated herein by reference.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11.</w:t>
      </w:r>
      <w:r>
        <w:rPr>
          <w:rFonts w:ascii="Arial;Helvetica;sans-serif" w:hAnsi="Arial;Helvetica;sans-serif"/>
          <w:sz w:val="22"/>
          <w:u w:val="single"/>
        </w:rPr>
        <w:t>Non-Competition; Nonsolicitation of Company' Employees.</w:t>
      </w:r>
      <w:r>
        <w:rPr>
          <w:rFonts w:ascii="Arial;Helvetica;sans-serif" w:hAnsi="Arial;Helvetica;sans-serif"/>
          <w:sz w:val="20"/>
        </w:rPr>
        <w:t xml:space="preserve"> </w:t>
      </w:r>
      <w:r>
        <w:rPr>
          <w:rFonts w:ascii="Arial;Helvetica;sans-serif" w:hAnsi="Arial;Helvetica;sans-serif"/>
          <w:sz w:val="22"/>
        </w:rPr>
        <w:t>Executive acknowledges that in the course of her employment with Company she will serve as a member of Company’s senior management and will become familiar with Company's trade secrets and with other confidential and proprietary information and that his services will be of special, unique and extraordinary value to Company. Executive further acknowledges that the business of Company is national in scope and that Company, in the course of such business compete with other companies located</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sz w:val="22"/>
        </w:rPr>
      </w:pPr>
      <w:r>
        <w:rPr>
          <w:rFonts w:ascii="Arial;Helvetica;sans-serif" w:hAnsi="Arial;Helvetica;sans-serif"/>
          <w:sz w:val="22"/>
        </w:rPr>
        <w:t>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any business that develops or administers educational services to degree-granting institutions of higher education, or (ii) any other business of Company in which Executive had significant involvement prior to Executive's separation; (b) induce or attempt to induce any employee of Company to leave the employ of Company, or in any way interfere with the relationship between Company and any employee thereof, or (c) induce or attempt to induce any customer, supplier, licensee or other business relation of Company to cease doing business with, or modify its business relationship with, Company, or in any way interfere with or hinder the relationship between any such customer, supplier, licensee or business relation and Company, as applicable.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12.</w:t>
      </w:r>
      <w:r>
        <w:rPr>
          <w:rFonts w:ascii="Arial;Helvetica;sans-serif" w:hAnsi="Arial;Helvetica;sans-serif"/>
          <w:sz w:val="22"/>
          <w:u w:val="single"/>
        </w:rPr>
        <w:t>Injunctive Relief</w:t>
      </w:r>
      <w:r>
        <w:rPr>
          <w:rFonts w:ascii="Arial;Helvetica;sans-serif" w:hAnsi="Arial;Helvetica;sans-serif"/>
          <w:sz w:val="22"/>
        </w:rPr>
        <w:t>. Executive acknowledges that Executive's breach of the covenants contained in Sections 9, 10 and 11 hereof (collectively “</w:t>
      </w:r>
      <w:r>
        <w:rPr>
          <w:rFonts w:ascii="Arial;Helvetica;sans-serif" w:hAnsi="Arial;Helvetica;sans-serif"/>
          <w:sz w:val="22"/>
          <w:u w:val="single"/>
        </w:rPr>
        <w:t>Covenants”</w:t>
      </w:r>
      <w:r>
        <w:rPr>
          <w:rFonts w:ascii="Arial;Helvetica;sans-serif" w:hAnsi="Arial;Helvetica;sans-serif"/>
          <w:sz w:val="22"/>
        </w:rPr>
        <w:t>) would cause irreparable injury to Company and agrees that in the event of any such breach, Company shall be entitled to seek temporary, preliminary and permanent injunctive relief without the necessity of proving actual damages or posting any bond or other security in addition to any other relief to which Company may be entitled and other remedies Company may exercise under this Agreement or otherwise.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13.</w:t>
      </w:r>
      <w:r>
        <w:rPr>
          <w:rFonts w:ascii="Arial;Helvetica;sans-serif" w:hAnsi="Arial;Helvetica;sans-serif"/>
          <w:sz w:val="22"/>
          <w:u w:val="single"/>
        </w:rPr>
        <w:t>Insurance; Indemnification</w:t>
      </w:r>
      <w:r>
        <w:rPr>
          <w:rFonts w:ascii="Arial;Helvetica;sans-serif" w:hAnsi="Arial;Helvetica;sans-serif"/>
          <w:sz w:val="22"/>
        </w:rPr>
        <w:t>.</w:t>
      </w:r>
    </w:p>
    <w:p>
      <w:pPr>
        <w:pStyle w:val="TextBody"/>
        <w:spacing w:before="0" w:after="0"/>
        <w:ind w:left="136" w:right="0" w:firstLine="1441"/>
        <w:jc w:val="both"/>
        <w:rPr/>
      </w:pPr>
      <w:r>
        <w:rPr/>
        <w:t>​</w:t>
      </w:r>
    </w:p>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0"/>
              <w:jc w:val="both"/>
              <w:rPr>
                <w:rFonts w:ascii="Arial;Helvetica;sans-serif" w:hAnsi="Arial;Helvetica;sans-serif"/>
                <w:color w:val="1F1F1F"/>
                <w:sz w:val="22"/>
              </w:rPr>
            </w:pPr>
            <w:r>
              <w:rPr>
                <w:rFonts w:ascii="Arial;Helvetica;sans-serif" w:hAnsi="Arial;Helvetica;sans-serif"/>
                <w:color w:val="1F1F1F"/>
                <w:sz w:val="22"/>
              </w:rPr>
              <w:t>13.1</w:t>
            </w:r>
          </w:p>
        </w:tc>
        <w:tc>
          <w:tcPr>
            <w:tcW w:w="9742" w:type="dxa"/>
            <w:tcBorders/>
            <w:shd w:fill="auto" w:val="clear"/>
            <w:vAlign w:val="center"/>
          </w:tcPr>
          <w:p>
            <w:pPr>
              <w:pStyle w:val="TableContents"/>
              <w:spacing w:before="0" w:after="0"/>
              <w:jc w:val="both"/>
              <w:rPr>
                <w:rFonts w:ascii="Arial;Helvetica;sans-serif" w:hAnsi="Arial;Helvetica;sans-serif"/>
                <w:sz w:val="22"/>
              </w:rPr>
            </w:pPr>
            <w:r>
              <w:rPr>
                <w:rFonts w:ascii="Arial;Helvetica;sans-serif" w:hAnsi="Arial;Helvetica;sans-serif"/>
                <w:sz w:val="22"/>
              </w:rPr>
              <w:t>During the Term, Executive will be covered by the Company’s director and officer insurance policy to the same extent as all other senior executive officers of the Company.</w:t>
            </w:r>
          </w:p>
        </w:tc>
      </w:tr>
    </w:tbl>
    <w:p>
      <w:pPr>
        <w:pStyle w:val="TextBody"/>
        <w:spacing w:before="0" w:after="0"/>
        <w:ind w:left="2160" w:right="0" w:hanging="0"/>
        <w:jc w:val="both"/>
        <w:rPr/>
      </w:pPr>
      <w:r>
        <w:rPr/>
        <w:t>​</w:t>
      </w:r>
    </w:p>
    <w:tbl>
      <w:tblPr>
        <w:tblW w:w="10205" w:type="dxa"/>
        <w:jc w:val="left"/>
        <w:tblInd w:w="0" w:type="dxa"/>
        <w:tblCellMar>
          <w:top w:w="0" w:type="dxa"/>
          <w:left w:w="0" w:type="dxa"/>
          <w:bottom w:w="0" w:type="dxa"/>
          <w:right w:w="0" w:type="dxa"/>
        </w:tblCellMar>
      </w:tblPr>
      <w:tblGrid>
        <w:gridCol w:w="23"/>
        <w:gridCol w:w="440"/>
        <w:gridCol w:w="9742"/>
      </w:tblGrid>
      <w:tr>
        <w:trPr/>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0"/>
              <w:jc w:val="both"/>
              <w:rPr>
                <w:rFonts w:ascii="Arial;Helvetica;sans-serif" w:hAnsi="Arial;Helvetica;sans-serif"/>
                <w:color w:val="1F1F1F"/>
                <w:sz w:val="22"/>
              </w:rPr>
            </w:pPr>
            <w:r>
              <w:rPr>
                <w:rFonts w:ascii="Arial;Helvetica;sans-serif" w:hAnsi="Arial;Helvetica;sans-serif"/>
                <w:color w:val="1F1F1F"/>
                <w:sz w:val="22"/>
              </w:rPr>
              <w:t>13.2</w:t>
            </w:r>
          </w:p>
        </w:tc>
        <w:tc>
          <w:tcPr>
            <w:tcW w:w="9742" w:type="dxa"/>
            <w:tcBorders/>
            <w:shd w:fill="auto" w:val="clear"/>
            <w:vAlign w:val="center"/>
          </w:tcPr>
          <w:p>
            <w:pPr>
              <w:pStyle w:val="TableContents"/>
              <w:spacing w:before="0" w:after="0"/>
              <w:jc w:val="both"/>
              <w:rPr>
                <w:rFonts w:ascii="Arial;Helvetica;sans-serif" w:hAnsi="Arial;Helvetica;sans-serif"/>
                <w:sz w:val="22"/>
              </w:rPr>
            </w:pPr>
            <w:r>
              <w:rPr>
                <w:rFonts w:ascii="Arial;Helvetica;sans-serif" w:hAnsi="Arial;Helvetica;sans-serif"/>
                <w:sz w:val="22"/>
              </w:rPr>
              <w:t>Following the execution of this Agreement, the director and officer indemnification agreement executed by the Company and Executive will continue in effect in accordance with its terms.</w:t>
            </w:r>
          </w:p>
        </w:tc>
      </w:tr>
    </w:tbl>
    <w:p>
      <w:pPr>
        <w:pStyle w:val="TextBody"/>
        <w:spacing w:before="0" w:after="0"/>
        <w:ind w:left="136" w:right="0" w:firstLine="1441"/>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w:t>
      </w:r>
      <w:r>
        <w:rPr>
          <w:rFonts w:ascii="Arial;Helvetica;sans-serif" w:hAnsi="Arial;Helvetica;sans-serif"/>
          <w:sz w:val="22"/>
          <w:u w:val="single"/>
        </w:rPr>
        <w:t>General Provisions.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14.1</w:t>
      </w:r>
      <w:r>
        <w:rPr>
          <w:rFonts w:ascii="Arial;Helvetica;sans-serif" w:hAnsi="Arial;Helvetica;sans-serif"/>
          <w:sz w:val="22"/>
          <w:u w:val="single"/>
        </w:rPr>
        <w:t>Successors and Assigns</w:t>
      </w:r>
      <w:r>
        <w:rPr>
          <w:rFonts w:ascii="Arial;Helvetica;sans-serif" w:hAnsi="Arial;Helvetica;sans-serif"/>
          <w:sz w:val="22"/>
        </w:rPr>
        <w:t>. The rights and obligations of Company under this Agreement shall inure to the benefit of and shall be binding upon the successors and assigns of Company. Executive shall not be entitled to assign any of Executive's rights or obligations under this Agreement.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14.2</w:t>
      </w:r>
      <w:r>
        <w:rPr>
          <w:rFonts w:ascii="Arial;Helvetica;sans-serif" w:hAnsi="Arial;Helvetica;sans-serif"/>
          <w:sz w:val="22"/>
          <w:u w:val="single"/>
        </w:rPr>
        <w:t>Waiver</w:t>
      </w:r>
      <w:r>
        <w:rPr>
          <w:rFonts w:ascii="Arial;Helvetica;sans-serif" w:hAnsi="Arial;Helvetica;sans-serif"/>
          <w:sz w:val="22"/>
        </w:rPr>
        <w:t>. Either party's failure to enforce any provision of this Agreement shall not in any way be construed as a waiver of any such provision, or prevent that party thereafter from enforcing each and every other provision of this Agreement.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14.3</w:t>
      </w:r>
      <w:r>
        <w:rPr>
          <w:rFonts w:ascii="Arial;Helvetica;sans-serif" w:hAnsi="Arial;Helvetica;sans-serif"/>
          <w:sz w:val="22"/>
          <w:u w:val="single"/>
        </w:rPr>
        <w:t>Attorneys’ Fees</w:t>
      </w:r>
      <w:r>
        <w:rPr>
          <w:rFonts w:ascii="Arial;Helvetica;sans-serif" w:hAnsi="Arial;Helvetica;sans-serif"/>
          <w:sz w:val="22"/>
        </w:rPr>
        <w:t>. In the event of a dispute involving the interpretation or enforcement of this Agreement, a court shall award attorneys' fees and costs to the prevailing party.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14.4</w:t>
      </w:r>
      <w:r>
        <w:rPr>
          <w:rFonts w:ascii="Arial;Helvetica;sans-serif" w:hAnsi="Arial;Helvetica;sans-serif"/>
          <w:sz w:val="22"/>
          <w:u w:val="single"/>
        </w:rPr>
        <w:t>Severability</w:t>
      </w:r>
      <w:r>
        <w:rPr>
          <w:rFonts w:ascii="Arial;Helvetica;sans-serif" w:hAnsi="Arial;Helvetica;sans-serif"/>
          <w:sz w:val="22"/>
        </w:rPr>
        <w:t>. In the event any provision of this Agreement is found to be unenforceable by a court of competent jurisdiction, such provision shall be deemed modified to</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sz w:val="22"/>
        </w:rPr>
      </w:pPr>
      <w:r>
        <w:rPr>
          <w:rFonts w:ascii="Arial;Helvetica;sans-serif" w:hAnsi="Arial;Helvetica;sans-serif"/>
          <w:sz w:val="22"/>
        </w:rPr>
        <w:t>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14.5</w:t>
      </w:r>
      <w:r>
        <w:rPr>
          <w:rFonts w:ascii="Arial;Helvetica;sans-serif" w:hAnsi="Arial;Helvetica;sans-serif"/>
          <w:sz w:val="22"/>
          <w:u w:val="single"/>
        </w:rPr>
        <w:t>Interpretation; Construction.</w:t>
      </w:r>
      <w:r>
        <w:rPr>
          <w:rFonts w:ascii="Arial;Helvetica;sans-serif" w:hAnsi="Arial;Helvetica;sans-serif"/>
          <w:sz w:val="20"/>
        </w:rPr>
        <w:t xml:space="preserve"> </w:t>
      </w:r>
      <w:r>
        <w:rPr>
          <w:rFonts w:ascii="Arial;Helvetica;sans-serif" w:hAnsi="Arial;Helvetica;sans-serif"/>
          <w:sz w:val="22"/>
        </w:rPr>
        <w:t>The headings set forth in this Agreement are for convenience only and shall not be used in interpreting this Agreement. This Agreement has been drafted by legal counsel representing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14.6</w:t>
      </w:r>
      <w:r>
        <w:rPr>
          <w:rFonts w:ascii="Arial;Helvetica;sans-serif" w:hAnsi="Arial;Helvetica;sans-serif"/>
          <w:sz w:val="22"/>
          <w:u w:val="single"/>
        </w:rPr>
        <w:t>Governing Law; Forum</w:t>
      </w:r>
      <w:r>
        <w:rPr>
          <w:rFonts w:ascii="Arial;Helvetica;sans-serif" w:hAnsi="Arial;Helvetica;sans-serif"/>
          <w:sz w:val="22"/>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14.7</w:t>
      </w:r>
      <w:r>
        <w:rPr>
          <w:rFonts w:ascii="Arial;Helvetica;sans-serif" w:hAnsi="Arial;Helvetica;sans-serif"/>
          <w:sz w:val="22"/>
          <w:u w:val="single"/>
        </w:rPr>
        <w:t>Notices</w:t>
      </w:r>
      <w:r>
        <w:rPr>
          <w:rFonts w:ascii="Arial;Helvetica;sans-serif" w:hAnsi="Arial;Helvetica;sans-serif"/>
          <w:sz w:val="22"/>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14.8</w:t>
      </w:r>
      <w:r>
        <w:rPr>
          <w:rFonts w:ascii="Arial;Helvetica;sans-serif" w:hAnsi="Arial;Helvetica;sans-serif"/>
          <w:sz w:val="22"/>
          <w:u w:val="single"/>
        </w:rPr>
        <w:t>Survival</w:t>
      </w:r>
      <w:r>
        <w:rPr>
          <w:rFonts w:ascii="Arial;Helvetica;sans-serif" w:hAnsi="Arial;Helvetica;sans-serif"/>
          <w:sz w:val="22"/>
        </w:rPr>
        <w:t>. Sections 9 (“Other Covenants”), 10 ("Confidentiality and Proprietary Rights”), 11 (“Non-Competition; Nonsolicitation of Company' Employees”), 12 (“Injunctive Relief”), 14 (“General Provisions”) and 15 (“Entire Agreement”) of this Agreement shall survive termination of Executive’s employment with Company.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15.</w:t>
      </w:r>
      <w:r>
        <w:rPr>
          <w:rFonts w:ascii="Arial;Helvetica;sans-serif" w:hAnsi="Arial;Helvetica;sans-serif"/>
          <w:sz w:val="22"/>
          <w:u w:val="single"/>
        </w:rPr>
        <w:t>Entire Agreement.</w:t>
      </w:r>
      <w:r>
        <w:rPr>
          <w:rFonts w:ascii="Arial;Helvetica;sans-serif" w:hAnsi="Arial;Helvetica;sans-serif"/>
          <w:sz w:val="20"/>
        </w:rPr>
        <w:t xml:space="preserve"> </w:t>
      </w:r>
      <w:r>
        <w:rPr>
          <w:rFonts w:ascii="Arial;Helvetica;sans-serif" w:hAnsi="Arial;Helvetica;sans-serif"/>
          <w:sz w:val="22"/>
        </w:rPr>
        <w:t>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Company. No oral waiver, amendment or modification will be effective under any circumstances whatsoever.</w:t>
      </w:r>
    </w:p>
    <w:p>
      <w:pPr>
        <w:pStyle w:val="TextBody"/>
        <w:spacing w:before="0" w:after="0"/>
        <w:ind w:left="0" w:right="0" w:firstLine="720"/>
        <w:jc w:val="right"/>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HorizontalLine"/>
        <w:rPr/>
      </w:pPr>
      <w:r>
        <w:rPr/>
      </w:r>
    </w:p>
    <w:p>
      <w:pPr>
        <w:pStyle w:val="TextBody"/>
        <w:spacing w:before="0" w:after="0"/>
        <w:ind w:left="0" w:right="0" w:hanging="0"/>
        <w:jc w:val="both"/>
        <w:rPr>
          <w:rFonts w:ascii="Arial;Helvetica;sans-serif" w:hAnsi="Arial;Helvetica;sans-serif"/>
          <w:sz w:val="22"/>
        </w:rPr>
      </w:pPr>
      <w:r>
        <w:rPr>
          <w:rFonts w:ascii="Arial;Helvetica;sans-serif" w:hAnsi="Arial;Helvetica;sans-serif"/>
          <w:sz w:val="22"/>
        </w:rPr>
        <w:t>THE PARTIES TO THIS AGREEMENT HAVE READ THE FOREGOING AGREEMENT AND FULLY UNDERSTAND EACH AND EVERY PROVISION CONTAINED HEREIN. WHEREFORE, THE PARTIES HAVE EXECUTED THIS AGREEMENT ON THE DATES SHOWN BELOW.</w:t>
      </w:r>
    </w:p>
    <w:p>
      <w:pPr>
        <w:pStyle w:val="TextBody"/>
        <w:spacing w:before="0" w:after="0"/>
        <w:ind w:left="0" w:right="0" w:hanging="0"/>
        <w:rPr/>
      </w:pPr>
      <w:r>
        <w:rPr/>
        <w:t>​</w:t>
      </w:r>
    </w:p>
    <w:tbl>
      <w:tblPr>
        <w:tblW w:w="5946" w:type="dxa"/>
        <w:jc w:val="center"/>
        <w:tblInd w:w="0" w:type="dxa"/>
        <w:tblCellMar>
          <w:top w:w="0" w:type="dxa"/>
          <w:left w:w="0" w:type="dxa"/>
          <w:bottom w:w="0" w:type="dxa"/>
          <w:right w:w="0" w:type="dxa"/>
        </w:tblCellMar>
      </w:tblPr>
      <w:tblGrid>
        <w:gridCol w:w="871"/>
        <w:gridCol w:w="946"/>
        <w:gridCol w:w="109"/>
        <w:gridCol w:w="1025"/>
        <w:gridCol w:w="2995"/>
      </w:tblGrid>
      <w:tr>
        <w:trPr/>
        <w:tc>
          <w:tcPr>
            <w:tcW w:w="87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5/1/2023</w:t>
            </w:r>
          </w:p>
        </w:tc>
        <w:tc>
          <w:tcPr>
            <w:tcW w:w="9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pPr>
            <w:r>
              <w:rPr/>
              <w:t>​</w:t>
            </w:r>
          </w:p>
        </w:tc>
        <w:tc>
          <w:tcPr>
            <w:tcW w:w="2995" w:type="dxa"/>
            <w:tcBorders/>
            <w:shd w:fill="auto" w:val="clear"/>
            <w:vAlign w:val="center"/>
          </w:tcPr>
          <w:p>
            <w:pPr>
              <w:pStyle w:val="TableContents"/>
              <w:spacing w:before="0" w:after="0"/>
              <w:ind w:left="0" w:right="0" w:hanging="0"/>
              <w:rPr/>
            </w:pPr>
            <w:r>
              <w:rPr/>
              <w:t>​</w:t>
            </w:r>
          </w:p>
        </w:tc>
      </w:tr>
      <w:tr>
        <w:trPr/>
        <w:tc>
          <w:tcPr>
            <w:tcW w:w="1926" w:type="dxa"/>
            <w:gridSpan w:val="3"/>
            <w:tcBorders/>
            <w:shd w:fill="auto" w:val="clear"/>
            <w:vAlign w:val="center"/>
          </w:tcPr>
          <w:p>
            <w:pPr>
              <w:pStyle w:val="TableContents"/>
              <w:spacing w:before="0" w:after="0"/>
              <w:ind w:left="0" w:right="0" w:hanging="0"/>
              <w:rPr/>
            </w:pPr>
            <w:r>
              <w:rPr/>
              <w:t>​</w:t>
            </w:r>
          </w:p>
        </w:tc>
        <w:tc>
          <w:tcPr>
            <w:tcW w:w="4020" w:type="dxa"/>
            <w:gridSpan w:val="2"/>
            <w:tcBorders/>
            <w:shd w:fill="auto" w:val="clear"/>
            <w:vAlign w:val="center"/>
          </w:tcPr>
          <w:p>
            <w:pPr>
              <w:pStyle w:val="TableContents"/>
              <w:spacing w:before="0" w:after="0"/>
              <w:ind w:left="0" w:right="0" w:hanging="0"/>
              <w:rPr>
                <w:rFonts w:ascii="Arial;Helvetica;sans-serif" w:hAnsi="Arial;Helvetica;sans-serif"/>
                <w:b/>
                <w:sz w:val="22"/>
              </w:rPr>
            </w:pPr>
            <w:r>
              <w:rPr>
                <w:rFonts w:ascii="Arial;Helvetica;sans-serif" w:hAnsi="Arial;Helvetica;sans-serif"/>
                <w:b/>
                <w:sz w:val="22"/>
              </w:rPr>
              <w:t>EXECUTIVE</w:t>
            </w:r>
          </w:p>
        </w:tc>
      </w:tr>
      <w:tr>
        <w:trPr/>
        <w:tc>
          <w:tcPr>
            <w:tcW w:w="1926" w:type="dxa"/>
            <w:gridSpan w:val="3"/>
            <w:tcBorders/>
            <w:shd w:fill="auto" w:val="clear"/>
            <w:vAlign w:val="center"/>
          </w:tcPr>
          <w:p>
            <w:pPr>
              <w:pStyle w:val="TableContents"/>
              <w:spacing w:before="0" w:after="0"/>
              <w:ind w:left="0" w:right="0" w:hanging="0"/>
              <w:rPr/>
            </w:pPr>
            <w:r>
              <w:rPr/>
              <w:t>​</w:t>
            </w:r>
          </w:p>
        </w:tc>
        <w:tc>
          <w:tcPr>
            <w:tcW w:w="4020" w:type="dxa"/>
            <w:gridSpan w:val="2"/>
            <w:tcBorders/>
            <w:shd w:fill="auto" w:val="clear"/>
            <w:vAlign w:val="center"/>
          </w:tcPr>
          <w:p>
            <w:pPr>
              <w:pStyle w:val="TableContents"/>
              <w:spacing w:before="0" w:after="0"/>
              <w:ind w:left="0" w:right="0" w:hanging="0"/>
              <w:rPr/>
            </w:pPr>
            <w:r>
              <w:rPr/>
              <w:t>​</w:t>
            </w:r>
          </w:p>
        </w:tc>
      </w:tr>
      <w:tr>
        <w:trPr/>
        <w:tc>
          <w:tcPr>
            <w:tcW w:w="871"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Dated:</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5/1/2023</w:t>
            </w:r>
          </w:p>
        </w:tc>
        <w:tc>
          <w:tcPr>
            <w:tcW w:w="109"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By:</w:t>
            </w:r>
          </w:p>
        </w:tc>
        <w:tc>
          <w:tcPr>
            <w:tcW w:w="2995"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/s/ Dilek Marsh</w:t>
            </w:r>
          </w:p>
        </w:tc>
      </w:tr>
      <w:tr>
        <w:trPr/>
        <w:tc>
          <w:tcPr>
            <w:tcW w:w="1926" w:type="dxa"/>
            <w:gridSpan w:val="3"/>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Name:</w:t>
            </w:r>
          </w:p>
        </w:tc>
        <w:tc>
          <w:tcPr>
            <w:tcW w:w="299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Dilek Marsh</w:t>
            </w:r>
          </w:p>
        </w:tc>
      </w:tr>
      <w:tr>
        <w:trPr/>
        <w:tc>
          <w:tcPr>
            <w:tcW w:w="1926" w:type="dxa"/>
            <w:gridSpan w:val="3"/>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pPr>
            <w:r>
              <w:rPr/>
              <w:t>​</w:t>
            </w:r>
          </w:p>
        </w:tc>
        <w:tc>
          <w:tcPr>
            <w:tcW w:w="2995" w:type="dxa"/>
            <w:tcBorders/>
            <w:shd w:fill="auto" w:val="clear"/>
            <w:vAlign w:val="center"/>
          </w:tcPr>
          <w:p>
            <w:pPr>
              <w:pStyle w:val="TableContents"/>
              <w:spacing w:before="0" w:after="0"/>
              <w:ind w:left="0" w:right="0" w:hanging="0"/>
              <w:rPr/>
            </w:pPr>
            <w:r>
              <w:rPr/>
              <w:t>​</w:t>
            </w:r>
          </w:p>
        </w:tc>
      </w:tr>
      <w:tr>
        <w:trPr/>
        <w:tc>
          <w:tcPr>
            <w:tcW w:w="1926" w:type="dxa"/>
            <w:gridSpan w:val="3"/>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Address:</w:t>
            </w:r>
          </w:p>
        </w:tc>
        <w:tc>
          <w:tcPr>
            <w:tcW w:w="299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2600 East Camelback Road</w:t>
            </w:r>
          </w:p>
        </w:tc>
      </w:tr>
      <w:tr>
        <w:trPr/>
        <w:tc>
          <w:tcPr>
            <w:tcW w:w="1926" w:type="dxa"/>
            <w:gridSpan w:val="3"/>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pPr>
            <w:r>
              <w:rPr/>
              <w:t>​</w:t>
            </w:r>
          </w:p>
        </w:tc>
        <w:tc>
          <w:tcPr>
            <w:tcW w:w="299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Phoenix, Arizona 85017</w:t>
            </w:r>
          </w:p>
        </w:tc>
      </w:tr>
      <w:tr>
        <w:trPr/>
        <w:tc>
          <w:tcPr>
            <w:tcW w:w="1926" w:type="dxa"/>
            <w:gridSpan w:val="3"/>
            <w:tcBorders/>
            <w:shd w:fill="auto" w:val="clear"/>
            <w:vAlign w:val="center"/>
          </w:tcPr>
          <w:p>
            <w:pPr>
              <w:pStyle w:val="TableContents"/>
              <w:spacing w:before="0" w:after="0"/>
              <w:ind w:left="0" w:right="0" w:hanging="0"/>
              <w:rPr/>
            </w:pPr>
            <w:r>
              <w:rPr/>
              <w:t>​</w:t>
            </w:r>
          </w:p>
        </w:tc>
        <w:tc>
          <w:tcPr>
            <w:tcW w:w="4020" w:type="dxa"/>
            <w:gridSpan w:val="2"/>
            <w:tcBorders/>
            <w:shd w:fill="auto" w:val="clear"/>
            <w:vAlign w:val="center"/>
          </w:tcPr>
          <w:p>
            <w:pPr>
              <w:pStyle w:val="TableContents"/>
              <w:spacing w:before="0" w:after="0"/>
              <w:ind w:left="0" w:right="0" w:hanging="0"/>
              <w:rPr/>
            </w:pPr>
            <w:r>
              <w:rPr/>
              <w:t>​</w:t>
            </w:r>
          </w:p>
        </w:tc>
      </w:tr>
      <w:tr>
        <w:trPr/>
        <w:tc>
          <w:tcPr>
            <w:tcW w:w="1926" w:type="dxa"/>
            <w:gridSpan w:val="3"/>
            <w:tcBorders/>
            <w:shd w:fill="auto" w:val="clear"/>
            <w:vAlign w:val="center"/>
          </w:tcPr>
          <w:p>
            <w:pPr>
              <w:pStyle w:val="TableContents"/>
              <w:spacing w:before="0" w:after="0"/>
              <w:ind w:left="0" w:right="0" w:hanging="0"/>
              <w:rPr/>
            </w:pPr>
            <w:r>
              <w:rPr/>
              <w:t>​</w:t>
            </w:r>
          </w:p>
        </w:tc>
        <w:tc>
          <w:tcPr>
            <w:tcW w:w="4020" w:type="dxa"/>
            <w:gridSpan w:val="2"/>
            <w:tcBorders/>
            <w:shd w:fill="auto" w:val="clear"/>
            <w:vAlign w:val="center"/>
          </w:tcPr>
          <w:p>
            <w:pPr>
              <w:pStyle w:val="TableContents"/>
              <w:spacing w:before="0" w:after="0"/>
              <w:ind w:left="0" w:right="0" w:hanging="0"/>
              <w:rPr>
                <w:rFonts w:ascii="Arial;Helvetica;sans-serif" w:hAnsi="Arial;Helvetica;sans-serif"/>
                <w:b/>
                <w:sz w:val="22"/>
              </w:rPr>
            </w:pPr>
            <w:r>
              <w:rPr>
                <w:rFonts w:ascii="Arial;Helvetica;sans-serif" w:hAnsi="Arial;Helvetica;sans-serif"/>
                <w:b/>
                <w:sz w:val="22"/>
              </w:rPr>
              <w:t>GRAND CANYON EDUCATION, INC.</w:t>
            </w:r>
          </w:p>
        </w:tc>
      </w:tr>
      <w:tr>
        <w:trPr/>
        <w:tc>
          <w:tcPr>
            <w:tcW w:w="1926" w:type="dxa"/>
            <w:gridSpan w:val="3"/>
            <w:tcBorders/>
            <w:shd w:fill="auto" w:val="clear"/>
            <w:vAlign w:val="center"/>
          </w:tcPr>
          <w:p>
            <w:pPr>
              <w:pStyle w:val="TableContents"/>
              <w:spacing w:before="0" w:after="0"/>
              <w:ind w:left="0" w:right="0" w:hanging="0"/>
              <w:rPr/>
            </w:pPr>
            <w:r>
              <w:rPr/>
              <w:t>​</w:t>
            </w:r>
          </w:p>
        </w:tc>
        <w:tc>
          <w:tcPr>
            <w:tcW w:w="4020" w:type="dxa"/>
            <w:gridSpan w:val="2"/>
            <w:tcBorders/>
            <w:shd w:fill="auto" w:val="clear"/>
            <w:vAlign w:val="center"/>
          </w:tcPr>
          <w:p>
            <w:pPr>
              <w:pStyle w:val="TableContents"/>
              <w:spacing w:before="0" w:after="0"/>
              <w:ind w:left="0" w:right="0" w:hanging="0"/>
              <w:rPr/>
            </w:pPr>
            <w:r>
              <w:rPr/>
              <w:t>​</w:t>
            </w:r>
          </w:p>
        </w:tc>
      </w:tr>
      <w:tr>
        <w:trPr/>
        <w:tc>
          <w:tcPr>
            <w:tcW w:w="871"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Dated:</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5/1/2023</w:t>
            </w:r>
          </w:p>
        </w:tc>
        <w:tc>
          <w:tcPr>
            <w:tcW w:w="109" w:type="dxa"/>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By:</w:t>
            </w:r>
          </w:p>
        </w:tc>
        <w:tc>
          <w:tcPr>
            <w:tcW w:w="2995"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/s/ Daniel E. Bachus</w:t>
            </w:r>
          </w:p>
        </w:tc>
      </w:tr>
      <w:tr>
        <w:trPr/>
        <w:tc>
          <w:tcPr>
            <w:tcW w:w="1926" w:type="dxa"/>
            <w:gridSpan w:val="3"/>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Name:</w:t>
            </w:r>
          </w:p>
        </w:tc>
        <w:tc>
          <w:tcPr>
            <w:tcW w:w="299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Daniel E. Bachus</w:t>
            </w:r>
          </w:p>
        </w:tc>
      </w:tr>
      <w:tr>
        <w:trPr/>
        <w:tc>
          <w:tcPr>
            <w:tcW w:w="1926" w:type="dxa"/>
            <w:gridSpan w:val="3"/>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Title:</w:t>
            </w:r>
          </w:p>
        </w:tc>
        <w:tc>
          <w:tcPr>
            <w:tcW w:w="299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Chief Financial Officer</w:t>
            </w:r>
          </w:p>
        </w:tc>
      </w:tr>
      <w:tr>
        <w:trPr/>
        <w:tc>
          <w:tcPr>
            <w:tcW w:w="1926" w:type="dxa"/>
            <w:gridSpan w:val="3"/>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pPr>
            <w:r>
              <w:rPr/>
              <w:t>​</w:t>
            </w:r>
          </w:p>
        </w:tc>
        <w:tc>
          <w:tcPr>
            <w:tcW w:w="2995" w:type="dxa"/>
            <w:tcBorders/>
            <w:shd w:fill="auto" w:val="clear"/>
            <w:vAlign w:val="center"/>
          </w:tcPr>
          <w:p>
            <w:pPr>
              <w:pStyle w:val="TableContents"/>
              <w:spacing w:before="0" w:after="0"/>
              <w:ind w:left="0" w:right="0" w:hanging="0"/>
              <w:rPr/>
            </w:pPr>
            <w:r>
              <w:rPr/>
              <w:t>​</w:t>
            </w:r>
          </w:p>
        </w:tc>
      </w:tr>
      <w:tr>
        <w:trPr/>
        <w:tc>
          <w:tcPr>
            <w:tcW w:w="1926" w:type="dxa"/>
            <w:gridSpan w:val="3"/>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Address:</w:t>
            </w:r>
          </w:p>
        </w:tc>
        <w:tc>
          <w:tcPr>
            <w:tcW w:w="299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2600 East Camelback Road</w:t>
            </w:r>
          </w:p>
        </w:tc>
      </w:tr>
      <w:tr>
        <w:trPr/>
        <w:tc>
          <w:tcPr>
            <w:tcW w:w="1926" w:type="dxa"/>
            <w:gridSpan w:val="3"/>
            <w:tcBorders/>
            <w:shd w:fill="auto" w:val="clear"/>
            <w:vAlign w:val="center"/>
          </w:tcPr>
          <w:p>
            <w:pPr>
              <w:pStyle w:val="TableContents"/>
              <w:spacing w:before="0" w:after="0"/>
              <w:ind w:left="0" w:right="0" w:hanging="0"/>
              <w:rPr/>
            </w:pPr>
            <w:r>
              <w:rPr/>
              <w:t>​</w:t>
            </w:r>
          </w:p>
        </w:tc>
        <w:tc>
          <w:tcPr>
            <w:tcW w:w="1025" w:type="dxa"/>
            <w:tcBorders/>
            <w:shd w:fill="auto" w:val="clear"/>
            <w:vAlign w:val="center"/>
          </w:tcPr>
          <w:p>
            <w:pPr>
              <w:pStyle w:val="TableContents"/>
              <w:spacing w:before="0" w:after="0"/>
              <w:ind w:left="0" w:right="0" w:hanging="0"/>
              <w:rPr/>
            </w:pPr>
            <w:r>
              <w:rPr/>
              <w:t>​</w:t>
            </w:r>
          </w:p>
        </w:tc>
        <w:tc>
          <w:tcPr>
            <w:tcW w:w="2995"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Phoenix, Arizona 85017</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HorizontalLine"/>
        <w:rPr/>
      </w:pPr>
      <w:r>
        <w:rPr/>
      </w:r>
      <w:r>
        <w:br w:type="page"/>
      </w:r>
    </w:p>
    <w:p>
      <w:pPr>
        <w:pStyle w:val="TextBody"/>
        <w:spacing w:before="0" w:after="0"/>
        <w:ind w:left="0" w:right="0" w:hanging="0"/>
        <w:jc w:val="right"/>
        <w:rPr>
          <w:rFonts w:ascii="Arial;Helvetica;sans-serif" w:hAnsi="Arial;Helvetica;sans-serif"/>
          <w:b/>
          <w:sz w:val="22"/>
        </w:rPr>
      </w:pPr>
      <w:bookmarkStart w:id="866" w:name="lope-20230331xex10d5.htm"/>
      <w:bookmarkStart w:id="867" w:name="kslope20230331xex10d5"/>
      <w:bookmarkEnd w:id="866"/>
      <w:bookmarkEnd w:id="867"/>
      <w:r>
        <w:rPr>
          <w:rFonts w:ascii="Arial;Helvetica;sans-serif" w:hAnsi="Arial;Helvetica;sans-serif"/>
          <w:b/>
          <w:sz w:val="22"/>
        </w:rPr>
        <w:t>Exhibit 10.5</w: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THIRD AMENDED AND RESTATED</w:t>
      </w:r>
    </w:p>
    <w:p>
      <w:pPr>
        <w:pStyle w:val="TextBody"/>
        <w:spacing w:before="0" w:after="0"/>
        <w:ind w:left="0" w:right="0" w:hanging="0"/>
        <w:jc w:val="center"/>
        <w:rPr>
          <w:rFonts w:ascii="Arial;Helvetica;sans-serif" w:hAnsi="Arial;Helvetica;sans-serif"/>
          <w:b/>
          <w:color w:val="1F1F1F"/>
          <w:sz w:val="22"/>
        </w:rPr>
      </w:pPr>
      <w:r>
        <w:rPr>
          <w:rFonts w:ascii="Arial;Helvetica;sans-serif" w:hAnsi="Arial;Helvetica;sans-serif"/>
          <w:b/>
          <w:color w:val="1F1F1F"/>
          <w:sz w:val="22"/>
        </w:rPr>
        <w:t>EXECUTIVE EMPLOYMENT AGREEMENT</w:t>
      </w:r>
    </w:p>
    <w:p>
      <w:pPr>
        <w:pStyle w:val="TextBody"/>
        <w:spacing w:before="0" w:after="0"/>
        <w:ind w:left="0" w:right="0" w:hanging="0"/>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color w:val="1F1F1F"/>
          <w:sz w:val="22"/>
        </w:rPr>
        <w:t>This Third Amended and Restated Executive Employment Agreement (the “</w:t>
      </w:r>
      <w:r>
        <w:rPr>
          <w:rFonts w:ascii="Arial;Helvetica;sans-serif" w:hAnsi="Arial;Helvetica;sans-serif"/>
          <w:color w:val="1F1F1F"/>
          <w:sz w:val="22"/>
          <w:u w:val="single"/>
        </w:rPr>
        <w:t>Agreement"</w:t>
      </w:r>
      <w:r>
        <w:rPr>
          <w:rFonts w:ascii="Arial;Helvetica;sans-serif" w:hAnsi="Arial;Helvetica;sans-serif"/>
          <w:color w:val="1F1F1F"/>
          <w:sz w:val="22"/>
        </w:rPr>
        <w:t>) is entered into on May 1, 2023, and is effective as of July 1, 2023, by and among Grand Canyon Education, Inc., a Delaware corporation (“GCE”), GCE’s subsidiary. Orbis Education Services, LLC, a Delaware limited liability company (“Orbis”), and Daniel J. Briggs (“</w:t>
      </w:r>
      <w:r>
        <w:rPr>
          <w:rFonts w:ascii="Arial;Helvetica;sans-serif" w:hAnsi="Arial;Helvetica;sans-serif"/>
          <w:color w:val="1F1F1F"/>
          <w:sz w:val="22"/>
          <w:u w:val="single"/>
        </w:rPr>
        <w:t>Executive</w:t>
      </w:r>
      <w:r>
        <w:rPr>
          <w:rFonts w:ascii="Arial;Helvetica;sans-serif" w:hAnsi="Arial;Helvetica;sans-serif"/>
          <w:color w:val="1F1F1F"/>
          <w:sz w:val="20"/>
        </w:rPr>
        <w:t>”</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720"/>
        <w:jc w:val="both"/>
        <w:rPr>
          <w:rFonts w:ascii="Arial;Helvetica;sans-serif" w:hAnsi="Arial;Helvetica;sans-serif"/>
          <w:sz w:val="20"/>
        </w:rPr>
      </w:pPr>
      <w:r>
        <w:rPr>
          <w:rFonts w:ascii="Arial;Helvetica;sans-serif" w:hAnsi="Arial;Helvetica;sans-serif"/>
          <w:color w:val="1F1F1F"/>
          <w:sz w:val="22"/>
        </w:rPr>
        <w:t>WHEREAS, Orbis and Executive are parties to a second amended and restated executive employment agreement effective as of December 17, 2018, January 22, 2019, and April 29, 2020 (as amended, the “</w:t>
      </w:r>
      <w:r>
        <w:rPr>
          <w:rFonts w:ascii="Arial;Helvetica;sans-serif" w:hAnsi="Arial;Helvetica;sans-serif"/>
          <w:color w:val="1F1F1F"/>
          <w:sz w:val="22"/>
          <w:u w:val="single"/>
        </w:rPr>
        <w:t>Original Agreement”</w:t>
      </w:r>
      <w:r>
        <w:rPr>
          <w:rFonts w:ascii="Arial;Helvetica;sans-serif" w:hAnsi="Arial;Helvetica;sans-serif"/>
          <w:color w:val="1F1F1F"/>
          <w:sz w:val="22"/>
        </w:rPr>
        <w:t>), and Executive has been employed with Orbis since that time; and</w:t>
      </w:r>
    </w:p>
    <w:p>
      <w:pPr>
        <w:pStyle w:val="TextBody"/>
        <w:spacing w:before="0" w:after="0"/>
        <w:ind w:left="0" w:right="0" w:hanging="0"/>
        <w:jc w:val="both"/>
        <w:rPr/>
      </w:pPr>
      <w:r>
        <w:rPr/>
        <w:t>​</w:t>
      </w:r>
    </w:p>
    <w:p>
      <w:pPr>
        <w:pStyle w:val="TextBody"/>
        <w:spacing w:before="0" w:after="0"/>
        <w:ind w:left="0" w:right="0" w:firstLine="720"/>
        <w:jc w:val="both"/>
        <w:rPr>
          <w:rFonts w:ascii="Arial;Helvetica;sans-serif" w:hAnsi="Arial;Helvetica;sans-serif"/>
          <w:color w:val="1F1F1F"/>
          <w:sz w:val="22"/>
        </w:rPr>
      </w:pPr>
      <w:r>
        <w:rPr>
          <w:rFonts w:ascii="Arial;Helvetica;sans-serif" w:hAnsi="Arial;Helvetica;sans-serif"/>
          <w:color w:val="1F1F1F"/>
          <w:sz w:val="22"/>
        </w:rPr>
        <w:t>WHEREAS, Orbis and Executive desire to amend and restate the Original Agreement through the execution and delivery of this Agreement.</w:t>
      </w:r>
    </w:p>
    <w:p>
      <w:pPr>
        <w:pStyle w:val="TextBody"/>
        <w:spacing w:before="0" w:after="0"/>
        <w:ind w:left="0" w:right="0" w:hanging="0"/>
        <w:jc w:val="both"/>
        <w:rPr/>
      </w:pPr>
      <w:r>
        <w:rPr/>
        <w:t>​</w:t>
      </w:r>
    </w:p>
    <w:p>
      <w:pPr>
        <w:pStyle w:val="TextBody"/>
        <w:spacing w:before="0" w:after="0"/>
        <w:ind w:left="0" w:right="0" w:firstLine="720"/>
        <w:jc w:val="both"/>
        <w:rPr>
          <w:rFonts w:ascii="Arial;Helvetica;sans-serif" w:hAnsi="Arial;Helvetica;sans-serif"/>
          <w:color w:val="1F1F1F"/>
          <w:sz w:val="22"/>
        </w:rPr>
      </w:pPr>
      <w:r>
        <w:rPr>
          <w:rFonts w:ascii="Arial;Helvetica;sans-serif" w:hAnsi="Arial;Helvetica;sans-serif"/>
          <w:color w:val="1F1F1F"/>
          <w:sz w:val="22"/>
        </w:rPr>
        <w:t>NOW, THEREFORE, for good and valuable consideration, the receipt and sufficiency of which are hereby acknowledged, the parties agree as follows: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w:t>
      </w:r>
      <w:r>
        <w:rPr>
          <w:rFonts w:ascii="Arial;Helvetica;sans-serif" w:hAnsi="Arial;Helvetica;sans-serif"/>
          <w:color w:val="1F1F1F"/>
          <w:sz w:val="22"/>
          <w:u w:val="single"/>
        </w:rPr>
        <w:t>Employment.</w:t>
      </w:r>
      <w:r>
        <w:rPr>
          <w:rFonts w:ascii="Arial;Helvetica;sans-serif" w:hAnsi="Arial;Helvetica;sans-serif"/>
          <w:color w:val="1F1F1F"/>
          <w:sz w:val="20"/>
        </w:rPr>
        <w:t xml:space="preserve"> </w:t>
      </w:r>
      <w:r>
        <w:rPr>
          <w:rFonts w:ascii="Arial;Helvetica;sans-serif" w:hAnsi="Arial;Helvetica;sans-serif"/>
          <w:color w:val="1F1F1F"/>
          <w:sz w:val="22"/>
        </w:rPr>
        <w:t>Orbis desires to continue to employ Executive, and Executive desires to continue such employment, upon the terms and conditions set forth herein.</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w:t>
      </w:r>
      <w:r>
        <w:rPr>
          <w:rFonts w:ascii="Arial;Helvetica;sans-serif" w:hAnsi="Arial;Helvetica;sans-serif"/>
          <w:color w:val="1F1F1F"/>
          <w:sz w:val="22"/>
          <w:u w:val="single"/>
        </w:rPr>
        <w:t>Duties</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2.1</w:t>
      </w:r>
      <w:r>
        <w:rPr>
          <w:rFonts w:ascii="Arial;Helvetica;sans-serif" w:hAnsi="Arial;Helvetica;sans-serif"/>
          <w:color w:val="1F1F1F"/>
          <w:sz w:val="22"/>
          <w:u w:val="single"/>
        </w:rPr>
        <w:t>Position</w:t>
      </w:r>
      <w:r>
        <w:rPr>
          <w:rFonts w:ascii="Arial;Helvetica;sans-serif" w:hAnsi="Arial;Helvetica;sans-serif"/>
          <w:color w:val="1F1F1F"/>
          <w:sz w:val="22"/>
        </w:rPr>
        <w:t>. Executive is employed by Orbis and shall have the duties and responsibilities reasonably assigned to Executive from time to time by GCE’s Chief Executive Officer, Brian Mueller, or such other executive officer of GCE as may be designated by Mr. Mueller. Executive shall perform faithfully and diligently all duties assigned to Executive. Orbis reserves the right to modify Executive’s position and duties at any time in its sole and absolute discretion, except that any material diminution in Executive’s duties shall be subject to Section 7.3(ii).</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2.2</w:t>
      </w:r>
      <w:r>
        <w:rPr>
          <w:rFonts w:ascii="Arial;Helvetica;sans-serif" w:hAnsi="Arial;Helvetica;sans-serif"/>
          <w:color w:val="1F1F1F"/>
          <w:sz w:val="22"/>
          <w:u w:val="single"/>
        </w:rPr>
        <w:t>Best Efforts/Full-time</w:t>
      </w:r>
      <w:r>
        <w:rPr>
          <w:rFonts w:ascii="Arial;Helvetica;sans-serif" w:hAnsi="Arial;Helvetica;sans-serif"/>
          <w:color w:val="1F1F1F"/>
          <w:sz w:val="22"/>
        </w:rPr>
        <w:t>. Executive will expend Executive’s best efforts on behalf of Orbis in the performance of duties assigned to Executive under this Agreement, and will abide by all policies and decisions made by Orbis, as well as all applicable federal, state and local laws, regulations or ordinances. Executive will act in the best interest of Orbis at all times in the performance of duties assigned to Executive under this Agreement. Executive shall devote Executive's full business time and efforts to the performance of Executive’s assigned duties for Orbis, unless Executive notifies GCE in advance of Executive's intent to engage in other paid work and receives GCE’s express written consent to do so. Notwithstanding the foregoing, Executive will be permitted to serve as an outside director on the board of directors for corporate, civic, nonprofit or charitable entities, so long as Executive obtains the consent of GCE and provided such entities are not competitive with Orbis or GCE and subject to the provisions of Section 9.</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2.3</w:t>
      </w:r>
      <w:r>
        <w:rPr>
          <w:rFonts w:ascii="Arial;Helvetica;sans-serif" w:hAnsi="Arial;Helvetica;sans-serif"/>
          <w:color w:val="1F1F1F"/>
          <w:sz w:val="22"/>
          <w:u w:val="single"/>
        </w:rPr>
        <w:t>Work Location</w:t>
      </w:r>
      <w:r>
        <w:rPr>
          <w:rFonts w:ascii="Arial;Helvetica;sans-serif" w:hAnsi="Arial;Helvetica;sans-serif"/>
          <w:color w:val="1F1F1F"/>
          <w:sz w:val="22"/>
        </w:rPr>
        <w:t>. Executive's principal place of work shall be located in Indianapolis, Indiana, or such other location as Orbis may direct from time to time.</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HorizontalLine"/>
        <w:rPr/>
      </w:pPr>
      <w:r>
        <w:rPr/>
      </w:r>
    </w:p>
    <w:p>
      <w:pPr>
        <w:pStyle w:val="TextBody"/>
        <w:spacing w:before="0" w:after="0"/>
        <w:ind w:left="0" w:right="0" w:hanging="0"/>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3.</w:t>
      </w:r>
      <w:r>
        <w:rPr>
          <w:rFonts w:ascii="Arial;Helvetica;sans-serif" w:hAnsi="Arial;Helvetica;sans-serif"/>
          <w:color w:val="1F1F1F"/>
          <w:sz w:val="22"/>
          <w:u w:val="single"/>
        </w:rPr>
        <w:t>Term</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3.1</w:t>
      </w:r>
      <w:r>
        <w:rPr>
          <w:rFonts w:ascii="Arial;Helvetica;sans-serif" w:hAnsi="Arial;Helvetica;sans-serif"/>
          <w:color w:val="1F1F1F"/>
          <w:sz w:val="22"/>
          <w:u w:val="single"/>
        </w:rPr>
        <w:t>Initial Term</w:t>
      </w:r>
      <w:r>
        <w:rPr>
          <w:rFonts w:ascii="Arial;Helvetica;sans-serif" w:hAnsi="Arial;Helvetica;sans-serif"/>
          <w:color w:val="1F1F1F"/>
          <w:sz w:val="22"/>
        </w:rPr>
        <w:t>. The employment relationship pursuant to this Agreement shall be for an initial term commencing on the Effective Date and shall continue in effect for a period through June 30, 2026 (the “</w:t>
      </w:r>
      <w:r>
        <w:rPr>
          <w:rFonts w:ascii="Arial;Helvetica;sans-serif" w:hAnsi="Arial;Helvetica;sans-serif"/>
          <w:color w:val="1F1F1F"/>
          <w:sz w:val="22"/>
          <w:u w:val="single"/>
        </w:rPr>
        <w:t>Initial Term</w:t>
      </w:r>
      <w:r>
        <w:rPr>
          <w:rFonts w:ascii="Arial;Helvetica;sans-serif" w:hAnsi="Arial;Helvetica;sans-serif"/>
          <w:color w:val="1F1F1F"/>
          <w:sz w:val="22"/>
        </w:rPr>
        <w:t>"), unless sooner terminated in accordance with Section 7.</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3.2</w:t>
      </w:r>
      <w:r>
        <w:rPr>
          <w:rFonts w:ascii="Arial;Helvetica;sans-serif" w:hAnsi="Arial;Helvetica;sans-serif"/>
          <w:color w:val="1F1F1F"/>
          <w:sz w:val="22"/>
          <w:u w:val="single"/>
        </w:rPr>
        <w:t>Renewal</w:t>
      </w:r>
      <w:r>
        <w:rPr>
          <w:rFonts w:ascii="Arial;Helvetica;sans-serif" w:hAnsi="Arial;Helvetica;sans-serif"/>
          <w:color w:val="1F1F1F"/>
          <w:sz w:val="22"/>
        </w:rPr>
        <w:t>. Upon expiration of the Initial Term and each Renewal Term, this Agreement will automatically renew for subsequent one (1) year terms (each a “</w:t>
      </w:r>
      <w:r>
        <w:rPr>
          <w:rFonts w:ascii="Arial;Helvetica;sans-serif" w:hAnsi="Arial;Helvetica;sans-serif"/>
          <w:color w:val="1F1F1F"/>
          <w:sz w:val="22"/>
          <w:u w:val="single"/>
        </w:rPr>
        <w:t>Renewal Term</w:t>
      </w:r>
      <w:r>
        <w:rPr>
          <w:rFonts w:ascii="Arial;Helvetica;sans-serif" w:hAnsi="Arial;Helvetica;sans-serif"/>
          <w:color w:val="1F1F1F"/>
          <w:sz w:val="20"/>
        </w:rPr>
        <w:t>”</w:t>
      </w:r>
      <w:r>
        <w:rPr>
          <w:rFonts w:ascii="Arial;Helvetica;sans-serif" w:hAnsi="Arial;Helvetica;sans-serif"/>
          <w:color w:val="1F1F1F"/>
          <w:sz w:val="22"/>
        </w:rPr>
        <w:t>) unless either party provides ninety (90) days' advance written notice to the other that Orbis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Helvetica;sans-serif" w:hAnsi="Arial;Helvetica;sans-serif"/>
          <w:color w:val="1F1F1F"/>
          <w:sz w:val="22"/>
          <w:u w:val="single"/>
        </w:rPr>
        <w:t>Term</w:t>
      </w:r>
      <w:r>
        <w:rPr>
          <w:rFonts w:ascii="Arial;Helvetica;sans-serif" w:hAnsi="Arial;Helvetica;sans-serif"/>
          <w:color w:val="1F1F1F"/>
          <w:sz w:val="20"/>
        </w:rPr>
        <w:t>”</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4.</w:t>
      </w:r>
      <w:r>
        <w:rPr>
          <w:rFonts w:ascii="Arial;Helvetica;sans-serif" w:hAnsi="Arial;Helvetica;sans-serif"/>
          <w:color w:val="1F1F1F"/>
          <w:sz w:val="22"/>
          <w:u w:val="single"/>
        </w:rPr>
        <w:t>Compensation.</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4.1</w:t>
      </w:r>
      <w:r>
        <w:rPr>
          <w:rFonts w:ascii="Arial;Helvetica;sans-serif" w:hAnsi="Arial;Helvetica;sans-serif"/>
          <w:color w:val="1F1F1F"/>
          <w:sz w:val="22"/>
          <w:u w:val="single"/>
        </w:rPr>
        <w:t>Base-Salary</w:t>
      </w:r>
      <w:r>
        <w:rPr>
          <w:rFonts w:ascii="Arial;Helvetica;sans-serif" w:hAnsi="Arial;Helvetica;sans-serif"/>
          <w:color w:val="1F1F1F"/>
          <w:sz w:val="22"/>
        </w:rPr>
        <w:t>. As compensation for Executive’s performance of Executive’s duties hereunder, effective beginning on the Effective Date Orbis shall pay to Executive an initial Base Salary at the rate of Three Hundred Two Thousand Nine Hundred Four and 03/100 Dollars ($302,904.03) per year, payable in accordance with the normal payroll practices of Orbis, less required deductions for state and federal withholding tax, social security and all other employment taxes and payroll deductions. Executives Base Salary shall be reviewed annually by the Compensation Committee of GCE (the “</w:t>
      </w:r>
      <w:r>
        <w:rPr>
          <w:rFonts w:ascii="Arial;Helvetica;sans-serif" w:hAnsi="Arial;Helvetica;sans-serif"/>
          <w:color w:val="1F1F1F"/>
          <w:sz w:val="22"/>
          <w:u w:val="single"/>
        </w:rPr>
        <w:t>Compensation Committee</w:t>
      </w:r>
      <w:r>
        <w:rPr>
          <w:rFonts w:ascii="Arial;Helvetica;sans-serif" w:hAnsi="Arial;Helvetica;sans-serif"/>
          <w:color w:val="1F1F1F"/>
          <w:sz w:val="20"/>
        </w:rPr>
        <w:t>”</w:t>
      </w:r>
      <w:r>
        <w:rPr>
          <w:rFonts w:ascii="Arial;Helvetica;sans-serif" w:hAnsi="Arial;Helvetica;sans-serif"/>
          <w:color w:val="1F1F1F"/>
          <w:sz w:val="22"/>
        </w:rPr>
        <w:t>) and adjustments, if any, will be made at that time. In the event Executive’s employment under this Agreement is terminated by either party, for any reason, Executive will earn the Base Salary prorated to the date of termination, except as otherwise set forth herein.</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3"/>
        </w:rPr>
        <w:t>4.2</w:t>
      </w:r>
      <w:r>
        <w:rPr>
          <w:rFonts w:ascii="Arial;Helvetica;sans-serif" w:hAnsi="Arial;Helvetica;sans-serif"/>
          <w:color w:val="1F1F1F"/>
          <w:sz w:val="22"/>
          <w:u w:val="single"/>
        </w:rPr>
        <w:t>Incentive Compensation.</w:t>
      </w:r>
      <w:r>
        <w:rPr>
          <w:rFonts w:ascii="Arial;Helvetica;sans-serif" w:hAnsi="Arial;Helvetica;sans-serif"/>
          <w:color w:val="1F1F1F"/>
          <w:sz w:val="20"/>
        </w:rPr>
        <w:t xml:space="preserve"> </w:t>
      </w:r>
      <w:r>
        <w:rPr>
          <w:rFonts w:ascii="Arial;Helvetica;sans-serif" w:hAnsi="Arial;Helvetica;sans-serif"/>
          <w:color w:val="1F1F1F"/>
          <w:sz w:val="22"/>
        </w:rPr>
        <w:t>Executive will be eligible to earn incentive compensation in the form of an annual bonus for each fiscal year of Orbis, to be awarded under Orbis’s annual cash incentive plan as then in effect, with a target amount equal to Two Hundred Twenty-Five Thousand Dollars ($225,000) (the “</w:t>
      </w:r>
      <w:r>
        <w:rPr>
          <w:rFonts w:ascii="Arial;Helvetica;sans-serif" w:hAnsi="Arial;Helvetica;sans-serif"/>
          <w:color w:val="1F1F1F"/>
          <w:sz w:val="22"/>
          <w:u w:val="single"/>
        </w:rPr>
        <w:t>Target Bonus</w:t>
      </w:r>
      <w:r>
        <w:rPr>
          <w:rFonts w:ascii="Arial;Helvetica;sans-serif" w:hAnsi="Arial;Helvetica;sans-serif"/>
          <w:color w:val="1F1F1F"/>
          <w:sz w:val="22"/>
        </w:rPr>
        <w:t>"). Executive's Target Bonus shall be reviewed annually by the Compensation Committee, and adjustments, if any, will be made at that time. The Compensation Committee will determine the actual amount of the bonus earned by Executive for any year, which may be more or less than the Target Bonus, and will base such determination upon both Orbis's achievement of overall performance metrics for the year and Executive's achievement of individual performance metrics as agreed upon by the Compensation Committee and Executive. Earned bonus amounts, if any, shall be paid within two and one-half months following the end of the applicable Orbis fiscal year.</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3"/>
        </w:rPr>
        <w:t>4.3</w:t>
      </w:r>
      <w:r>
        <w:rPr>
          <w:rFonts w:ascii="Arial;Helvetica;sans-serif" w:hAnsi="Arial;Helvetica;sans-serif"/>
          <w:color w:val="1F1F1F"/>
          <w:sz w:val="22"/>
          <w:u w:val="single"/>
        </w:rPr>
        <w:t>Equity Awards</w:t>
      </w:r>
      <w:r>
        <w:rPr>
          <w:rFonts w:ascii="Arial;Helvetica;sans-serif" w:hAnsi="Arial;Helvetica;sans-serif"/>
          <w:color w:val="1F1F1F"/>
          <w:sz w:val="22"/>
        </w:rPr>
        <w:t>. Executive will be eligible to receive stock, option or other equity awards (each, an “</w:t>
      </w:r>
      <w:r>
        <w:rPr>
          <w:rFonts w:ascii="Arial;Helvetica;sans-serif" w:hAnsi="Arial;Helvetica;sans-serif"/>
          <w:color w:val="1F1F1F"/>
          <w:sz w:val="22"/>
          <w:u w:val="single"/>
        </w:rPr>
        <w:t>Equity Award</w:t>
      </w:r>
      <w:r>
        <w:rPr>
          <w:rFonts w:ascii="Arial;Helvetica;sans-serif" w:hAnsi="Arial;Helvetica;sans-serif"/>
          <w:color w:val="1F1F1F"/>
          <w:sz w:val="20"/>
        </w:rPr>
        <w:t>”</w:t>
      </w:r>
      <w:r>
        <w:rPr>
          <w:rFonts w:ascii="Arial;Helvetica;sans-serif" w:hAnsi="Arial;Helvetica;sans-serif"/>
          <w:color w:val="1F1F1F"/>
          <w:sz w:val="22"/>
        </w:rPr>
        <w:t>) under GCE’s equity incentive plan as then in effect (the “</w:t>
      </w:r>
      <w:r>
        <w:rPr>
          <w:rFonts w:ascii="Arial;Helvetica;sans-serif" w:hAnsi="Arial;Helvetica;sans-serif"/>
          <w:color w:val="1F1F1F"/>
          <w:sz w:val="22"/>
          <w:u w:val="single"/>
        </w:rPr>
        <w:t>Plan</w:t>
      </w:r>
      <w:r>
        <w:rPr>
          <w:rFonts w:ascii="Arial;Helvetica;sans-serif" w:hAnsi="Arial;Helvetica;sans-serif"/>
          <w:color w:val="1F1F1F"/>
          <w:sz w:val="20"/>
        </w:rPr>
        <w:t>”</w:t>
      </w:r>
      <w:r>
        <w:rPr>
          <w:rFonts w:ascii="Arial;Helvetica;sans-serif" w:hAnsi="Arial;Helvetica;sans-serif"/>
          <w:color w:val="1F1F1F"/>
          <w:sz w:val="22"/>
        </w:rPr>
        <w:t>), as determined by the Compensation Committee. Any such Equity Award will be subject to the terms and conditions of the Plan and an applicable form of agreement for such Equity Award specified by the Compensation Committee, which Executive will be required to sign as a condition of retaining the Equity Award.</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5.</w:t>
      </w:r>
      <w:r>
        <w:rPr>
          <w:rFonts w:ascii="Arial;Helvetica;sans-serif" w:hAnsi="Arial;Helvetica;sans-serif"/>
          <w:color w:val="1F1F1F"/>
          <w:sz w:val="22"/>
          <w:u w:val="single"/>
        </w:rPr>
        <w:t>Customary Fringe Benefits</w:t>
      </w:r>
      <w:r>
        <w:rPr>
          <w:rFonts w:ascii="Arial;Helvetica;sans-serif" w:hAnsi="Arial;Helvetica;sans-serif"/>
          <w:color w:val="1F1F1F"/>
          <w:sz w:val="22"/>
        </w:rPr>
        <w:t>. Executive will be eligible for all customary and usual fringe benefits generally available to senior management of Orbis, subject to the terms and conditions of Orbis's benefit plan documents. Orbis reserves the right to change or eliminate fringe benefits on a prospective basis, at any time, effective upon notice to Executive.</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rPr/>
      </w:pPr>
      <w:r>
        <w:rPr/>
      </w:r>
    </w:p>
    <w:p>
      <w:pPr>
        <w:pStyle w:val="TextBody"/>
        <w:spacing w:before="0" w:after="0"/>
        <w:ind w:left="0" w:right="0" w:hanging="0"/>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6.</w:t>
      </w:r>
      <w:r>
        <w:rPr>
          <w:rFonts w:ascii="Arial;Helvetica;sans-serif" w:hAnsi="Arial;Helvetica;sans-serif"/>
          <w:color w:val="1F1F1F"/>
          <w:sz w:val="22"/>
          <w:u w:val="single"/>
        </w:rPr>
        <w:t>Business Expenses</w:t>
      </w:r>
      <w:r>
        <w:rPr>
          <w:rFonts w:ascii="Arial;Helvetica;sans-serif" w:hAnsi="Arial;Helvetica;sans-serif"/>
          <w:color w:val="1F1F1F"/>
          <w:sz w:val="22"/>
        </w:rPr>
        <w:t>. Executive will be reimbursed for all reasonable, out-of- pocket business expenses incurred in the performance of Executive's duties on behalf of Orbis. To obtain reimbursement, expenses must be submitted promptly with appropriate supporting documentation and will be reimbursed in accordance with Orbis's policies. Any reimbursement Executive is entitled to receive shall (a) be paid no later than the last day of Executive's tax year following the tax year in which the expense was incurred, (b) not affect or be affected by any other expenses that are eligible for reimbursement in any other tax year of Executive, and (c) not be subject to liquidation or exchange for another benefit.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w:t>
      </w:r>
      <w:r>
        <w:rPr>
          <w:rFonts w:ascii="Arial;Helvetica;sans-serif" w:hAnsi="Arial;Helvetica;sans-serif"/>
          <w:color w:val="1F1F1F"/>
          <w:sz w:val="22"/>
          <w:u w:val="single"/>
        </w:rPr>
        <w:t>Termination of Executive's Employment</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7.1</w:t>
      </w:r>
      <w:r>
        <w:rPr>
          <w:rFonts w:ascii="Arial;Helvetica;sans-serif" w:hAnsi="Arial;Helvetica;sans-serif"/>
          <w:color w:val="1F1F1F"/>
          <w:sz w:val="22"/>
          <w:u w:val="single"/>
        </w:rPr>
        <w:t>Termination for Cause by Orbis</w:t>
      </w:r>
      <w:r>
        <w:rPr>
          <w:rFonts w:ascii="Arial;Helvetica;sans-serif" w:hAnsi="Arial;Helvetica;sans-serif"/>
          <w:color w:val="1F1F1F"/>
          <w:sz w:val="22"/>
        </w:rPr>
        <w:t>. Although Orbis anticipates the continuation of a mutually rewarding employment relationship with Executive, Orbis may terminate Executive’s employment immediately at any time for Cause. For purposes of this Agreement, "</w:t>
      </w:r>
      <w:r>
        <w:rPr>
          <w:rFonts w:ascii="Arial;Helvetica;sans-serif" w:hAnsi="Arial;Helvetica;sans-serif"/>
          <w:color w:val="1F1F1F"/>
          <w:sz w:val="22"/>
          <w:u w:val="single"/>
        </w:rPr>
        <w:t>Cause</w:t>
      </w:r>
      <w:r>
        <w:rPr>
          <w:rFonts w:ascii="Arial;Helvetica;sans-serif" w:hAnsi="Arial;Helvetica;sans-serif"/>
          <w:color w:val="1F1F1F"/>
          <w:sz w:val="20"/>
        </w:rPr>
        <w:t xml:space="preserve"> </w:t>
      </w:r>
      <w:r>
        <w:rPr>
          <w:rFonts w:ascii="Arial;Helvetica;sans-serif" w:hAnsi="Arial;Helvetica;sans-serif"/>
          <w:color w:val="1F1F1F"/>
          <w:sz w:val="22"/>
        </w:rPr>
        <w:t>is defined as: (a) acts or omissions constituting gross negligence, recklessness or willful misconduct on the part of Executive with respect to Executive’s ' obligations or otherwise relating to the business of Orbis; (b) Executive’s material breach of this Agreement including, without limitation, any breach of Section 8, Section 9 or Section 11; (c) Executive’s breach of Orbis's Employee Nondisclosure and Assignment Agreement (a copy of which has been executed and delivered to Orbis with this Agreement) (the “</w:t>
      </w:r>
      <w:r>
        <w:rPr>
          <w:rFonts w:ascii="Arial;Helvetica;sans-serif" w:hAnsi="Arial;Helvetica;sans-serif"/>
          <w:color w:val="1F1F1F"/>
          <w:sz w:val="22"/>
          <w:u w:val="single"/>
        </w:rPr>
        <w:t>Nondisclosure Agreement”</w:t>
      </w:r>
      <w:r>
        <w:rPr>
          <w:rFonts w:ascii="Arial;Helvetica;sans-serif" w:hAnsi="Arial;Helvetica;sans-serif"/>
          <w:color w:val="1F1F1F"/>
          <w:sz w:val="22"/>
        </w:rPr>
        <w:t xml:space="preserve">); (d) Executive's conviction or entry of a plea of </w:t>
      </w:r>
      <w:r>
        <w:rPr>
          <w:rFonts w:ascii="Arial;Helvetica;sans-serif" w:hAnsi="Arial;Helvetica;sans-serif"/>
          <w:i/>
          <w:color w:val="1F1F1F"/>
          <w:sz w:val="22"/>
        </w:rPr>
        <w:t xml:space="preserve">nolo contendere </w:t>
      </w:r>
      <w:r>
        <w:rPr>
          <w:rFonts w:ascii="Arial;Helvetica;sans-serif" w:hAnsi="Arial;Helvetica;sans-serif"/>
          <w:color w:val="1F1F1F"/>
          <w:sz w:val="22"/>
        </w:rPr>
        <w:t>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GCE, provided that Executive has received written notice of the action or omission giving rise to such determination and has failed to remedy such situation to the satisfaction of GCE within thirty (30) days following receipt of such written notice, unless Executive’s action or omission is not subject to cure, in which case no such notice shall be required; or (g) Executive's death. In the event Executive's employment is terminated in accordance with this Section 7 1, Executive shall be entitled to receive only Executive's Base Salary then in effect, prorated to the date of Executive’s termination of employment with Orbis (the “</w:t>
      </w:r>
      <w:r>
        <w:rPr>
          <w:rFonts w:ascii="Arial;Helvetica;sans-serif" w:hAnsi="Arial;Helvetica;sans-serif"/>
          <w:color w:val="1F1F1F"/>
          <w:sz w:val="22"/>
          <w:u w:val="single"/>
        </w:rPr>
        <w:t>Termination Date</w:t>
      </w:r>
      <w:r>
        <w:rPr>
          <w:rFonts w:ascii="Arial;Helvetica;sans-serif" w:hAnsi="Arial;Helvetica;sans-serif"/>
          <w:color w:val="1F1F1F"/>
          <w:sz w:val="20"/>
        </w:rPr>
        <w:t>”</w:t>
      </w:r>
      <w:r>
        <w:rPr>
          <w:rFonts w:ascii="Arial;Helvetica;sans-serif" w:hAnsi="Arial;Helvetica;sans-serif"/>
          <w:color w:val="1F1F1F"/>
          <w:sz w:val="22"/>
        </w:rPr>
        <w:t>), and all amounts and benefits earned or incurred pursuant to Sections 5 and 6 through the Termination Date. All other Orbis obligations to Executive pursuant to this Agreement will be automatically terminated and completely extinguished as of the Termination Date, but will be subject to the surviving provisions of this Agreement set forth in Section 13.8. Executive will not be entitled to receive the Severance Package described in Section 7.2.</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7.2</w:t>
      </w:r>
      <w:r>
        <w:rPr>
          <w:rFonts w:ascii="Arial;Helvetica;sans-serif" w:hAnsi="Arial;Helvetica;sans-serif"/>
          <w:color w:val="1F1F1F"/>
          <w:sz w:val="22"/>
          <w:u w:val="single"/>
        </w:rPr>
        <w:t>Termination Without Cause by Orbis.</w:t>
      </w:r>
      <w:r>
        <w:rPr>
          <w:rFonts w:ascii="Arial;Helvetica;sans-serif" w:hAnsi="Arial;Helvetica;sans-serif"/>
          <w:color w:val="1F1F1F"/>
          <w:sz w:val="20"/>
        </w:rPr>
        <w:t xml:space="preserve"> </w:t>
      </w:r>
      <w:r>
        <w:rPr>
          <w:rFonts w:ascii="Arial;Helvetica;sans-serif" w:hAnsi="Arial;Helvetica;sans-serif"/>
          <w:color w:val="1F1F1F"/>
          <w:sz w:val="22"/>
        </w:rPr>
        <w:t>Orbis may terminate Executive’s employment under this Agreement without Cause at any time upon written notice to Executive. In the event of such termination, Executive will receive Executive’s Base Salary then in effect, prorated to the Termination Date, and all amounts and benefits earned or incurred pursuant to Sections 5 and 6 through the Termination Date. In addition, subject to Sections 7.7 and 7.9, Executive will be entitled to receive a “</w:t>
      </w:r>
      <w:r>
        <w:rPr>
          <w:rFonts w:ascii="Arial;Helvetica;sans-serif" w:hAnsi="Arial;Helvetica;sans-serif"/>
          <w:color w:val="1F1F1F"/>
          <w:sz w:val="22"/>
          <w:u w:val="single"/>
        </w:rPr>
        <w:t>Severance Package”</w:t>
      </w:r>
      <w:r>
        <w:rPr>
          <w:rFonts w:ascii="Arial;Helvetica;sans-serif" w:hAnsi="Arial;Helvetica;sans-serif"/>
          <w:color w:val="1F1F1F"/>
          <w:sz w:val="20"/>
        </w:rPr>
        <w:t xml:space="preserve"> </w:t>
      </w:r>
      <w:r>
        <w:rPr>
          <w:rFonts w:ascii="Arial;Helvetica;sans-serif" w:hAnsi="Arial;Helvetica;sans-serif"/>
          <w:color w:val="1F1F1F"/>
          <w:sz w:val="22"/>
        </w:rPr>
        <w:t>that shall consist of:</w:t>
      </w:r>
    </w:p>
    <w:p>
      <w:pPr>
        <w:pStyle w:val="TextBody"/>
        <w:spacing w:before="0" w:after="0"/>
        <w:ind w:left="0" w:right="0" w:hanging="0"/>
        <w:jc w:val="both"/>
        <w:rPr/>
      </w:pPr>
      <w:r>
        <w:rPr/>
        <w:t>​</w:t>
      </w:r>
    </w:p>
    <w:p>
      <w:pPr>
        <w:pStyle w:val="TextBody"/>
        <w:spacing w:before="0" w:after="240"/>
        <w:ind w:left="0" w:right="0" w:firstLine="2160"/>
        <w:jc w:val="both"/>
        <w:rPr>
          <w:rFonts w:ascii="Arial;Helvetica;sans-serif" w:hAnsi="Arial;Helvetica;sans-serif"/>
          <w:sz w:val="22"/>
        </w:rPr>
      </w:pPr>
      <w:r>
        <w:rPr>
          <w:rFonts w:ascii="Arial;Helvetica;sans-serif" w:hAnsi="Arial;Helvetica;sans-serif"/>
          <w:sz w:val="22"/>
        </w:rPr>
        <w:t>(a)severance in an amount equal to the sum of (i) twelve (12) months of Executive’s Base Salary then in effect on the Termination Date, and (ii) 100% of Executive’s Target Bonus for the fiscal year in which the Termination Date occurs, with the total of such amounts to be payable over twelve (12) months in equal installments in accordance with Orbis’s regular payroll cycle, commencing with the first payroll date occurring on or after the 60th day following the Termination Date;</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rPr/>
      </w:pPr>
      <w:r>
        <w:rPr/>
      </w:r>
    </w:p>
    <w:p>
      <w:pPr>
        <w:pStyle w:val="TextBody"/>
        <w:spacing w:before="0" w:after="0"/>
        <w:ind w:left="0" w:right="0" w:hanging="0"/>
        <w:rPr/>
      </w:pPr>
      <w:r>
        <w:rPr/>
        <w:t>​</w:t>
      </w:r>
    </w:p>
    <w:p>
      <w:pPr>
        <w:pStyle w:val="TextBody"/>
        <w:spacing w:before="0" w:after="240"/>
        <w:ind w:left="0" w:right="0" w:firstLine="2160"/>
        <w:jc w:val="both"/>
        <w:rPr>
          <w:rFonts w:ascii="Arial;Helvetica;sans-serif" w:hAnsi="Arial;Helvetica;sans-serif"/>
          <w:sz w:val="20"/>
        </w:rPr>
      </w:pPr>
      <w:r>
        <w:rPr>
          <w:rFonts w:ascii="Arial;Helvetica;sans-serif" w:hAnsi="Arial;Helvetica;sans-serif"/>
          <w:sz w:val="22"/>
        </w:rPr>
        <w:t>(b)payment by Orbis of the premiums required to continue Executive’s group health care coverage under the applicable provisions of the Consolidated Omnibus Budget Reconciliation Act of 1985 (“</w:t>
      </w:r>
      <w:r>
        <w:rPr>
          <w:rFonts w:ascii="Arial;Helvetica;sans-serif" w:hAnsi="Arial;Helvetica;sans-serif"/>
          <w:sz w:val="22"/>
          <w:u w:val="single"/>
        </w:rPr>
        <w:t>COBRA</w:t>
      </w:r>
      <w:r>
        <w:rPr>
          <w:rFonts w:ascii="Arial;Helvetica;sans-serif" w:hAnsi="Arial;Helvetica;sans-serif"/>
          <w:sz w:val="20"/>
        </w:rPr>
        <w:t>”</w:t>
      </w:r>
      <w:r>
        <w:rPr>
          <w:rFonts w:ascii="Arial;Helvetica;sans-serif" w:hAnsi="Arial;Helvetica;sans-serif"/>
          <w:sz w:val="22"/>
        </w:rPr>
        <w:t>) for a period (the “</w:t>
      </w:r>
      <w:r>
        <w:rPr>
          <w:rFonts w:ascii="Arial;Helvetica;sans-serif" w:hAnsi="Arial;Helvetica;sans-serif"/>
          <w:sz w:val="22"/>
          <w:u w:val="single"/>
        </w:rPr>
        <w:t>COBRA Payment Period</w:t>
      </w:r>
      <w:r>
        <w:rPr>
          <w:rFonts w:ascii="Arial;Helvetica;sans-serif" w:hAnsi="Arial;Helvetica;sans-serif"/>
          <w:sz w:val="20"/>
        </w:rPr>
        <w:t>”</w:t>
      </w:r>
      <w:r>
        <w:rPr>
          <w:rFonts w:ascii="Arial;Helvetica;sans-serif" w:hAnsi="Arial;Helvetica;sans-serif"/>
          <w:sz w:val="22"/>
        </w:rPr>
        <w:t>) ending on the earlier of (i) twelve (12) months following the Termination Date or (ii) the date on which Executive becomes eligible for health coverage through another employer, provided in any event that Executive timely elects to continue and remains eligible for these benefits under COBRA; and</w:t>
      </w:r>
    </w:p>
    <w:p>
      <w:pPr>
        <w:pStyle w:val="TextBody"/>
        <w:spacing w:before="0" w:after="240"/>
        <w:ind w:left="0" w:right="0" w:firstLine="2160"/>
        <w:jc w:val="both"/>
        <w:rPr>
          <w:rFonts w:ascii="Arial;Helvetica;sans-serif" w:hAnsi="Arial;Helvetica;sans-serif"/>
          <w:sz w:val="22"/>
        </w:rPr>
      </w:pPr>
      <w:r>
        <w:rPr>
          <w:rFonts w:ascii="Arial;Helvetica;sans-serif" w:hAnsi="Arial;Helvetica;sans-serif"/>
          <w:sz w:val="22"/>
        </w:rPr>
        <w:t>(c)acceleration of the vesting of any outstanding time-based Equity Awards to the extent that such Equity Awards would have vested in accordance with their terms had Executive’s employment with Orbis continued uninterrupted until the first anniversary of the Termination Date.</w:t>
      </w:r>
    </w:p>
    <w:p>
      <w:pPr>
        <w:pStyle w:val="TextBody"/>
        <w:spacing w:before="0" w:after="0"/>
        <w:ind w:left="0" w:right="0" w:hanging="0"/>
        <w:jc w:val="both"/>
        <w:rPr>
          <w:rFonts w:ascii="Arial;Helvetica;sans-serif" w:hAnsi="Arial;Helvetica;sans-serif"/>
          <w:sz w:val="20"/>
        </w:rPr>
      </w:pPr>
      <w:r>
        <w:rPr>
          <w:rFonts w:ascii="Arial;Helvetica;sans-serif" w:hAnsi="Arial;Helvetica;sans-serif"/>
          <w:sz w:val="22"/>
        </w:rPr>
        <w:t>Notwithstanding Section 7.2(b), if Orbis determines, in its sole discretion, that the payment of the COBRA premiums would result in a violation of the nondiscrimination rules of Section 105(h)(2) of the Internal Revenue Code of 1986, as amended (the “</w:t>
      </w:r>
      <w:r>
        <w:rPr>
          <w:rFonts w:ascii="Arial;Helvetica;sans-serif" w:hAnsi="Arial;Helvetica;sans-serif"/>
          <w:sz w:val="22"/>
          <w:u w:val="single"/>
        </w:rPr>
        <w:t>Code</w:t>
      </w:r>
      <w:r>
        <w:rPr>
          <w:rFonts w:ascii="Arial;Helvetica;sans-serif" w:hAnsi="Arial;Helvetica;sans-serif"/>
          <w:sz w:val="20"/>
        </w:rPr>
        <w:t>”</w:t>
      </w:r>
      <w:r>
        <w:rPr>
          <w:rFonts w:ascii="Arial;Helvetica;sans-serif" w:hAnsi="Arial;Helvetica;sans-serif"/>
          <w:sz w:val="22"/>
        </w:rPr>
        <w:t>), or any statute or regulation of similar effect (including but not limited to the 2010 Patient Protection and Affordable Care Act, as amended by the 2010 Health Care and Education Reconciliation Act), then in lieu of providing the COBRA premiums, Orbis, in its sole discretion, may elect to instead pay Executive on the first day of each month of the COBRA Payment Period, a fully taxable cash payment equal to the COBRA premiums for that month, subject to applicable tax withholdings (such amount, the “</w:t>
      </w:r>
      <w:r>
        <w:rPr>
          <w:rFonts w:ascii="Arial;Helvetica;sans-serif" w:hAnsi="Arial;Helvetica;sans-serif"/>
          <w:sz w:val="22"/>
          <w:u w:val="single"/>
        </w:rPr>
        <w:t>Special Severance Payment</w:t>
      </w:r>
      <w:r>
        <w:rPr>
          <w:rFonts w:ascii="Arial;Helvetica;sans-serif" w:hAnsi="Arial;Helvetica;sans-serif"/>
          <w:sz w:val="22"/>
        </w:rPr>
        <w:t>,” which shall be treated as part of the Severance Package), for the remainder of the COBRA Payment Period. Executive may, but is not obligated to, use such Special Severance Payment toward the cost of COBRA premiums. All other Orbis obligations to Executive will be automatically terminated and completely extinguished, but will be subject to the surviving provisions of this Agreement set forth in Section 14.8.</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7.3</w:t>
      </w:r>
      <w:r>
        <w:rPr>
          <w:rFonts w:ascii="Arial;Helvetica;sans-serif" w:hAnsi="Arial;Helvetica;sans-serif"/>
          <w:color w:val="1F1F1F"/>
          <w:sz w:val="22"/>
          <w:u w:val="single"/>
        </w:rPr>
        <w:t>Voluntary Resignation by Executive for Good Reason</w:t>
      </w:r>
      <w:r>
        <w:rPr>
          <w:rFonts w:ascii="Arial;Helvetica;sans-serif" w:hAnsi="Arial;Helvetica;sans-serif"/>
          <w:color w:val="1F1F1F"/>
          <w:sz w:val="22"/>
        </w:rPr>
        <w:t>. Executive may voluntarily resign Executive's position with Orbis for Good Reason at any time on thirty (30) days' advance written notice to Orbis. In the event of Executive's resignation for Good Reason, Executive will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the Severance Package described in Section 7.2. All other Orbis obligations to Executive pursuant to this Agreement will be automatically terminated and completely extinguished, but will be subject to the surviving provisions of this Agreement set forth in Section 13.8. Executive will be deemed to have resigned for Good Reason if Executive voluntarily terminates Executive's employment with Orbis within ninety (90) days following the first occurrence of a condition constituting Good Reason. “</w:t>
      </w:r>
      <w:r>
        <w:rPr>
          <w:rFonts w:ascii="Arial;Helvetica;sans-serif" w:hAnsi="Arial;Helvetica;sans-serif"/>
          <w:color w:val="1F1F1F"/>
          <w:sz w:val="22"/>
          <w:u w:val="single"/>
        </w:rPr>
        <w:t>Good Reason</w:t>
      </w:r>
      <w:r>
        <w:rPr>
          <w:rFonts w:ascii="Arial;Helvetica;sans-serif" w:hAnsi="Arial;Helvetica;sans-serif"/>
          <w:color w:val="1F1F1F"/>
          <w:sz w:val="20"/>
        </w:rPr>
        <w:t xml:space="preserve">” </w:t>
      </w:r>
      <w:r>
        <w:rPr>
          <w:rFonts w:ascii="Arial;Helvetica;sans-serif" w:hAnsi="Arial;Helvetica;sans-serif"/>
          <w:color w:val="1F1F1F"/>
          <w:sz w:val="22"/>
        </w:rPr>
        <w:t>means the occurrence of any of the following conditions without Executive's written consent, which condition(s) remain(s) in effect thirty (30) days after Executive provides written notice to Orbis of such condition(s): (i) a material reduction in Executive’s Base Salary as then in effect prior to such reduction, other than as part of a salary reduction program among similar management employees, (ii) a material diminution in Executive's authority, duties or responsibilities as an employee of Orbis as they existed prior to such change, or (iii) a relocation of Executive's principal place of work which increases Executive's one-way commute distance by more than fifty (50) miles. Executive will be deemed to have given consent to any condition(s) described in this Section 7.3 if Executive does not provide written notice to Orbis of Executive's intent to exercise Executive's rights pursuant to this Section within thirty (30) days following the first occurrence of such condition(s).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7.4</w:t>
      </w:r>
      <w:r>
        <w:rPr>
          <w:rFonts w:ascii="Arial;Helvetica;sans-serif" w:hAnsi="Arial;Helvetica;sans-serif"/>
          <w:color w:val="1F1F1F"/>
          <w:sz w:val="22"/>
          <w:u w:val="single"/>
        </w:rPr>
        <w:t>Voluntary Resignation by Executive Without Good Reason</w:t>
      </w:r>
      <w:r>
        <w:rPr>
          <w:rFonts w:ascii="Arial;Helvetica;sans-serif" w:hAnsi="Arial;Helvetica;sans-serif"/>
          <w:color w:val="1F1F1F"/>
          <w:sz w:val="22"/>
        </w:rPr>
        <w:t>. Executive may voluntarily resign Executive's position with Orbis without Good Reason at any time on thirty</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color w:val="1F1F1F"/>
          <w:sz w:val="22"/>
        </w:rPr>
      </w:pPr>
      <w:r>
        <w:rPr>
          <w:rFonts w:ascii="Arial;Helvetica;sans-serif" w:hAnsi="Arial;Helvetica;sans-serif"/>
          <w:color w:val="1F1F1F"/>
          <w:sz w:val="22"/>
        </w:rPr>
        <w:t>(30) days' advance written notice to Orbis. In the event of Executive’s resignation without Good Reason, Executive will be entitled to receive only Executive's Base Salary then in effect, prorated to the Termination Date, and all amounts and benefits earned or incurred pursuant to Sections 5 and 6 through the Termination Date. All other Orbis obligations to Executive pursuant to this Agreement will be automatically terminated and completely extinguished. Executive will not be entitled to receive the Severance Package described in Section 7.2, but will be subject to the surviving provisions of this Agreement set forth in Section 13.8.</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7.5</w:t>
      </w:r>
      <w:r>
        <w:rPr>
          <w:rFonts w:ascii="Arial;Helvetica;sans-serif" w:hAnsi="Arial;Helvetica;sans-serif"/>
          <w:color w:val="1F1F1F"/>
          <w:sz w:val="22"/>
          <w:u w:val="single"/>
        </w:rPr>
        <w:t>Termination After a Change in Control</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(a)</w:t>
      </w:r>
      <w:r>
        <w:rPr>
          <w:rFonts w:ascii="Arial;Helvetica;sans-serif" w:hAnsi="Arial;Helvetica;sans-serif"/>
          <w:color w:val="1F1F1F"/>
          <w:sz w:val="22"/>
          <w:u w:val="single"/>
        </w:rPr>
        <w:t>Severance Payment; Equity Award Acceleration.</w:t>
      </w:r>
      <w:r>
        <w:rPr>
          <w:rFonts w:ascii="Arial;Helvetica;sans-serif" w:hAnsi="Arial;Helvetica;sans-serif"/>
          <w:color w:val="1F1F1F"/>
          <w:sz w:val="20"/>
        </w:rPr>
        <w:t xml:space="preserve"> </w:t>
      </w:r>
      <w:r>
        <w:rPr>
          <w:rFonts w:ascii="Arial;Helvetica;sans-serif" w:hAnsi="Arial;Helvetica;sans-serif"/>
          <w:color w:val="1F1F1F"/>
          <w:sz w:val="22"/>
        </w:rPr>
        <w:t>If, upon or within twelve (12) months after a Change in Control (as that term is defined below), Executive’s employment is terminated by Orbis other than for Cause (as defined in Section 7.1) or Executive resigns for Good Reason (as defined in Section 7.3), then Executive shall be entitled to receive Executive’s Base Salary then in effect, prorated to the Termination Date, and all amounts and benefits earned or incurred pursuant to Sections 5 and 6 through the Termination Date. In addition, subject to Sections 7.7 and 7.9, Executive will be entitled to receive (i) the Severance Package described in Section 7.2 and (ii) to the extent not yet vested, but subject to the terms of any agreement governing any such Equity Award, any outstanding Equity Awards granted to Executive by GCE shall vest in full as of the Termination Date. All other GCE or Orbis obligations to Executive pursuant to this Agreement will be automatically terminated and completely extinguished as of the Termination Date, but will be subject to the surviving provisions of this Agreement set forth in Section 13.8.</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(b)</w:t>
      </w:r>
      <w:r>
        <w:rPr>
          <w:rFonts w:ascii="Arial;Helvetica;sans-serif" w:hAnsi="Arial;Helvetica;sans-serif"/>
          <w:color w:val="1F1F1F"/>
          <w:sz w:val="22"/>
          <w:u w:val="single"/>
        </w:rPr>
        <w:t>Parachute Payments</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w:t>
      </w:r>
      <w:r>
        <w:rPr>
          <w:rFonts w:ascii="Arial;Helvetica;sans-serif" w:hAnsi="Arial;Helvetica;sans-serif"/>
          <w:color w:val="1F1F1F"/>
          <w:sz w:val="22"/>
        </w:rPr>
        <w:t>Notwithstanding any provision of this Agreement to the contrary, if any payment or benefit Executive would receive pursuant to this Agreement or otherwise (collectively, the “</w:t>
      </w:r>
      <w:r>
        <w:rPr>
          <w:rFonts w:ascii="Arial;Helvetica;sans-serif" w:hAnsi="Arial;Helvetica;sans-serif"/>
          <w:color w:val="1F1F1F"/>
          <w:sz w:val="22"/>
          <w:u w:val="single"/>
        </w:rPr>
        <w:t>Payments”</w:t>
      </w:r>
      <w:r>
        <w:rPr>
          <w:rFonts w:ascii="Arial;Helvetica;sans-serif" w:hAnsi="Arial;Helvetica;sans-serif"/>
          <w:color w:val="1F1F1F"/>
          <w:sz w:val="22"/>
        </w:rPr>
        <w:t>) would constitute a “parachute payment” within the meaning of Section 280G of the Code, and, but for this sentence, would be subject to the excise tax imposed by Section 4999 of the Code or any similar or successor provision (the “</w:t>
      </w:r>
      <w:r>
        <w:rPr>
          <w:rFonts w:ascii="Arial;Helvetica;sans-serif" w:hAnsi="Arial;Helvetica;sans-serif"/>
          <w:color w:val="1F1F1F"/>
          <w:sz w:val="22"/>
          <w:u w:val="single"/>
        </w:rPr>
        <w:t>Excise Tax</w:t>
      </w:r>
      <w:r>
        <w:rPr>
          <w:rFonts w:ascii="Arial;Helvetica;sans-serif" w:hAnsi="Arial;Helvetica;sans-serif"/>
          <w:color w:val="1F1F1F"/>
          <w:sz w:val="20"/>
        </w:rPr>
        <w:t>”</w:t>
      </w:r>
      <w:r>
        <w:rPr>
          <w:rFonts w:ascii="Arial;Helvetica;sans-serif" w:hAnsi="Arial;Helvetica;sans-serif"/>
          <w:color w:val="1F1F1F"/>
          <w:sz w:val="22"/>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Executive's receipt, on an after-tax basis, of the greatest amount of the Payments. Any reduction in the Payments required by this Section will be made in the following order: (A) reduction of cash payments; (B) reduction of accelerated vesting of Equity Awards other than stock options; (C) reduction of accelerated vesting of stock options; and (D) reduction of other benefits paid or provided to Executive. In the event that acceleration of vesting of Equity Awards is to be reduced, such acceleration of vesting will be cancelled in the reverse order of the date of grant of such Equity Awards. If two or more Equity Awards are granted on the same date, the accelerated vesting of each award will be reduced on a pro-rata basis.</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w:t>
      </w:r>
      <w:r>
        <w:rPr>
          <w:rFonts w:ascii="Arial;Helvetica;sans-serif" w:hAnsi="Arial;Helvetica;sans-serif"/>
          <w:color w:val="1F1F1F"/>
          <w:sz w:val="22"/>
        </w:rPr>
        <w:t>The professional firm engaged by GCE for general tax purposes as of the day prior to the date of the event that might reasonably be anticipated to result in Payments that would otherwise be subject to the Excise Tax will perform the foregoing calculations. If the tax firm so engaged by GCE is serving as accountant or auditor for the acquiring company, GCE will appoint a nationally recognized tax firm to make the determinations</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color w:val="1F1F1F"/>
          <w:sz w:val="22"/>
        </w:rPr>
      </w:pPr>
      <w:r>
        <w:rPr>
          <w:rFonts w:ascii="Arial;Helvetica;sans-serif" w:hAnsi="Arial;Helvetica;sans-serif"/>
          <w:color w:val="1F1F1F"/>
          <w:sz w:val="22"/>
        </w:rPr>
        <w:t>required by this Section. GCE will bear all expenses with respect to the determinations by the tax firm required to be made by this Section. GCE and Executive shall furnish the tax firm such information and documents as the tax firm may reasonably request in order to make its required determination. The tax firm will provide its calculations, together with detailed supporting documentation, to GCE and Executive as soon as practicable following its engagement. Any good faith determinations of the tax firm made hereunder will be final, binding and conclusive upon GCE, Orbis and Executive.</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(c)</w:t>
      </w:r>
      <w:r>
        <w:rPr>
          <w:rFonts w:ascii="Arial;Helvetica;sans-serif" w:hAnsi="Arial;Helvetica;sans-serif"/>
          <w:color w:val="1F1F1F"/>
          <w:sz w:val="22"/>
          <w:u w:val="single"/>
        </w:rPr>
        <w:t>Change in Control</w:t>
      </w:r>
      <w:r>
        <w:rPr>
          <w:rFonts w:ascii="Arial;Helvetica;sans-serif" w:hAnsi="Arial;Helvetica;sans-serif"/>
          <w:color w:val="1F1F1F"/>
          <w:sz w:val="22"/>
        </w:rPr>
        <w:t>. A Change in Control is defined as any one of the following occurrences:</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w:t>
      </w:r>
      <w:r>
        <w:rPr>
          <w:rFonts w:ascii="Arial;Helvetica;sans-serif" w:hAnsi="Arial;Helvetica;sans-serif"/>
          <w:color w:val="1F1F1F"/>
          <w:sz w:val="22"/>
        </w:rPr>
        <w:t>Any “person” (as such term is used in Sections 13(d) and 14(d) of the Securities Exchange Act of 1934 (the “</w:t>
      </w:r>
      <w:r>
        <w:rPr>
          <w:rFonts w:ascii="Arial;Helvetica;sans-serif" w:hAnsi="Arial;Helvetica;sans-serif"/>
          <w:color w:val="1F1F1F"/>
          <w:sz w:val="22"/>
          <w:u w:val="single"/>
        </w:rPr>
        <w:t>Exchange Act</w:t>
      </w:r>
      <w:r>
        <w:rPr>
          <w:rFonts w:ascii="Arial;Helvetica;sans-serif" w:hAnsi="Arial;Helvetica;sans-serif"/>
          <w:color w:val="1F1F1F"/>
          <w:sz w:val="20"/>
        </w:rPr>
        <w:t>”</w:t>
      </w:r>
      <w:r>
        <w:rPr>
          <w:rFonts w:ascii="Arial;Helvetica;sans-serif" w:hAnsi="Arial;Helvetica;sans-serif"/>
          <w:color w:val="1F1F1F"/>
          <w:sz w:val="22"/>
        </w:rPr>
        <w:t>)), becomes the “beneficial owner” (as such term is defined in Rule 13d-3 promulgated under the Exchange Act), directly or indirectly, of securities of GCE representing more than fifty percent (50%) of the total fair market value or total combined voting power of GCE’s then 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GCE, including, without limitation, pursuant to or in connection with a public offering of securities, (C) any acquisition of securities by GCE, (D) any acquisition of securities by a trustee or other fiduciary under an employee benefit plan of GCE, or (E) any acquisition of securities by an entity owned directly or indirectly by the stockholders of GCE in substantially the same proportions as their ownership of the voting securities of GCE; or</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w:t>
      </w:r>
      <w:r>
        <w:rPr>
          <w:rFonts w:ascii="Arial;Helvetica;sans-serif" w:hAnsi="Arial;Helvetica;sans-serif"/>
          <w:color w:val="1F1F1F"/>
          <w:sz w:val="22"/>
        </w:rPr>
        <w:t>the sale or disposition of all or substantially all of GCE's assets (other than a sale or disposition to one or more subsidiaries of Orbis), or any transaction having similar effect is consummated; or</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(iii)</w:t>
      </w:r>
      <w:r>
        <w:rPr>
          <w:rFonts w:ascii="Arial;Helvetica;sans-serif" w:hAnsi="Arial;Helvetica;sans-serif"/>
          <w:color w:val="1F1F1F"/>
          <w:sz w:val="22"/>
        </w:rPr>
        <w:t>GCE is party to a merger or consolidation that results in the holders of voting securities of GCE outstanding immediately prior thereto failing to continue to represent (either by remaining outstanding or by being converted into voting securities of the surviving entity) more than 50% of the combined voting power of the voting securities of GCE or such surviving entity outstanding immediately after such merger or consolidation; or</w:t>
      </w:r>
    </w:p>
    <w:p>
      <w:pPr>
        <w:pStyle w:val="TextBody"/>
        <w:spacing w:before="0" w:after="0"/>
        <w:ind w:left="0" w:right="0" w:hanging="0"/>
        <w:jc w:val="both"/>
        <w:rPr/>
      </w:pPr>
      <w:r>
        <w:rPr/>
        <w:t>​</w:t>
      </w:r>
    </w:p>
    <w:p>
      <w:pPr>
        <w:pStyle w:val="TextBody"/>
        <w:spacing w:before="0" w:after="0"/>
        <w:ind w:left="0" w:right="0" w:firstLine="2880"/>
        <w:jc w:val="both"/>
        <w:rPr>
          <w:rFonts w:ascii="Arial;Helvetica;sans-serif" w:hAnsi="Arial;Helvetica;sans-serif"/>
          <w:sz w:val="20"/>
        </w:rPr>
      </w:pPr>
      <w:r>
        <w:rPr>
          <w:rFonts w:ascii="Arial;Helvetica;sans-serif" w:hAnsi="Arial;Helvetica;sans-serif"/>
          <w:color w:val="1F1F1F"/>
          <w:sz w:val="23"/>
        </w:rPr>
        <w:t>(iv)</w:t>
      </w:r>
      <w:r>
        <w:rPr>
          <w:rFonts w:ascii="Arial;Helvetica;sans-serif" w:hAnsi="Arial;Helvetica;sans-serif"/>
          <w:color w:val="1F1F1F"/>
          <w:sz w:val="22"/>
        </w:rPr>
        <w:t>the dissolution or liquidation of GCE.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7.6</w:t>
      </w:r>
      <w:r>
        <w:rPr>
          <w:rFonts w:ascii="Arial;Helvetica;sans-serif" w:hAnsi="Arial;Helvetica;sans-serif"/>
          <w:color w:val="1F1F1F"/>
          <w:sz w:val="22"/>
          <w:u w:val="single"/>
        </w:rPr>
        <w:t>Termination of Employment Upon Nonrenewal.</w:t>
      </w:r>
      <w:r>
        <w:rPr>
          <w:rFonts w:ascii="Arial;Helvetica;sans-serif" w:hAnsi="Arial;Helvetica;sans-serif"/>
          <w:color w:val="1F1F1F"/>
          <w:sz w:val="20"/>
        </w:rPr>
        <w:t xml:space="preserve"> </w:t>
      </w:r>
      <w:r>
        <w:rPr>
          <w:rFonts w:ascii="Arial;Helvetica;sans-serif" w:hAnsi="Arial;Helvetica;sans-serif"/>
          <w:color w:val="1F1F1F"/>
          <w:sz w:val="22"/>
        </w:rPr>
        <w:t>In the event either party decides not to renew this Agreement for a subsequent term in accordance with Section 3.2, this Agreement will expire automatically upon completion of the then effective Term, and Executive’s employment with Orbis will thereupon terminate. Executive will be entitled to receive only Executive's Base Salary then in effect, prorated to the Termination Date, and all amounts and benefits earned or incurred pursuant to Sections 5 and 6 through the Termination Date. All other Orbis obligations to Executive pursuant to this Agreement will be automatically terminated and completely extinguished. Executive will not be entitled to receive the Severance Package described in Section 7.2, but will be subject to the surviving provisions of this Agreement as set forth in Section 13.8.</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7.7</w:t>
      </w:r>
      <w:r>
        <w:rPr>
          <w:rFonts w:ascii="Arial;Helvetica;sans-serif" w:hAnsi="Arial;Helvetica;sans-serif"/>
          <w:color w:val="1F1F1F"/>
          <w:sz w:val="22"/>
          <w:u w:val="single"/>
        </w:rPr>
        <w:t>Conditions to Severance Package</w:t>
      </w:r>
      <w:r>
        <w:rPr>
          <w:rFonts w:ascii="Arial;Helvetica;sans-serif" w:hAnsi="Arial;Helvetica;sans-serif"/>
          <w:color w:val="1F1F1F"/>
          <w:sz w:val="22"/>
        </w:rPr>
        <w:t>. Executive will only be entitled to receive the Severance Package if, on or before the 60th day following the Termination Date, Executive</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color w:val="1F1F1F"/>
          <w:sz w:val="22"/>
        </w:rPr>
      </w:pPr>
      <w:r>
        <w:rPr>
          <w:rFonts w:ascii="Arial;Helvetica;sans-serif" w:hAnsi="Arial;Helvetica;sans-serif"/>
          <w:color w:val="1F1F1F"/>
          <w:sz w:val="22"/>
        </w:rPr>
        <w:t>executes a full general release, releasing all claims, known or unknown, that Executive may have against Orbis and its officers, directors, employees and affiliated companies arising out of or any way related to Executive's employment or termination of employment with Orbis, and the period for revocation, if any, of such release has lapsed without the release having been revoked. In the event that Executive breaches any of the covenants contained in Sections 9 (“Other Covenants”), 10 (“Confidentiality and Proprietary Rights”) or 11 (“Non-Competition; Nonsolicitation of Orbis Employees”), Orbis shall have the right to (a) terminate further provision of any portion of the Severance Package not yet paid or provided, and (b) seek reimbursement from Executive for any and all portions of the Severance Package previously paid or provided to Executive.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7.8</w:t>
      </w:r>
      <w:r>
        <w:rPr>
          <w:rFonts w:ascii="Arial;Helvetica;sans-serif" w:hAnsi="Arial;Helvetica;sans-serif"/>
          <w:color w:val="1F1F1F"/>
          <w:sz w:val="22"/>
          <w:u w:val="single"/>
        </w:rPr>
        <w:t>Resignation of Board or Other Positions</w:t>
      </w:r>
      <w:r>
        <w:rPr>
          <w:rFonts w:ascii="Arial;Helvetica;sans-serif" w:hAnsi="Arial;Helvetica;sans-serif"/>
          <w:color w:val="1F1F1F"/>
          <w:sz w:val="22"/>
        </w:rPr>
        <w:t>. Executive agrees that should Executive's employment terminate for any reason, Executive will immediately resign all other positions (including board membership) Executive may hold on behalf of GCE or Orbis.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7.9</w:t>
      </w:r>
      <w:r>
        <w:rPr>
          <w:rFonts w:ascii="Arial;Helvetica;sans-serif" w:hAnsi="Arial;Helvetica;sans-serif"/>
          <w:color w:val="1F1F1F"/>
          <w:sz w:val="22"/>
          <w:u w:val="single"/>
        </w:rPr>
        <w:t>Application of Section 409A</w:t>
      </w:r>
      <w:r>
        <w:rPr>
          <w:rFonts w:ascii="Arial;Helvetica;sans-serif" w:hAnsi="Arial;Helvetica;sans-serif"/>
          <w:color w:val="1F1F1F"/>
          <w:sz w:val="22"/>
        </w:rPr>
        <w:t>.</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(a)Notwithstanding anything set forth in this Agreement to the contrary, no amount payable pursuant to this Agreement on account of Executive's termination of employment with Orbis which constitutes a “deferral of compensation” within the meaning of the Treasury Regulations issued pursuant to Section 409A of the Code (the “</w:t>
      </w:r>
      <w:r>
        <w:rPr>
          <w:rFonts w:ascii="Arial;Helvetica;sans-serif" w:hAnsi="Arial;Helvetica;sans-serif"/>
          <w:color w:val="1F1F1F"/>
          <w:sz w:val="22"/>
          <w:u w:val="single"/>
        </w:rPr>
        <w:t>Section 409A Regulations”</w:t>
      </w:r>
      <w:r>
        <w:rPr>
          <w:rFonts w:ascii="Arial;Helvetica;sans-serif" w:hAnsi="Arial;Helvetica;sans-serif"/>
          <w:color w:val="1F1F1F"/>
          <w:sz w:val="22"/>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Helvetica;sans-serif" w:hAnsi="Arial;Helvetica;sans-serif"/>
          <w:color w:val="1F1F1F"/>
          <w:sz w:val="22"/>
          <w:u w:val="single"/>
        </w:rPr>
        <w:t>Delayed Payment Date</w:t>
      </w:r>
      <w:r>
        <w:rPr>
          <w:rFonts w:ascii="Arial;Helvetica;sans-serif" w:hAnsi="Arial;Helvetica;sans-serif"/>
          <w:color w:val="1F1F1F"/>
          <w:sz w:val="20"/>
        </w:rPr>
        <w:t>”</w:t>
      </w:r>
      <w:r>
        <w:rPr>
          <w:rFonts w:ascii="Arial;Helvetica;sans-serif" w:hAnsi="Arial;Helvetica;sans-serif"/>
          <w:color w:val="1F1F1F"/>
          <w:sz w:val="22"/>
        </w:rPr>
        <w:t>) which is first day of the seventh month after the date of Executive's separation from service or, if earlier, the date of Executive’s death following such separation from service. All such amounts that would, but for this Section 7.9(a), become payable prior to the Delayed Payment Date will be accumulated and paid on the Delayed Payment Date.</w:t>
      </w:r>
    </w:p>
    <w:p>
      <w:pPr>
        <w:pStyle w:val="TextBody"/>
        <w:spacing w:before="0" w:after="0"/>
        <w:ind w:left="216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(b)</w:t>
      </w:r>
      <w:r>
        <w:rPr>
          <w:rFonts w:ascii="Arial;Helvetica;sans-serif" w:hAnsi="Arial;Helvetica;sans-serif"/>
          <w:sz w:val="22"/>
        </w:rPr>
        <w:t>It is the intent of Orbis and Executive that any right of Executive to receive installment payments hereunder shall, for all purposes of Section 409A of the Code, be treated as a right to a series of separate payments.</w:t>
      </w:r>
    </w:p>
    <w:p>
      <w:pPr>
        <w:pStyle w:val="TextBody"/>
        <w:spacing w:before="0" w:after="0"/>
        <w:ind w:left="0" w:right="0" w:hanging="0"/>
        <w:jc w:val="both"/>
        <w:rPr/>
      </w:pPr>
      <w:r>
        <w:rPr/>
        <w:t>​</w:t>
      </w:r>
    </w:p>
    <w:p>
      <w:pPr>
        <w:pStyle w:val="TextBody"/>
        <w:spacing w:before="0" w:after="0"/>
        <w:ind w:left="0" w:right="0" w:firstLine="2160"/>
        <w:jc w:val="both"/>
        <w:rPr>
          <w:rFonts w:ascii="Arial;Helvetica;sans-serif" w:hAnsi="Arial;Helvetica;sans-serif"/>
          <w:sz w:val="20"/>
        </w:rPr>
      </w:pPr>
      <w:r>
        <w:rPr>
          <w:rFonts w:ascii="Arial;Helvetica;sans-serif" w:hAnsi="Arial;Helvetica;sans-serif"/>
          <w:color w:val="1F1F1F"/>
          <w:sz w:val="22"/>
        </w:rPr>
        <w:t>(c)</w:t>
      </w:r>
      <w:r>
        <w:rPr>
          <w:rFonts w:ascii="Arial;Helvetica;sans-serif" w:hAnsi="Arial;Helvetica;sans-serif"/>
          <w:sz w:val="22"/>
        </w:rPr>
        <w:t xml:space="preserve">Orbis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Helvetica;sans-serif" w:hAnsi="Arial;Helvetica;sans-serif"/>
          <w:b/>
          <w:sz w:val="22"/>
        </w:rPr>
        <w:t>However, Orbis does not guarantee any particular tax effect for income provided to Executive pursuant to this Agreement.</w:t>
      </w:r>
      <w:r>
        <w:rPr>
          <w:rFonts w:ascii="Arial;Helvetica;sans-serif" w:hAnsi="Arial;Helvetica;sans-serif"/>
          <w:sz w:val="20"/>
        </w:rPr>
        <w:t xml:space="preserve"> </w:t>
      </w:r>
      <w:r>
        <w:rPr>
          <w:rFonts w:ascii="Arial;Helvetica;sans-serif" w:hAnsi="Arial;Helvetica;sans-serif"/>
          <w:sz w:val="22"/>
        </w:rPr>
        <w:t>In any event, except for Orbis's responsibility to withhold applicable income and employment taxes from compensation paid or provided to Executive, Orbis shall not be responsible for the payment of any applicable taxes incurred by Executive on compensation paid or provided to Executive pursuant to this Agreement.</w:t>
      </w:r>
    </w:p>
    <w:p>
      <w:pPr>
        <w:pStyle w:val="TextBody"/>
        <w:spacing w:before="0" w:after="0"/>
        <w:ind w:left="0" w:right="0" w:firstLine="8"/>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8.</w:t>
      </w:r>
      <w:r>
        <w:rPr>
          <w:rFonts w:ascii="Arial;Helvetica;sans-serif" w:hAnsi="Arial;Helvetica;sans-serif"/>
          <w:sz w:val="22"/>
          <w:u w:val="single"/>
        </w:rPr>
        <w:t>No Violation of Rights of Third Parties.</w:t>
      </w:r>
      <w:r>
        <w:rPr>
          <w:rFonts w:ascii="Arial;Helvetica;sans-serif" w:hAnsi="Arial;Helvetica;sans-serif"/>
          <w:sz w:val="20"/>
        </w:rPr>
        <w:t xml:space="preserve"> </w:t>
      </w:r>
      <w:r>
        <w:rPr>
          <w:rFonts w:ascii="Arial;Helvetica;sans-serif" w:hAnsi="Arial;Helvetica;sans-serif"/>
          <w:sz w:val="22"/>
        </w:rPr>
        <w:t>Executive represents and warrants to Orbis that Executive is not currently a party, and will not become a party, to any other agreement that is in conflict with, or will prevent Executive from complying with, this Agreement. Executive further represents and warrants to Orbis that Executive's performance of all of the terms of this Agreement as an employee of Orbis does not and will not breach any agreement to keep in confidence any proprietary information, knowledge, or data acquired by Executive in confidence or trust prior to Executive’s employment with Orbis. Executive acknowledges and agrees that the representations and warranties in this Section 8 are a material part of this Agreement.</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HorizontalLine"/>
        <w:rPr/>
      </w:pPr>
      <w:r>
        <w:rPr/>
      </w:r>
    </w:p>
    <w:p>
      <w:pPr>
        <w:pStyle w:val="TextBody"/>
        <w:spacing w:before="0" w:after="0"/>
        <w:ind w:left="0" w:right="0" w:hanging="0"/>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w:t>
      </w:r>
      <w:r>
        <w:rPr>
          <w:rFonts w:ascii="Arial;Helvetica;sans-serif" w:hAnsi="Arial;Helvetica;sans-serif"/>
          <w:sz w:val="22"/>
          <w:u w:val="single"/>
        </w:rPr>
        <w:t>Other Covenants.</w:t>
      </w:r>
      <w:r>
        <w:rPr>
          <w:rFonts w:ascii="Arial;Helvetica;sans-serif" w:hAnsi="Arial;Helvetica;sans-serif"/>
          <w:sz w:val="20"/>
        </w:rPr>
        <w:t xml:space="preserve"> </w:t>
      </w:r>
      <w:r>
        <w:rPr>
          <w:rFonts w:ascii="Arial;Helvetica;sans-serif" w:hAnsi="Arial;Helvetica;sans-serif"/>
          <w:sz w:val="22"/>
        </w:rPr>
        <w:t>Executive hereby makes the following covenants, each of which Executive acknowledges and agrees are a material part of this Agreement:</w:t>
      </w:r>
    </w:p>
    <w:p>
      <w:pPr>
        <w:pStyle w:val="TextBody"/>
        <w:spacing w:before="0" w:after="0"/>
        <w:ind w:left="0" w:right="0" w:firstLine="8"/>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9.1</w:t>
      </w:r>
      <w:r>
        <w:rPr>
          <w:rFonts w:ascii="Arial;Helvetica;sans-serif" w:hAnsi="Arial;Helvetica;sans-serif"/>
          <w:sz w:val="22"/>
        </w:rPr>
        <w:t>During the Term, Executive will not (a) breach any agreement to keep in confidence any confidential or proprietary information, knowledge or data acquired by Executive prior to Executive’s employment with Orbis, or (b) disclose to GCE or Orbis, or use or induce GCE or Orbis to use, any confidential or proprietary information or material belonging to any previous employer or any other third party. Executive acknowledges that Orbis has specifically instructed Executive not to breach any such agreement or make any such disclosure to GCE or Orbis.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9.2</w:t>
      </w:r>
      <w:r>
        <w:rPr>
          <w:rFonts w:ascii="Arial;Helvetica;sans-serif" w:hAnsi="Arial;Helvetica;sans-serif"/>
          <w:sz w:val="22"/>
        </w:rPr>
        <w:t>During the Term, Executive will not engage in any work or activity, paid or unpaid, that creates an actual conflict of interest with GCE or Orbis. Such work shall include, but is not limited to, directly or indirectly competing with GCE or Orbis in any way, or acting as an officer, director, employee, consultant, stockholder, volunteer, lender, or agent of any business enterprise of the same nature as, or which is in direct competition with, the business in which GCE or Orbis is now engaged or in which GCE or Orbis becomes engaged during the Term, as may be determined by GCE and Orbis in their sole discretion. If Orbis believes such a conflict exists during the Term, Orbis may ask Executive to choose to discontinue the other work or activity or resign employment with Orbis.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9.3</w:t>
      </w:r>
      <w:r>
        <w:rPr>
          <w:rFonts w:ascii="Arial;Helvetica;sans-serif" w:hAnsi="Arial;Helvetica;sans-serif"/>
          <w:sz w:val="22"/>
        </w:rPr>
        <w:t>During the Term and after the termination thereof, neither Executive nor Orbis will disparage each other, or Orbis's products, services, agents or employees.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9.4</w:t>
      </w:r>
      <w:r>
        <w:rPr>
          <w:rFonts w:ascii="Arial;Helvetica;sans-serif" w:hAnsi="Arial;Helvetica;sans-serif"/>
          <w:sz w:val="22"/>
        </w:rPr>
        <w:t>During the Term and after the termination thereof, at Orbis's expense and upon its reasonable request, Executive will cooperate and assist Orbis in its defense or prosecution of any disputes, differences, grievances, claims, charges, or complaints between Orbis and any third party, which assistance will include testifying on Orbis's behalf in connection with any such matter or performing any other task reasonably requested by Orbis in connection therewith.</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10.</w:t>
      </w:r>
      <w:r>
        <w:rPr>
          <w:rFonts w:ascii="Arial;Helvetica;sans-serif" w:hAnsi="Arial;Helvetica;sans-serif"/>
          <w:sz w:val="22"/>
          <w:u w:val="single"/>
        </w:rPr>
        <w:t>Confidentiality and Proprietary Rights</w:t>
      </w:r>
      <w:r>
        <w:rPr>
          <w:rFonts w:ascii="Arial;Helvetica;sans-serif" w:hAnsi="Arial;Helvetica;sans-serif"/>
          <w:sz w:val="22"/>
        </w:rPr>
        <w:t>. Executive agrees to abide by the Nondisclosure Agreement, which is incorporated herein by reference.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11.</w:t>
      </w:r>
      <w:r>
        <w:rPr>
          <w:rFonts w:ascii="Arial;Helvetica;sans-serif" w:hAnsi="Arial;Helvetica;sans-serif"/>
          <w:sz w:val="22"/>
          <w:u w:val="single"/>
        </w:rPr>
        <w:t>Non-Competition; Nonsolicitation of Orbis' Employees.</w:t>
      </w:r>
      <w:r>
        <w:rPr>
          <w:rFonts w:ascii="Arial;Helvetica;sans-serif" w:hAnsi="Arial;Helvetica;sans-serif"/>
          <w:sz w:val="20"/>
        </w:rPr>
        <w:t xml:space="preserve"> </w:t>
      </w:r>
      <w:r>
        <w:rPr>
          <w:rFonts w:ascii="Arial;Helvetica;sans-serif" w:hAnsi="Arial;Helvetica;sans-serif"/>
          <w:sz w:val="22"/>
        </w:rPr>
        <w:t>Executive acknowledges that in the course of his employment with Orbis he will serve as a member of Orbis’s senior management and will become familiar with GCE and Orbis's trade secrets and with other confidential and proprietary information and that his services will be of special, unique and extraordinary value to GCE and Orbis. Executive further acknowledges that the business of GCE and Orbis is national in scope and that GCE and Orbis, in the course of such business compete with other companies located throughout the United States. Therefore, in consideration of the foregoing, Executive agrees that, during the Term, and during the twelve-month (12) month period following the Term, Executive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any business that develops or administers educational services to degree-granting institutions of higher education, or (ii) any other business of GCE or Orbis in which Executive had significant involvement prior to Executive's separation; (b) induce or attempt to induce any employee of GCE or Orbis to leave the employ of Orbis, or in any way interfere with the relationship between GCE or Orbis and any employee thereof, or (c) induce or attempt to</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Arial;Helvetica;sans-serif" w:hAnsi="Arial;Helvetica;sans-serif"/>
          <w:sz w:val="22"/>
        </w:rPr>
      </w:pPr>
      <w:r>
        <w:rPr>
          <w:rFonts w:ascii="Arial;Helvetica;sans-serif" w:hAnsi="Arial;Helvetica;sans-serif"/>
          <w:sz w:val="22"/>
        </w:rPr>
        <w:t>induce any customer, supplier, licensee or other business relation of GCE or Orbis to cease doing business with, or modify its business relationship with, GCE or Orbis, or in any way interfere with or hinder the relationship between any such customer, supplier, licensee or business relation and GCE or Orbis, as applicable.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12.</w:t>
      </w:r>
      <w:r>
        <w:rPr>
          <w:rFonts w:ascii="Arial;Helvetica;sans-serif" w:hAnsi="Arial;Helvetica;sans-serif"/>
          <w:sz w:val="22"/>
          <w:u w:val="single"/>
        </w:rPr>
        <w:t>Injunctive Relief</w:t>
      </w:r>
      <w:r>
        <w:rPr>
          <w:rFonts w:ascii="Arial;Helvetica;sans-serif" w:hAnsi="Arial;Helvetica;sans-serif"/>
          <w:sz w:val="22"/>
        </w:rPr>
        <w:t>. Executive acknowledges that Executive's breach of the covenants contained in Sections 9, 10 and 11 hereof (collectively “</w:t>
      </w:r>
      <w:r>
        <w:rPr>
          <w:rFonts w:ascii="Arial;Helvetica;sans-serif" w:hAnsi="Arial;Helvetica;sans-serif"/>
          <w:sz w:val="22"/>
          <w:u w:val="single"/>
        </w:rPr>
        <w:t>Covenants”</w:t>
      </w:r>
      <w:r>
        <w:rPr>
          <w:rFonts w:ascii="Arial;Helvetica;sans-serif" w:hAnsi="Arial;Helvetica;sans-serif"/>
          <w:sz w:val="22"/>
        </w:rPr>
        <w:t>) would cause irreparable injury to GCE and Orbis and agrees that in the event of any such breach, GCE and Orbis shall be entitled to seek temporary, preliminary and permanent injunctive relief without the necessity of proving actual damages or posting any bond or other security in addition to any other relief to which GCE or Orbis may be entitled and other remedies Orbis may exercise under this Agreement or otherwise.</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13.</w:t>
      </w:r>
      <w:r>
        <w:rPr>
          <w:rFonts w:ascii="Arial;Helvetica;sans-serif" w:hAnsi="Arial;Helvetica;sans-serif"/>
          <w:sz w:val="22"/>
          <w:u w:val="single"/>
        </w:rPr>
        <w:t>General Provisions.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13.1</w:t>
      </w:r>
      <w:r>
        <w:rPr>
          <w:rFonts w:ascii="Arial;Helvetica;sans-serif" w:hAnsi="Arial;Helvetica;sans-serif"/>
          <w:sz w:val="22"/>
          <w:u w:val="single"/>
        </w:rPr>
        <w:t>Successors and Assigns</w:t>
      </w:r>
      <w:r>
        <w:rPr>
          <w:rFonts w:ascii="Arial;Helvetica;sans-serif" w:hAnsi="Arial;Helvetica;sans-serif"/>
          <w:sz w:val="22"/>
        </w:rPr>
        <w:t>. The rights and obligations of Orbis under this Agreement shall inure to the benefit of and shall be binding upon the successors and assigns of Orbis. Executive shall not be entitled to assign any of Executive's rights or obligations under this Agreement.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13.2</w:t>
      </w:r>
      <w:r>
        <w:rPr>
          <w:rFonts w:ascii="Arial;Helvetica;sans-serif" w:hAnsi="Arial;Helvetica;sans-serif"/>
          <w:sz w:val="22"/>
          <w:u w:val="single"/>
        </w:rPr>
        <w:t>Waiver</w:t>
      </w:r>
      <w:r>
        <w:rPr>
          <w:rFonts w:ascii="Arial;Helvetica;sans-serif" w:hAnsi="Arial;Helvetica;sans-serif"/>
          <w:sz w:val="22"/>
        </w:rPr>
        <w:t>. Either party's failure to enforce any provision of this Agreement shall not in any way be construed as a waiver of any such provision, or prevent that party thereafter from enforcing each and every other provision of this Agreement.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13.3</w:t>
      </w:r>
      <w:r>
        <w:rPr>
          <w:rFonts w:ascii="Arial;Helvetica;sans-serif" w:hAnsi="Arial;Helvetica;sans-serif"/>
          <w:sz w:val="22"/>
          <w:u w:val="single"/>
        </w:rPr>
        <w:t>Attorneys’ Fees</w:t>
      </w:r>
      <w:r>
        <w:rPr>
          <w:rFonts w:ascii="Arial;Helvetica;sans-serif" w:hAnsi="Arial;Helvetica;sans-serif"/>
          <w:sz w:val="22"/>
        </w:rPr>
        <w:t>. In the event of a dispute involving the interpretation or enforcement of this Agreement, a court shall award attorneys' fees and costs to the prevailing party.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13.4</w:t>
      </w:r>
      <w:r>
        <w:rPr>
          <w:rFonts w:ascii="Arial;Helvetica;sans-serif" w:hAnsi="Arial;Helvetica;sans-serif"/>
          <w:sz w:val="22"/>
          <w:u w:val="single"/>
        </w:rPr>
        <w:t>Severability</w:t>
      </w:r>
      <w:r>
        <w:rPr>
          <w:rFonts w:ascii="Arial;Helvetica;sans-serif" w:hAnsi="Arial;Helvetica;sans-serif"/>
          <w:sz w:val="22"/>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13.5</w:t>
      </w:r>
      <w:r>
        <w:rPr>
          <w:rFonts w:ascii="Arial;Helvetica;sans-serif" w:hAnsi="Arial;Helvetica;sans-serif"/>
          <w:sz w:val="22"/>
          <w:u w:val="single"/>
        </w:rPr>
        <w:t>Interpretation; Construction.</w:t>
      </w:r>
      <w:r>
        <w:rPr>
          <w:rFonts w:ascii="Arial;Helvetica;sans-serif" w:hAnsi="Arial;Helvetica;sans-serif"/>
          <w:sz w:val="20"/>
        </w:rPr>
        <w:t xml:space="preserve"> </w:t>
      </w:r>
      <w:r>
        <w:rPr>
          <w:rFonts w:ascii="Arial;Helvetica;sans-serif" w:hAnsi="Arial;Helvetica;sans-serif"/>
          <w:sz w:val="22"/>
        </w:rPr>
        <w:t>The headings set forth in this Agreement are for convenience only and shall not be used in interpreting this Agreement. This Agreement has been drafted by legal counsel representing Orbis,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13.6</w:t>
      </w:r>
      <w:r>
        <w:rPr>
          <w:rFonts w:ascii="Arial;Helvetica;sans-serif" w:hAnsi="Arial;Helvetica;sans-serif"/>
          <w:sz w:val="22"/>
          <w:u w:val="single"/>
        </w:rPr>
        <w:t>Governing Law; Forum</w:t>
      </w:r>
      <w:r>
        <w:rPr>
          <w:rFonts w:ascii="Arial;Helvetica;sans-serif" w:hAnsi="Arial;Helvetica;sans-serif"/>
          <w:sz w:val="22"/>
        </w:rPr>
        <w:t>. This Agreement will be governed by and construed in accordance with the laws of the United States and the State of Indiana. Each party consents to the jurisdiction and venue of the state courts in Marion County, Indiana or the federal courts in the Southern District of Indiana, if applicable, in any action, suit, or proceeding arising out of or relating to this Agreement, and agrees that the state courts in Marion County, Indiana or the federal courts in the Southern District of Indiana shall have exclusive jurisdiction over any dispute arising between the parties related to this Agreement or Executive’s employment with Orbis.</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HorizontalLine"/>
        <w:rPr/>
      </w:pPr>
      <w:r>
        <w:rPr/>
      </w:r>
    </w:p>
    <w:p>
      <w:pPr>
        <w:pStyle w:val="TextBody"/>
        <w:spacing w:before="0" w:after="0"/>
        <w:ind w:left="0" w:right="0" w:hanging="0"/>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13.7</w:t>
      </w:r>
      <w:r>
        <w:rPr>
          <w:rFonts w:ascii="Arial;Helvetica;sans-serif" w:hAnsi="Arial;Helvetica;sans-serif"/>
          <w:sz w:val="22"/>
          <w:u w:val="single"/>
        </w:rPr>
        <w:t>Notices</w:t>
      </w:r>
      <w:r>
        <w:rPr>
          <w:rFonts w:ascii="Arial;Helvetica;sans-serif" w:hAnsi="Arial;Helvetica;sans-serif"/>
          <w:sz w:val="22"/>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13.8</w:t>
      </w:r>
      <w:r>
        <w:rPr>
          <w:rFonts w:ascii="Arial;Helvetica;sans-serif" w:hAnsi="Arial;Helvetica;sans-serif"/>
          <w:sz w:val="22"/>
          <w:u w:val="single"/>
        </w:rPr>
        <w:t>Survival</w:t>
      </w:r>
      <w:r>
        <w:rPr>
          <w:rFonts w:ascii="Arial;Helvetica;sans-serif" w:hAnsi="Arial;Helvetica;sans-serif"/>
          <w:sz w:val="22"/>
        </w:rPr>
        <w:t>. Sections 9 (“Other Covenants”), 10 ("Confidentiality and Proprietary Rights”), 11 (“Non-Competition; Nonsolicitation of Orbis' Employees”), 12 (“Injunctive Relief”), 13 (“General Provisions”) and 14 (“Entire Agreement”) of this Agreement shall survive termination of Executive’s employment with Orbis.</w:t>
      </w:r>
    </w:p>
    <w:p>
      <w:pPr>
        <w:pStyle w:val="TextBody"/>
        <w:spacing w:before="0" w:after="0"/>
        <w:ind w:left="0" w:right="0" w:hanging="0"/>
        <w:jc w:val="both"/>
        <w:rPr/>
      </w:pPr>
      <w:r>
        <w:rPr/>
        <w:t>​</w:t>
      </w:r>
    </w:p>
    <w:p>
      <w:pPr>
        <w:pStyle w:val="TextBody"/>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color w:val="1F1F1F"/>
          <w:sz w:val="22"/>
        </w:rPr>
        <w:t>14.</w:t>
      </w:r>
      <w:r>
        <w:rPr>
          <w:rFonts w:ascii="Arial;Helvetica;sans-serif" w:hAnsi="Arial;Helvetica;sans-serif"/>
          <w:sz w:val="22"/>
          <w:u w:val="single"/>
        </w:rPr>
        <w:t>Entire Agreement.</w:t>
      </w:r>
      <w:r>
        <w:rPr>
          <w:rFonts w:ascii="Arial;Helvetica;sans-serif" w:hAnsi="Arial;Helvetica;sans-serif"/>
          <w:sz w:val="20"/>
        </w:rPr>
        <w:t xml:space="preserve"> </w:t>
      </w:r>
      <w:r>
        <w:rPr>
          <w:rFonts w:ascii="Arial;Helvetica;sans-serif" w:hAnsi="Arial;Helvetica;sans-serif"/>
          <w:sz w:val="22"/>
        </w:rPr>
        <w:t>This Agreement, including the Nondisclosure Agreement incorporated herein by reference,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Orbis. No oral waiver, amendment or modification will be effective under any circumstances whatsoever.</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HorizontalLine"/>
        <w:rPr/>
      </w:pPr>
      <w:r>
        <w:rPr/>
      </w:r>
    </w:p>
    <w:p>
      <w:pPr>
        <w:pStyle w:val="TextBody"/>
        <w:spacing w:before="0" w:after="0"/>
        <w:ind w:left="0" w:right="0" w:hanging="0"/>
        <w:jc w:val="both"/>
        <w:rPr>
          <w:rFonts w:ascii="Arial;Helvetica;sans-serif" w:hAnsi="Arial;Helvetica;sans-serif"/>
          <w:sz w:val="22"/>
        </w:rPr>
      </w:pPr>
      <w:r>
        <w:rPr>
          <w:rFonts w:ascii="Arial;Helvetica;sans-serif" w:hAnsi="Arial;Helvetica;sans-serif"/>
          <w:sz w:val="22"/>
        </w:rPr>
        <w:t>THE PARTIES TO THIS AGREEMENT HAVE READ THE FOREGOING AGREEMENT AND FULLY UNDERSTAND EACH AND EVERY PROVISION CONTAINED HEREIN. WHEREFORE, THE PARTIES HAVE EXECUTED THIS AGREEMENT ON THE DATES SHOWN BELOW.</w:t>
      </w:r>
    </w:p>
    <w:p>
      <w:pPr>
        <w:pStyle w:val="TextBody"/>
        <w:spacing w:before="0" w:after="0"/>
        <w:ind w:left="0" w:right="0" w:hanging="0"/>
        <w:rPr/>
      </w:pPr>
      <w:r>
        <w:rPr/>
        <w:t>​</w:t>
      </w:r>
    </w:p>
    <w:tbl>
      <w:tblPr>
        <w:tblW w:w="5856" w:type="dxa"/>
        <w:jc w:val="center"/>
        <w:tblInd w:w="0" w:type="dxa"/>
        <w:tblCellMar>
          <w:top w:w="0" w:type="dxa"/>
          <w:left w:w="0" w:type="dxa"/>
          <w:bottom w:w="0" w:type="dxa"/>
          <w:right w:w="0" w:type="dxa"/>
        </w:tblCellMar>
      </w:tblPr>
      <w:tblGrid>
        <w:gridCol w:w="766"/>
        <w:gridCol w:w="946"/>
        <w:gridCol w:w="109"/>
        <w:gridCol w:w="1013"/>
        <w:gridCol w:w="3022"/>
      </w:tblGrid>
      <w:tr>
        <w:trPr/>
        <w:tc>
          <w:tcPr>
            <w:tcW w:w="1821" w:type="dxa"/>
            <w:gridSpan w:val="3"/>
            <w:tcBorders/>
            <w:shd w:fill="auto" w:val="clear"/>
            <w:vAlign w:val="center"/>
          </w:tcPr>
          <w:p>
            <w:pPr>
              <w:pStyle w:val="TableContents"/>
              <w:spacing w:before="0" w:after="0"/>
              <w:ind w:left="0" w:right="0" w:hanging="0"/>
              <w:rPr/>
            </w:pPr>
            <w:r>
              <w:rPr/>
              <w:t>​</w:t>
            </w:r>
          </w:p>
        </w:tc>
        <w:tc>
          <w:tcPr>
            <w:tcW w:w="4035" w:type="dxa"/>
            <w:gridSpan w:val="2"/>
            <w:tcBorders/>
            <w:shd w:fill="auto" w:val="clear"/>
            <w:vAlign w:val="center"/>
          </w:tcPr>
          <w:p>
            <w:pPr>
              <w:pStyle w:val="TableContents"/>
              <w:spacing w:before="0" w:after="0"/>
              <w:ind w:left="0" w:right="0" w:hanging="0"/>
              <w:rPr>
                <w:rFonts w:ascii="Arial;Helvetica;sans-serif" w:hAnsi="Arial;Helvetica;sans-serif"/>
                <w:b/>
                <w:sz w:val="22"/>
              </w:rPr>
            </w:pPr>
            <w:r>
              <w:rPr>
                <w:rFonts w:ascii="Arial;Helvetica;sans-serif" w:hAnsi="Arial;Helvetica;sans-serif"/>
                <w:b/>
                <w:sz w:val="22"/>
              </w:rPr>
              <w:t>EXECUTIVE</w:t>
            </w:r>
          </w:p>
        </w:tc>
      </w:tr>
      <w:tr>
        <w:trPr/>
        <w:tc>
          <w:tcPr>
            <w:tcW w:w="1821" w:type="dxa"/>
            <w:gridSpan w:val="3"/>
            <w:tcBorders/>
            <w:shd w:fill="auto" w:val="clear"/>
            <w:vAlign w:val="center"/>
          </w:tcPr>
          <w:p>
            <w:pPr>
              <w:pStyle w:val="TableContents"/>
              <w:spacing w:before="0" w:after="0"/>
              <w:ind w:left="0" w:right="0" w:hanging="0"/>
              <w:rPr/>
            </w:pPr>
            <w:r>
              <w:rPr/>
              <w:t>​</w:t>
            </w:r>
          </w:p>
        </w:tc>
        <w:tc>
          <w:tcPr>
            <w:tcW w:w="4035" w:type="dxa"/>
            <w:gridSpan w:val="2"/>
            <w:tcBorders/>
            <w:shd w:fill="auto" w:val="clear"/>
            <w:vAlign w:val="center"/>
          </w:tcPr>
          <w:p>
            <w:pPr>
              <w:pStyle w:val="TableContents"/>
              <w:spacing w:before="0" w:after="0"/>
              <w:ind w:left="0" w:right="0" w:hanging="0"/>
              <w:rPr/>
            </w:pPr>
            <w:r>
              <w:rPr/>
              <w:t>​</w:t>
            </w:r>
          </w:p>
        </w:tc>
      </w:tr>
      <w:tr>
        <w:trPr/>
        <w:tc>
          <w:tcPr>
            <w:tcW w:w="766"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Dated:</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5/1/2023</w:t>
            </w:r>
          </w:p>
        </w:tc>
        <w:tc>
          <w:tcPr>
            <w:tcW w:w="109" w:type="dxa"/>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By:</w:t>
            </w:r>
          </w:p>
        </w:tc>
        <w:tc>
          <w:tcPr>
            <w:tcW w:w="3022"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/s/ Daniel J. Briggs</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Name:</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Daniel J. Briggs</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pPr>
            <w:r>
              <w:rPr/>
              <w:t>​</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Address:</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301 Pennsylvania Parkway</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Suite 400</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Indianapolis, Indiana 46280</w:t>
            </w:r>
          </w:p>
        </w:tc>
      </w:tr>
      <w:tr>
        <w:trPr/>
        <w:tc>
          <w:tcPr>
            <w:tcW w:w="1821" w:type="dxa"/>
            <w:gridSpan w:val="3"/>
            <w:tcBorders/>
            <w:shd w:fill="auto" w:val="clear"/>
            <w:vAlign w:val="center"/>
          </w:tcPr>
          <w:p>
            <w:pPr>
              <w:pStyle w:val="TableContents"/>
              <w:spacing w:before="0" w:after="0"/>
              <w:ind w:left="0" w:right="0" w:hanging="0"/>
              <w:rPr/>
            </w:pPr>
            <w:r>
              <w:rPr/>
              <w:t>​</w:t>
            </w:r>
          </w:p>
        </w:tc>
        <w:tc>
          <w:tcPr>
            <w:tcW w:w="4035" w:type="dxa"/>
            <w:gridSpan w:val="2"/>
            <w:tcBorders/>
            <w:shd w:fill="auto" w:val="clear"/>
            <w:vAlign w:val="center"/>
          </w:tcPr>
          <w:p>
            <w:pPr>
              <w:pStyle w:val="TableContents"/>
              <w:spacing w:before="0" w:after="0"/>
              <w:ind w:left="0" w:right="0" w:hanging="0"/>
              <w:rPr/>
            </w:pPr>
            <w:r>
              <w:rPr/>
              <w:t>​</w:t>
            </w:r>
          </w:p>
        </w:tc>
      </w:tr>
      <w:tr>
        <w:trPr/>
        <w:tc>
          <w:tcPr>
            <w:tcW w:w="1821" w:type="dxa"/>
            <w:gridSpan w:val="3"/>
            <w:tcBorders/>
            <w:shd w:fill="auto" w:val="clear"/>
            <w:vAlign w:val="center"/>
          </w:tcPr>
          <w:p>
            <w:pPr>
              <w:pStyle w:val="TableContents"/>
              <w:spacing w:before="0" w:after="0"/>
              <w:ind w:left="0" w:right="0" w:hanging="0"/>
              <w:rPr/>
            </w:pPr>
            <w:r>
              <w:rPr/>
              <w:t>​</w:t>
            </w:r>
          </w:p>
        </w:tc>
        <w:tc>
          <w:tcPr>
            <w:tcW w:w="4035" w:type="dxa"/>
            <w:gridSpan w:val="2"/>
            <w:tcBorders/>
            <w:shd w:fill="auto" w:val="clear"/>
            <w:vAlign w:val="center"/>
          </w:tcPr>
          <w:p>
            <w:pPr>
              <w:pStyle w:val="TableContents"/>
              <w:spacing w:before="0" w:after="0"/>
              <w:ind w:left="0" w:right="0" w:hanging="0"/>
              <w:rPr>
                <w:rFonts w:ascii="Arial;Helvetica;sans-serif" w:hAnsi="Arial;Helvetica;sans-serif"/>
                <w:b/>
                <w:sz w:val="22"/>
              </w:rPr>
            </w:pPr>
            <w:r>
              <w:rPr>
                <w:rFonts w:ascii="Arial;Helvetica;sans-serif" w:hAnsi="Arial;Helvetica;sans-serif"/>
                <w:b/>
                <w:sz w:val="22"/>
              </w:rPr>
              <w:t>ORBIS EDUCATION SERVICES, LLC</w:t>
            </w:r>
          </w:p>
        </w:tc>
      </w:tr>
      <w:tr>
        <w:trPr/>
        <w:tc>
          <w:tcPr>
            <w:tcW w:w="1821" w:type="dxa"/>
            <w:gridSpan w:val="3"/>
            <w:tcBorders/>
            <w:shd w:fill="auto" w:val="clear"/>
            <w:vAlign w:val="center"/>
          </w:tcPr>
          <w:p>
            <w:pPr>
              <w:pStyle w:val="TableContents"/>
              <w:spacing w:before="0" w:after="0"/>
              <w:ind w:left="0" w:right="0" w:hanging="0"/>
              <w:rPr/>
            </w:pPr>
            <w:r>
              <w:rPr/>
              <w:t>​</w:t>
            </w:r>
          </w:p>
        </w:tc>
        <w:tc>
          <w:tcPr>
            <w:tcW w:w="4035" w:type="dxa"/>
            <w:gridSpan w:val="2"/>
            <w:tcBorders/>
            <w:shd w:fill="auto" w:val="clear"/>
            <w:vAlign w:val="center"/>
          </w:tcPr>
          <w:p>
            <w:pPr>
              <w:pStyle w:val="TableContents"/>
              <w:spacing w:before="0" w:after="0"/>
              <w:ind w:left="0" w:right="0" w:hanging="0"/>
              <w:rPr/>
            </w:pPr>
            <w:r>
              <w:rPr/>
              <w:t>​</w:t>
            </w:r>
          </w:p>
        </w:tc>
      </w:tr>
      <w:tr>
        <w:trPr/>
        <w:tc>
          <w:tcPr>
            <w:tcW w:w="766"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Dated:</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5/1/2023</w:t>
            </w:r>
          </w:p>
        </w:tc>
        <w:tc>
          <w:tcPr>
            <w:tcW w:w="109" w:type="dxa"/>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By:</w:t>
            </w:r>
          </w:p>
        </w:tc>
        <w:tc>
          <w:tcPr>
            <w:tcW w:w="3022"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/s/ Daniel E. Bachus</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Name:</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Daniel E. Bachus</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Title:</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Treasurer and Secretary</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pPr>
            <w:r>
              <w:rPr/>
              <w:t>​</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Address:</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2600 West Camelback Road</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Phoenix, Arizona 85017</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pPr>
            <w:r>
              <w:rPr/>
              <w:t>​</w:t>
            </w:r>
          </w:p>
        </w:tc>
      </w:tr>
      <w:tr>
        <w:trPr/>
        <w:tc>
          <w:tcPr>
            <w:tcW w:w="1821" w:type="dxa"/>
            <w:gridSpan w:val="3"/>
            <w:tcBorders/>
            <w:shd w:fill="auto" w:val="clear"/>
            <w:vAlign w:val="center"/>
          </w:tcPr>
          <w:p>
            <w:pPr>
              <w:pStyle w:val="TableContents"/>
              <w:spacing w:before="0" w:after="0"/>
              <w:ind w:left="0" w:right="0" w:hanging="0"/>
              <w:rPr/>
            </w:pPr>
            <w:r>
              <w:rPr/>
              <w:t>​</w:t>
            </w:r>
          </w:p>
        </w:tc>
        <w:tc>
          <w:tcPr>
            <w:tcW w:w="4035" w:type="dxa"/>
            <w:gridSpan w:val="2"/>
            <w:tcBorders/>
            <w:shd w:fill="auto" w:val="clear"/>
            <w:vAlign w:val="center"/>
          </w:tcPr>
          <w:p>
            <w:pPr>
              <w:pStyle w:val="TableContents"/>
              <w:spacing w:before="0" w:after="0"/>
              <w:ind w:left="0" w:right="0" w:hanging="0"/>
              <w:rPr>
                <w:rFonts w:ascii="Arial;Helvetica;sans-serif" w:hAnsi="Arial;Helvetica;sans-serif"/>
                <w:b/>
                <w:sz w:val="22"/>
              </w:rPr>
            </w:pPr>
            <w:r>
              <w:rPr>
                <w:rFonts w:ascii="Arial;Helvetica;sans-serif" w:hAnsi="Arial;Helvetica;sans-serif"/>
                <w:b/>
                <w:sz w:val="22"/>
              </w:rPr>
              <w:t>ACKNOWLEDGED AND AGREED:</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pPr>
            <w:r>
              <w:rPr/>
              <w:t>​</w:t>
            </w:r>
          </w:p>
        </w:tc>
      </w:tr>
      <w:tr>
        <w:trPr/>
        <w:tc>
          <w:tcPr>
            <w:tcW w:w="1821" w:type="dxa"/>
            <w:gridSpan w:val="3"/>
            <w:tcBorders/>
            <w:shd w:fill="auto" w:val="clear"/>
            <w:vAlign w:val="center"/>
          </w:tcPr>
          <w:p>
            <w:pPr>
              <w:pStyle w:val="TableContents"/>
              <w:spacing w:before="0" w:after="0"/>
              <w:ind w:left="0" w:right="0" w:hanging="0"/>
              <w:rPr/>
            </w:pPr>
            <w:r>
              <w:rPr/>
              <w:t>​</w:t>
            </w:r>
          </w:p>
        </w:tc>
        <w:tc>
          <w:tcPr>
            <w:tcW w:w="4035" w:type="dxa"/>
            <w:gridSpan w:val="2"/>
            <w:tcBorders/>
            <w:shd w:fill="auto" w:val="clear"/>
            <w:vAlign w:val="center"/>
          </w:tcPr>
          <w:p>
            <w:pPr>
              <w:pStyle w:val="TableContents"/>
              <w:spacing w:before="0" w:after="0"/>
              <w:ind w:left="0" w:right="0" w:hanging="0"/>
              <w:rPr>
                <w:rFonts w:ascii="Arial;Helvetica;sans-serif" w:hAnsi="Arial;Helvetica;sans-serif"/>
                <w:b/>
                <w:sz w:val="22"/>
              </w:rPr>
            </w:pPr>
            <w:r>
              <w:rPr>
                <w:rFonts w:ascii="Arial;Helvetica;sans-serif" w:hAnsi="Arial;Helvetica;sans-serif"/>
                <w:b/>
                <w:sz w:val="22"/>
              </w:rPr>
              <w:t>GRAND CANYON EDUCATION, INC.</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pPr>
            <w:r>
              <w:rPr/>
              <w:t>​</w:t>
            </w:r>
          </w:p>
        </w:tc>
      </w:tr>
      <w:tr>
        <w:trPr/>
        <w:tc>
          <w:tcPr>
            <w:tcW w:w="766"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Dated:</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5/1/2023</w:t>
            </w:r>
          </w:p>
        </w:tc>
        <w:tc>
          <w:tcPr>
            <w:tcW w:w="109" w:type="dxa"/>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pPr>
            <w:r>
              <w:rPr/>
              <w:t>​</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By:</w:t>
            </w:r>
          </w:p>
        </w:tc>
        <w:tc>
          <w:tcPr>
            <w:tcW w:w="3022"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/s/ Daniel E. Bachus</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Name:</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Daniel E. Bachus</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Title:</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Chief Financial Officer</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pPr>
            <w:r>
              <w:rPr/>
              <w:t>​</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Address:</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2600 West Camelback Road</w:t>
            </w:r>
          </w:p>
        </w:tc>
      </w:tr>
      <w:tr>
        <w:trPr/>
        <w:tc>
          <w:tcPr>
            <w:tcW w:w="1821" w:type="dxa"/>
            <w:gridSpan w:val="3"/>
            <w:tcBorders/>
            <w:shd w:fill="auto" w:val="clear"/>
            <w:vAlign w:val="center"/>
          </w:tcPr>
          <w:p>
            <w:pPr>
              <w:pStyle w:val="TableContents"/>
              <w:spacing w:before="0" w:after="0"/>
              <w:ind w:left="0" w:right="0" w:hanging="0"/>
              <w:rPr/>
            </w:pPr>
            <w:r>
              <w:rPr/>
              <w:t>​</w:t>
            </w:r>
          </w:p>
        </w:tc>
        <w:tc>
          <w:tcPr>
            <w:tcW w:w="1013" w:type="dxa"/>
            <w:tcBorders/>
            <w:shd w:fill="auto" w:val="clear"/>
            <w:vAlign w:val="center"/>
          </w:tcPr>
          <w:p>
            <w:pPr>
              <w:pStyle w:val="TableContents"/>
              <w:spacing w:before="0" w:after="0"/>
              <w:ind w:left="0" w:right="0" w:hanging="0"/>
              <w:rPr/>
            </w:pPr>
            <w:r>
              <w:rPr/>
              <w:t>​</w:t>
            </w:r>
          </w:p>
        </w:tc>
        <w:tc>
          <w:tcPr>
            <w:tcW w:w="3022" w:type="dxa"/>
            <w:tcBorders/>
            <w:shd w:fill="auto" w:val="clear"/>
            <w:vAlign w:val="center"/>
          </w:tcPr>
          <w:p>
            <w:pPr>
              <w:pStyle w:val="TableContents"/>
              <w:spacing w:before="0" w:after="0"/>
              <w:ind w:left="0" w:right="0" w:hanging="0"/>
              <w:rPr>
                <w:rFonts w:ascii="Arial;Helvetica;sans-serif" w:hAnsi="Arial;Helvetica;sans-serif"/>
                <w:sz w:val="22"/>
              </w:rPr>
            </w:pPr>
            <w:r>
              <w:rPr>
                <w:rFonts w:ascii="Arial;Helvetica;sans-serif" w:hAnsi="Arial;Helvetica;sans-serif"/>
                <w:sz w:val="22"/>
              </w:rPr>
              <w:t>Phoenix, Arizona 85017</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868" w:name="lope-20230331xex31d1.htm"/>
      <w:bookmarkStart w:id="869" w:name="kslope20230331xex31d1"/>
      <w:bookmarkEnd w:id="868"/>
      <w:bookmarkEnd w:id="869"/>
      <w:r>
        <w:rPr>
          <w:rFonts w:ascii="Times New Roman;Times;serif" w:hAnsi="Times New Roman;Times;serif"/>
          <w:b/>
          <w:sz w:val="20"/>
        </w:rPr>
        <w:t>Exhibit 31.1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Brian E. Mueller, certify that:</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1. I have reviewed this Quarterly Report on Form 10-Q for the quarter ending March 31, 2023 of Grand Canyon Education, Inc.;</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720"/>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576"/>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576"/>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576"/>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tbl>
      <w:tblPr>
        <w:tblW w:w="4438" w:type="dxa"/>
        <w:jc w:val="center"/>
        <w:tblInd w:w="0" w:type="dxa"/>
        <w:tblCellMar>
          <w:top w:w="0" w:type="dxa"/>
          <w:left w:w="0" w:type="dxa"/>
          <w:bottom w:w="0" w:type="dxa"/>
          <w:right w:w="0" w:type="dxa"/>
        </w:tblCellMar>
      </w:tblPr>
      <w:tblGrid>
        <w:gridCol w:w="1636"/>
        <w:gridCol w:w="326"/>
        <w:gridCol w:w="2476"/>
      </w:tblGrid>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2, 2023</w:t>
            </w:r>
          </w:p>
        </w:tc>
        <w:tc>
          <w:tcPr>
            <w:tcW w:w="326" w:type="dxa"/>
            <w:tcBorders/>
            <w:shd w:fill="auto" w:val="clear"/>
            <w:vAlign w:val="center"/>
          </w:tcPr>
          <w:p>
            <w:pPr>
              <w:pStyle w:val="TableContents"/>
              <w:spacing w:before="0" w:after="0"/>
              <w:ind w:left="0" w:right="0" w:hanging="0"/>
              <w:rPr/>
            </w:pPr>
            <w:r>
              <w:rPr/>
              <w:t>    </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Brian E. Mueller</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870" w:name="lope-20230331xex32d1.htm"/>
      <w:bookmarkStart w:id="871" w:name="kslope20230331xex32d1"/>
      <w:bookmarkEnd w:id="870"/>
      <w:bookmarkEnd w:id="871"/>
      <w:r>
        <w:rPr>
          <w:rFonts w:ascii="Times New Roman;Times;serif" w:hAnsi="Times New Roman;Times;serif"/>
          <w:b/>
          <w:sz w:val="20"/>
        </w:rPr>
        <w:t>Exhibit 32.1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March 31, 2023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1"/>
        <w:gridCol w:w="9974"/>
      </w:tblGrid>
      <w:tr>
        <w:trPr/>
        <w:tc>
          <w:tcPr>
            <w:tcW w:w="23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(1)</w:t>
            </w:r>
          </w:p>
        </w:tc>
        <w:tc>
          <w:tcPr>
            <w:tcW w:w="997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997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4891" w:type="dxa"/>
        <w:jc w:val="center"/>
        <w:tblInd w:w="0" w:type="dxa"/>
        <w:tblCellMar>
          <w:top w:w="0" w:type="dxa"/>
          <w:left w:w="0" w:type="dxa"/>
          <w:bottom w:w="0" w:type="dxa"/>
          <w:right w:w="0" w:type="dxa"/>
        </w:tblCellMar>
      </w:tblPr>
      <w:tblGrid>
        <w:gridCol w:w="4411"/>
        <w:gridCol w:w="326"/>
        <w:gridCol w:w="154"/>
      </w:tblGrid>
      <w:tr>
        <w:trPr/>
        <w:tc>
          <w:tcPr>
            <w:tcW w:w="4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2, 2023</w:t>
            </w:r>
          </w:p>
        </w:tc>
        <w:tc>
          <w:tcPr>
            <w:tcW w:w="326"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4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4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Brian E. Mueller</w:t>
            </w:r>
          </w:p>
        </w:tc>
        <w:tc>
          <w:tcPr>
            <w:tcW w:w="3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41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Brian E. Mueller</w:t>
            </w:r>
          </w:p>
        </w:tc>
        <w:tc>
          <w:tcPr>
            <w:tcW w:w="3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 (Principal Executive Officer)</w:t>
            </w:r>
          </w:p>
        </w:tc>
        <w:tc>
          <w:tcPr>
            <w:tcW w:w="3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872" w:name="lope-20230331xex31d2.htm"/>
      <w:bookmarkStart w:id="873" w:name="kslope20230331xex31d2"/>
      <w:bookmarkEnd w:id="872"/>
      <w:bookmarkEnd w:id="873"/>
      <w:r>
        <w:rPr>
          <w:rFonts w:ascii="Times New Roman;Times;serif" w:hAnsi="Times New Roman;Times;serif"/>
          <w:b/>
          <w:sz w:val="20"/>
        </w:rPr>
        <w:t>Exhibit 31.2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Daniel E. Bachus, certify that:</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1. I have reviewed this Quarterly Report on Form 10-Q for the quarter ending March 31, 2023 of Grand Canyon Education, Inc.;</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720"/>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576"/>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576"/>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576"/>
        <w:rPr/>
      </w:pPr>
      <w:r>
        <w:rPr/>
        <w:t>​</w:t>
      </w:r>
    </w:p>
    <w:p>
      <w:pPr>
        <w:pStyle w:val="TextBody"/>
        <w:spacing w:before="0" w:after="0"/>
        <w:ind w:left="0" w:right="0" w:firstLine="576"/>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tbl>
      <w:tblPr>
        <w:tblW w:w="4378" w:type="dxa"/>
        <w:jc w:val="center"/>
        <w:tblInd w:w="0" w:type="dxa"/>
        <w:tblCellMar>
          <w:top w:w="0" w:type="dxa"/>
          <w:left w:w="0" w:type="dxa"/>
          <w:bottom w:w="0" w:type="dxa"/>
          <w:right w:w="0" w:type="dxa"/>
        </w:tblCellMar>
      </w:tblPr>
      <w:tblGrid>
        <w:gridCol w:w="1636"/>
        <w:gridCol w:w="326"/>
        <w:gridCol w:w="2416"/>
      </w:tblGrid>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2, 2023</w:t>
            </w:r>
          </w:p>
        </w:tc>
        <w:tc>
          <w:tcPr>
            <w:tcW w:w="326" w:type="dxa"/>
            <w:tcBorders/>
            <w:shd w:fill="auto" w:val="clear"/>
            <w:vAlign w:val="center"/>
          </w:tcPr>
          <w:p>
            <w:pPr>
              <w:pStyle w:val="TableContents"/>
              <w:spacing w:before="0" w:after="0"/>
              <w:ind w:left="0" w:right="0" w:hanging="0"/>
              <w:rPr/>
            </w:pPr>
            <w:r>
              <w:rPr/>
              <w:t>    </w:t>
            </w:r>
          </w:p>
        </w:tc>
        <w:tc>
          <w:tcPr>
            <w:tcW w:w="24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Daniel E. Bachus</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874" w:name="lope-20230331xex32d2.htm"/>
      <w:bookmarkStart w:id="875" w:name="kslope20230331xex32d2"/>
      <w:bookmarkEnd w:id="874"/>
      <w:bookmarkEnd w:id="875"/>
      <w:r>
        <w:rPr>
          <w:rFonts w:ascii="Times New Roman;Times;serif" w:hAnsi="Times New Roman;Times;serif"/>
          <w:b/>
          <w:sz w:val="20"/>
        </w:rPr>
        <w:t>Exhibit 32.2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March 31, 2023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1"/>
        <w:gridCol w:w="9974"/>
      </w:tblGrid>
      <w:tr>
        <w:trPr/>
        <w:tc>
          <w:tcPr>
            <w:tcW w:w="23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(1)</w:t>
            </w:r>
          </w:p>
        </w:tc>
        <w:tc>
          <w:tcPr>
            <w:tcW w:w="997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997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4771" w:type="dxa"/>
        <w:jc w:val="center"/>
        <w:tblInd w:w="0" w:type="dxa"/>
        <w:tblCellMar>
          <w:top w:w="0" w:type="dxa"/>
          <w:left w:w="0" w:type="dxa"/>
          <w:bottom w:w="0" w:type="dxa"/>
          <w:right w:w="0" w:type="dxa"/>
        </w:tblCellMar>
      </w:tblPr>
      <w:tblGrid>
        <w:gridCol w:w="4291"/>
        <w:gridCol w:w="326"/>
        <w:gridCol w:w="154"/>
      </w:tblGrid>
      <w:tr>
        <w:trPr/>
        <w:tc>
          <w:tcPr>
            <w:tcW w:w="42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2, 2023</w:t>
            </w:r>
          </w:p>
        </w:tc>
        <w:tc>
          <w:tcPr>
            <w:tcW w:w="326"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42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2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Daniel E. Bachus</w:t>
            </w:r>
          </w:p>
        </w:tc>
        <w:tc>
          <w:tcPr>
            <w:tcW w:w="3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29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Daniel E. Bachus</w:t>
            </w:r>
          </w:p>
        </w:tc>
        <w:tc>
          <w:tcPr>
            <w:tcW w:w="3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 (Principal Financial Officer)</w:t>
            </w:r>
          </w:p>
        </w:tc>
        <w:tc>
          <w:tcPr>
            <w:tcW w:w="3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43749</Words>
  <CharactersWithSpaces>285711</CharactersWithSpaces>
  <Paragraphs>4041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