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GRAND CANYON EDUCATION INC</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8"/>
          <w:szCs w:val="18"/>
          <w:color w:val="auto"/>
        </w:rPr>
        <w:t>Cusip #38526M106</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ind w:left="1060" w:hanging="1052"/>
        <w:spacing w:after="0" w:line="238"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13d-1(c)</w:t>
      </w:r>
    </w:p>
    <w:p>
      <w:pPr>
        <w:ind w:right="7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Rule 13d-1(d) Cusip #38526M106</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1:</w:t>
      </w:r>
      <w:r>
        <w:rPr>
          <w:rFonts w:ascii="Courier New" w:cs="Courier New" w:eastAsia="Courier New" w:hAnsi="Courier New"/>
          <w:sz w:val="16"/>
          <w:szCs w:val="16"/>
          <w:color w:val="auto"/>
        </w:rPr>
        <w:t>Reporting Person - FMR LLC</w:t>
      </w:r>
    </w:p>
    <w:tbl>
      <w:tblPr>
        <w:tblLayout w:type="fixed"/>
        <w:tblInd w:w="0" w:type="dxa"/>
        <w:tblCellMar>
          <w:top w:w="0" w:type="dxa"/>
          <w:left w:w="0" w:type="dxa"/>
          <w:bottom w:w="0" w:type="dxa"/>
          <w:right w:w="0" w:type="dxa"/>
        </w:tblCellMar>
      </w:tblPr>
      <w:tr>
        <w:trPr>
          <w:trHeight w:val="171"/>
        </w:trPr>
        <w:tc>
          <w:tcPr>
            <w:tcW w:w="2480" w:type="dxa"/>
            <w:vAlign w:val="bottom"/>
          </w:tcPr>
          <w:p>
            <w:pPr>
              <w:spacing w:after="0" w:line="171" w:lineRule="exact"/>
              <w:rPr>
                <w:sz w:val="20"/>
                <w:szCs w:val="20"/>
                <w:color w:val="auto"/>
              </w:rPr>
            </w:pPr>
            <w:r>
              <w:rPr>
                <w:rFonts w:ascii="Courier New" w:cs="Courier New" w:eastAsia="Courier New" w:hAnsi="Courier New"/>
                <w:sz w:val="18"/>
                <w:szCs w:val="18"/>
                <w:color w:val="auto"/>
              </w:rPr>
              <w:t>Item 2:</w:t>
            </w:r>
          </w:p>
        </w:tc>
        <w:tc>
          <w:tcPr>
            <w:tcW w:w="740" w:type="dxa"/>
            <w:vAlign w:val="bottom"/>
          </w:tcPr>
          <w:p>
            <w:pPr>
              <w:ind w:left="60"/>
              <w:spacing w:after="0" w:line="171" w:lineRule="exact"/>
              <w:rPr>
                <w:sz w:val="20"/>
                <w:szCs w:val="20"/>
                <w:color w:val="auto"/>
              </w:rPr>
            </w:pPr>
            <w:r>
              <w:rPr>
                <w:rFonts w:ascii="Courier New" w:cs="Courier New" w:eastAsia="Courier New" w:hAnsi="Courier New"/>
                <w:sz w:val="18"/>
                <w:szCs w:val="18"/>
                <w:color w:val="auto"/>
              </w:rPr>
              <w:t>(a)</w:t>
            </w:r>
          </w:p>
        </w:tc>
        <w:tc>
          <w:tcPr>
            <w:tcW w:w="2580" w:type="dxa"/>
            <w:vAlign w:val="bottom"/>
          </w:tcPr>
          <w:p>
            <w:pPr>
              <w:ind w:left="160"/>
              <w:spacing w:after="0" w:line="171" w:lineRule="exact"/>
              <w:rPr>
                <w:sz w:val="20"/>
                <w:szCs w:val="20"/>
                <w:color w:val="auto"/>
              </w:rPr>
            </w:pPr>
            <w:r>
              <w:rPr>
                <w:rFonts w:ascii="Courier New" w:cs="Courier New" w:eastAsia="Courier New" w:hAnsi="Courier New"/>
                <w:sz w:val="18"/>
                <w:szCs w:val="18"/>
                <w:color w:val="auto"/>
              </w:rPr>
              <w:t>[ ]</w:t>
            </w:r>
          </w:p>
        </w:tc>
        <w:tc>
          <w:tcPr>
            <w:tcW w:w="8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4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Delaware</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2,037,295</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3,236,770</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3,236,770</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6.838%</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HC</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#38526M106</w:t>
            </w:r>
          </w:p>
        </w:tc>
        <w:tc>
          <w:tcPr>
            <w:tcW w:w="4160" w:type="dxa"/>
            <w:vAlign w:val="bottom"/>
            <w:gridSpan w:val="3"/>
            <w:vMerge w:val="restart"/>
          </w:tcPr>
          <w:p>
            <w:pPr>
              <w:ind w:left="60"/>
              <w:spacing w:after="0"/>
              <w:rPr>
                <w:sz w:val="20"/>
                <w:szCs w:val="20"/>
                <w:color w:val="auto"/>
              </w:rPr>
            </w:pPr>
            <w:r>
              <w:rPr>
                <w:rFonts w:ascii="Courier New" w:cs="Courier New" w:eastAsia="Courier New" w:hAnsi="Courier New"/>
                <w:sz w:val="18"/>
                <w:szCs w:val="18"/>
                <w:color w:val="auto"/>
              </w:rPr>
              <w:t>Reporting Person - Abigail P. Johnson</w:t>
            </w: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160" w:type="dxa"/>
            <w:vAlign w:val="bottom"/>
            <w:gridSpan w:val="3"/>
            <w:vMerge w:val="continue"/>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w:t>
            </w:r>
          </w:p>
        </w:tc>
        <w:tc>
          <w:tcPr>
            <w:tcW w:w="2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 ]</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United States of America</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3,236,770</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3,236,770</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6.838%</w:t>
            </w: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12:</w:t>
            </w: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IN</w:t>
            </w:r>
          </w:p>
        </w:tc>
        <w:tc>
          <w:tcPr>
            <w:tcW w:w="2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3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Name of Issuer:</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GRAND CANYON EDUCATION INC</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648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Address of Issuer's Principal Executive Offices:</w:t>
            </w:r>
          </w:p>
        </w:tc>
        <w:tc>
          <w:tcPr>
            <w:tcW w:w="0" w:type="dxa"/>
            <w:vAlign w:val="bottom"/>
          </w:tcPr>
          <w:p>
            <w:pPr>
              <w:spacing w:after="0"/>
              <w:rPr>
                <w:sz w:val="1"/>
                <w:szCs w:val="1"/>
                <w:color w:val="auto"/>
              </w:rPr>
            </w:pPr>
          </w:p>
        </w:tc>
      </w:tr>
      <w:tr>
        <w:trPr>
          <w:trHeight w:val="311"/>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80" w:type="dxa"/>
            <w:vAlign w:val="bottom"/>
          </w:tcPr>
          <w:p>
            <w:pPr>
              <w:ind w:left="160"/>
              <w:spacing w:after="0"/>
              <w:rPr>
                <w:sz w:val="20"/>
                <w:szCs w:val="20"/>
                <w:color w:val="auto"/>
              </w:rPr>
            </w:pPr>
            <w:r>
              <w:rPr>
                <w:rFonts w:ascii="Courier New" w:cs="Courier New" w:eastAsia="Courier New" w:hAnsi="Courier New"/>
                <w:sz w:val="18"/>
                <w:szCs w:val="18"/>
                <w:color w:val="auto"/>
              </w:rPr>
              <w:t>330 W Camelback Rd</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Phoenix, AZ 85017</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80" w:type="dxa"/>
            <w:vAlign w:val="bottom"/>
          </w:tcPr>
          <w:p>
            <w:pPr>
              <w:ind w:left="160"/>
              <w:spacing w:after="0"/>
              <w:rPr>
                <w:sz w:val="20"/>
                <w:szCs w:val="20"/>
                <w:color w:val="auto"/>
              </w:rPr>
            </w:pPr>
            <w:r>
              <w:rPr>
                <w:rFonts w:ascii="Courier New" w:cs="Courier New" w:eastAsia="Courier New" w:hAnsi="Courier New"/>
                <w:sz w:val="18"/>
                <w:szCs w:val="18"/>
                <w:color w:val="auto"/>
              </w:rPr>
              <w:t>USA</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Name of Person Filing:</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80" w:type="dxa"/>
            <w:vAlign w:val="bottom"/>
          </w:tcPr>
          <w:p>
            <w:pPr>
              <w:ind w:left="260"/>
              <w:spacing w:after="0"/>
              <w:rPr>
                <w:sz w:val="20"/>
                <w:szCs w:val="20"/>
                <w:color w:val="auto"/>
              </w:rPr>
            </w:pPr>
            <w:r>
              <w:rPr>
                <w:rFonts w:ascii="Courier New" w:cs="Courier New" w:eastAsia="Courier New" w:hAnsi="Courier New"/>
                <w:sz w:val="18"/>
                <w:szCs w:val="18"/>
                <w:color w:val="auto"/>
              </w:rPr>
              <w:t>FMR LLC</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6480" w:type="dxa"/>
            <w:vAlign w:val="bottom"/>
            <w:gridSpan w:val="4"/>
          </w:tcPr>
          <w:p>
            <w:pPr>
              <w:ind w:left="160"/>
              <w:spacing w:after="0"/>
              <w:rPr>
                <w:sz w:val="20"/>
                <w:szCs w:val="20"/>
                <w:color w:val="auto"/>
              </w:rPr>
            </w:pPr>
            <w:r>
              <w:rPr>
                <w:rFonts w:ascii="Courier New" w:cs="Courier New" w:eastAsia="Courier New" w:hAnsi="Courier New"/>
                <w:sz w:val="18"/>
                <w:szCs w:val="18"/>
                <w:color w:val="auto"/>
              </w:rPr>
              <w:t>Address or Principal Business Office or, if None,</w:t>
            </w:r>
          </w:p>
        </w:tc>
        <w:tc>
          <w:tcPr>
            <w:tcW w:w="0" w:type="dxa"/>
            <w:vAlign w:val="bottom"/>
          </w:tcPr>
          <w:p>
            <w:pPr>
              <w:spacing w:after="0"/>
              <w:rPr>
                <w:sz w:val="1"/>
                <w:szCs w:val="1"/>
                <w:color w:val="auto"/>
              </w:rPr>
            </w:pPr>
          </w:p>
        </w:tc>
      </w:tr>
      <w:tr>
        <w:trPr>
          <w:trHeight w:val="296"/>
        </w:trPr>
        <w:tc>
          <w:tcPr>
            <w:tcW w:w="2480" w:type="dxa"/>
            <w:vAlign w:val="bottom"/>
          </w:tcPr>
          <w:p>
            <w:pPr>
              <w:spacing w:after="0"/>
              <w:rPr>
                <w:sz w:val="20"/>
                <w:szCs w:val="20"/>
                <w:color w:val="auto"/>
              </w:rPr>
            </w:pPr>
            <w:r>
              <w:rPr>
                <w:rFonts w:ascii="Courier New" w:cs="Courier New" w:eastAsia="Courier New" w:hAnsi="Courier New"/>
                <w:sz w:val="18"/>
                <w:szCs w:val="18"/>
                <w:color w:val="auto"/>
              </w:rPr>
              <w:t>Residence:</w:t>
            </w:r>
          </w:p>
        </w:tc>
        <w:tc>
          <w:tcPr>
            <w:tcW w:w="7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74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245 Summer Street, Boston, Massachusetts 02210</w:t>
            </w:r>
          </w:p>
        </w:tc>
        <w:tc>
          <w:tcPr>
            <w:tcW w:w="0" w:type="dxa"/>
            <w:vAlign w:val="bottom"/>
          </w:tcPr>
          <w:p>
            <w:pPr>
              <w:spacing w:after="0"/>
              <w:rPr>
                <w:sz w:val="1"/>
                <w:szCs w:val="1"/>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Citizenship:</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80" w:type="dxa"/>
            <w:vAlign w:val="bottom"/>
          </w:tcPr>
          <w:p>
            <w:pPr>
              <w:ind w:left="260"/>
              <w:spacing w:after="0"/>
              <w:rPr>
                <w:sz w:val="20"/>
                <w:szCs w:val="20"/>
                <w:color w:val="auto"/>
              </w:rPr>
            </w:pPr>
            <w:r>
              <w:rPr>
                <w:rFonts w:ascii="Courier New" w:cs="Courier New" w:eastAsia="Courier New" w:hAnsi="Courier New"/>
                <w:sz w:val="18"/>
                <w:szCs w:val="18"/>
                <w:color w:val="auto"/>
              </w:rPr>
              <w:t>Not applicable</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Title of Class of Securities:</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80" w:type="dxa"/>
            <w:vAlign w:val="bottom"/>
          </w:tcPr>
          <w:p>
            <w:pPr>
              <w:ind w:left="260"/>
              <w:spacing w:after="0"/>
              <w:rPr>
                <w:sz w:val="20"/>
                <w:szCs w:val="20"/>
                <w:color w:val="auto"/>
              </w:rPr>
            </w:pPr>
            <w:r>
              <w:rPr>
                <w:rFonts w:ascii="Courier New" w:cs="Courier New" w:eastAsia="Courier New" w:hAnsi="Courier New"/>
                <w:sz w:val="18"/>
                <w:szCs w:val="18"/>
                <w:color w:val="auto"/>
              </w:rPr>
              <w:t>COMMON STOCK</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CUSIP Number:</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80" w:type="dxa"/>
            <w:vAlign w:val="bottom"/>
          </w:tcPr>
          <w:p>
            <w:pPr>
              <w:ind w:left="260"/>
              <w:spacing w:after="0"/>
              <w:rPr>
                <w:sz w:val="20"/>
                <w:szCs w:val="20"/>
                <w:color w:val="auto"/>
              </w:rPr>
            </w:pPr>
            <w:r>
              <w:rPr>
                <w:rFonts w:ascii="Courier New" w:cs="Courier New" w:eastAsia="Courier New" w:hAnsi="Courier New"/>
                <w:sz w:val="18"/>
                <w:szCs w:val="18"/>
                <w:color w:val="auto"/>
              </w:rPr>
              <w:t>38526M106</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6480" w:type="dxa"/>
            <w:vAlign w:val="bottom"/>
            <w:gridSpan w:val="4"/>
          </w:tcPr>
          <w:p>
            <w:pPr>
              <w:ind w:left="60"/>
              <w:spacing w:after="0"/>
              <w:rPr>
                <w:sz w:val="20"/>
                <w:szCs w:val="20"/>
                <w:color w:val="auto"/>
              </w:rPr>
            </w:pPr>
            <w:r>
              <w:rPr>
                <w:rFonts w:ascii="Courier New" w:cs="Courier New" w:eastAsia="Courier New" w:hAnsi="Courier New"/>
                <w:sz w:val="18"/>
                <w:szCs w:val="18"/>
                <w:color w:val="auto"/>
                <w:w w:val="97"/>
              </w:rPr>
              <w:t>This statement is filed pursuant to Rule 13d-1(b) or 13d-2(b)</w:t>
            </w: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or (c) and the</w:t>
            </w:r>
          </w:p>
        </w:tc>
        <w:tc>
          <w:tcPr>
            <w:tcW w:w="6480" w:type="dxa"/>
            <w:vAlign w:val="bottom"/>
            <w:gridSpan w:val="4"/>
            <w:vMerge w:val="restart"/>
          </w:tcPr>
          <w:p>
            <w:pPr>
              <w:ind w:left="60"/>
              <w:spacing w:after="0"/>
              <w:rPr>
                <w:sz w:val="20"/>
                <w:szCs w:val="20"/>
                <w:color w:val="auto"/>
              </w:rPr>
            </w:pPr>
            <w:r>
              <w:rPr>
                <w:rFonts w:ascii="Courier New" w:cs="Courier New" w:eastAsia="Courier New" w:hAnsi="Courier New"/>
                <w:sz w:val="18"/>
                <w:szCs w:val="18"/>
                <w:color w:val="auto"/>
              </w:rPr>
              <w:t>is a parent holding company in accordance with</w:t>
            </w: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person filing, FMR LLC,</w:t>
            </w:r>
          </w:p>
        </w:tc>
        <w:tc>
          <w:tcPr>
            <w:tcW w:w="648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6640" w:type="dxa"/>
            <w:vAlign w:val="bottom"/>
            <w:gridSpan w:val="4"/>
          </w:tcPr>
          <w:p>
            <w:pPr>
              <w:spacing w:after="0"/>
              <w:rPr>
                <w:sz w:val="20"/>
                <w:szCs w:val="20"/>
                <w:color w:val="auto"/>
              </w:rPr>
            </w:pPr>
            <w:r>
              <w:rPr>
                <w:rFonts w:ascii="Courier New" w:cs="Courier New" w:eastAsia="Courier New" w:hAnsi="Courier New"/>
                <w:sz w:val="18"/>
                <w:szCs w:val="18"/>
                <w:color w:val="auto"/>
              </w:rPr>
              <w:t>Section 240.13d-1(b)(1)(ii)(G).   (Note:  See Exhibit A).</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3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Ownership</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480" w:type="dxa"/>
            <w:vAlign w:val="bottom"/>
          </w:tcPr>
          <w:p>
            <w:pPr>
              <w:spacing w:after="0"/>
              <w:rPr>
                <w:sz w:val="24"/>
                <w:szCs w:val="24"/>
                <w:color w:val="auto"/>
              </w:rPr>
            </w:pP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34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Amount Beneficially Owned:</w:t>
            </w:r>
          </w:p>
        </w:tc>
        <w:tc>
          <w:tcPr>
            <w:tcW w:w="232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3,236,770</w:t>
            </w:r>
          </w:p>
        </w:tc>
        <w:tc>
          <w:tcPr>
            <w:tcW w:w="0" w:type="dxa"/>
            <w:vAlign w:val="bottom"/>
          </w:tcPr>
          <w:p>
            <w:pPr>
              <w:spacing w:after="0"/>
              <w:rPr>
                <w:sz w:val="1"/>
                <w:szCs w:val="1"/>
                <w:color w:val="auto"/>
              </w:rPr>
            </w:pPr>
          </w:p>
        </w:tc>
      </w:tr>
      <w:tr>
        <w:trPr>
          <w:trHeight w:val="405"/>
        </w:trPr>
        <w:tc>
          <w:tcPr>
            <w:tcW w:w="2480" w:type="dxa"/>
            <w:vAlign w:val="bottom"/>
          </w:tcPr>
          <w:p>
            <w:pPr>
              <w:spacing w:after="0"/>
              <w:rPr>
                <w:sz w:val="24"/>
                <w:szCs w:val="24"/>
                <w:color w:val="auto"/>
              </w:rPr>
            </w:pP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(b)</w:t>
            </w:r>
          </w:p>
        </w:tc>
        <w:tc>
          <w:tcPr>
            <w:tcW w:w="2580" w:type="dxa"/>
            <w:vAlign w:val="bottom"/>
          </w:tcPr>
          <w:p>
            <w:pPr>
              <w:ind w:left="60"/>
              <w:spacing w:after="0"/>
              <w:rPr>
                <w:sz w:val="20"/>
                <w:szCs w:val="20"/>
                <w:color w:val="auto"/>
              </w:rPr>
            </w:pPr>
            <w:r>
              <w:rPr>
                <w:rFonts w:ascii="Courier New" w:cs="Courier New" w:eastAsia="Courier New" w:hAnsi="Courier New"/>
                <w:sz w:val="18"/>
                <w:szCs w:val="18"/>
                <w:color w:val="auto"/>
              </w:rPr>
              <w:t>Percent of Class:</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6.838%</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4"/>
          <w:szCs w:val="24"/>
          <w:color w:val="auto"/>
        </w:rPr>
      </w:pPr>
    </w:p>
    <w:p>
      <w:pPr>
        <w:ind w:left="3280" w:hanging="743"/>
        <w:spacing w:after="0"/>
        <w:tabs>
          <w:tab w:leader="none" w:pos="3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4020" w:hanging="746"/>
        <w:spacing w:after="0"/>
        <w:tabs>
          <w:tab w:leader="none" w:pos="40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ectPr>
          <w:pgSz w:w="11900" w:h="16838" w:orient="portrait"/>
          <w:cols w:equalWidth="0" w:num="1">
            <w:col w:w="10219"/>
          </w:cols>
          <w:pgMar w:left="240" w:top="218"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96"/>
        </w:trPr>
        <w:tc>
          <w:tcPr>
            <w:tcW w:w="2060" w:type="dxa"/>
            <w:vAlign w:val="bottom"/>
          </w:tcPr>
          <w:p>
            <w:pPr>
              <w:spacing w:after="0"/>
              <w:rPr>
                <w:sz w:val="20"/>
                <w:szCs w:val="20"/>
                <w:color w:val="auto"/>
              </w:rPr>
            </w:pPr>
            <w:r>
              <w:rPr>
                <w:rFonts w:ascii="Courier New" w:cs="Courier New" w:eastAsia="Courier New" w:hAnsi="Courier New"/>
                <w:sz w:val="18"/>
                <w:szCs w:val="18"/>
                <w:color w:val="auto"/>
              </w:rPr>
              <w:t>2,037,295</w:t>
            </w:r>
          </w:p>
        </w:tc>
        <w:tc>
          <w:tcPr>
            <w:tcW w:w="20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60" w:type="dxa"/>
            <w:vAlign w:val="bottom"/>
          </w:tcPr>
          <w:p>
            <w:pPr>
              <w:spacing w:after="0"/>
              <w:rPr>
                <w:sz w:val="24"/>
                <w:szCs w:val="24"/>
                <w:color w:val="auto"/>
              </w:rPr>
            </w:pP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(ii)</w:t>
            </w: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w w:val="96"/>
              </w:rPr>
              <w:t>shared power to vote or</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to direct the vote: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311"/>
        </w:trPr>
        <w:tc>
          <w:tcPr>
            <w:tcW w:w="2060" w:type="dxa"/>
            <w:vAlign w:val="bottom"/>
            <w:vMerge w:val="restart"/>
          </w:tcPr>
          <w:p>
            <w:pPr>
              <w:spacing w:after="0"/>
              <w:rPr>
                <w:sz w:val="20"/>
                <w:szCs w:val="20"/>
                <w:color w:val="auto"/>
              </w:rPr>
            </w:pPr>
            <w:r>
              <w:rPr>
                <w:rFonts w:ascii="Courier New" w:cs="Courier New" w:eastAsia="Courier New" w:hAnsi="Courier New"/>
                <w:sz w:val="18"/>
                <w:szCs w:val="18"/>
                <w:color w:val="auto"/>
              </w:rPr>
              <w:t>disposition of:</w:t>
            </w: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(iii)</w:t>
            </w:r>
          </w:p>
        </w:tc>
        <w:tc>
          <w:tcPr>
            <w:tcW w:w="484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sole power to dispose or to direct the</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2060" w:type="dxa"/>
            <w:vAlign w:val="bottom"/>
            <w:vMerge w:val="continue"/>
          </w:tcPr>
          <w:p>
            <w:pPr>
              <w:spacing w:after="0"/>
              <w:rPr>
                <w:sz w:val="24"/>
                <w:szCs w:val="24"/>
                <w:color w:val="auto"/>
              </w:rPr>
            </w:pPr>
          </w:p>
        </w:tc>
        <w:tc>
          <w:tcPr>
            <w:tcW w:w="2060" w:type="dxa"/>
            <w:vAlign w:val="bottom"/>
          </w:tcPr>
          <w:p>
            <w:pPr>
              <w:ind w:left="480"/>
              <w:spacing w:after="0"/>
              <w:rPr>
                <w:sz w:val="20"/>
                <w:szCs w:val="20"/>
                <w:color w:val="auto"/>
              </w:rPr>
            </w:pPr>
            <w:r>
              <w:rPr>
                <w:rFonts w:ascii="Courier New" w:cs="Courier New" w:eastAsia="Courier New" w:hAnsi="Courier New"/>
                <w:sz w:val="18"/>
                <w:szCs w:val="18"/>
                <w:color w:val="auto"/>
              </w:rPr>
              <w:t>3,236,770</w:t>
            </w:r>
          </w:p>
        </w:tc>
        <w:tc>
          <w:tcPr>
            <w:tcW w:w="24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60" w:type="dxa"/>
            <w:vAlign w:val="bottom"/>
            <w:vMerge w:val="restart"/>
          </w:tcPr>
          <w:p>
            <w:pPr>
              <w:spacing w:after="0"/>
              <w:rPr>
                <w:sz w:val="20"/>
                <w:szCs w:val="20"/>
                <w:color w:val="auto"/>
              </w:rPr>
            </w:pPr>
            <w:r>
              <w:rPr>
                <w:rFonts w:ascii="Courier New" w:cs="Courier New" w:eastAsia="Courier New" w:hAnsi="Courier New"/>
                <w:sz w:val="18"/>
                <w:szCs w:val="18"/>
                <w:color w:val="auto"/>
              </w:rPr>
              <w:t>disposition of:</w:t>
            </w: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(iv)</w:t>
            </w: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w w:val="96"/>
              </w:rPr>
              <w:t>shared power to dispose</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or to direct the</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2060" w:type="dxa"/>
            <w:vAlign w:val="bottom"/>
            <w:vMerge w:val="continue"/>
          </w:tcPr>
          <w:p>
            <w:pPr>
              <w:spacing w:after="0"/>
              <w:rPr>
                <w:sz w:val="24"/>
                <w:szCs w:val="24"/>
                <w:color w:val="auto"/>
              </w:rPr>
            </w:pPr>
          </w:p>
        </w:tc>
        <w:tc>
          <w:tcPr>
            <w:tcW w:w="2060" w:type="dxa"/>
            <w:vAlign w:val="bottom"/>
          </w:tcPr>
          <w:p>
            <w:pPr>
              <w:ind w:left="480"/>
              <w:spacing w:after="0"/>
              <w:rPr>
                <w:sz w:val="20"/>
                <w:szCs w:val="20"/>
                <w:color w:val="auto"/>
              </w:rPr>
            </w:pPr>
            <w:r>
              <w:rPr>
                <w:rFonts w:ascii="Courier New" w:cs="Courier New" w:eastAsia="Courier New" w:hAnsi="Courier New"/>
                <w:sz w:val="18"/>
                <w:szCs w:val="18"/>
                <w:color w:val="auto"/>
              </w:rPr>
              <w:t>0</w:t>
            </w:r>
          </w:p>
        </w:tc>
        <w:tc>
          <w:tcPr>
            <w:tcW w:w="24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4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 Five Percent or Less of a</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Class.</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60" w:type="dxa"/>
            <w:vAlign w:val="bottom"/>
          </w:tcPr>
          <w:p>
            <w:pPr>
              <w:spacing w:after="0"/>
              <w:rPr>
                <w:sz w:val="24"/>
                <w:szCs w:val="24"/>
                <w:color w:val="auto"/>
              </w:rPr>
            </w:pPr>
          </w:p>
        </w:tc>
        <w:tc>
          <w:tcPr>
            <w:tcW w:w="2060" w:type="dxa"/>
            <w:vAlign w:val="bottom"/>
          </w:tcPr>
          <w:p>
            <w:pPr>
              <w:ind w:left="480"/>
              <w:spacing w:after="0"/>
              <w:rPr>
                <w:sz w:val="20"/>
                <w:szCs w:val="20"/>
                <w:color w:val="auto"/>
              </w:rPr>
            </w:pPr>
            <w:r>
              <w:rPr>
                <w:rFonts w:ascii="Courier New" w:cs="Courier New" w:eastAsia="Courier New" w:hAnsi="Courier New"/>
                <w:sz w:val="18"/>
                <w:szCs w:val="18"/>
                <w:color w:val="auto"/>
                <w:w w:val="96"/>
              </w:rPr>
              <w:t>Not applicable.</w:t>
            </w:r>
          </w:p>
        </w:tc>
        <w:tc>
          <w:tcPr>
            <w:tcW w:w="24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4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 More than Five Percent on</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Behalf of Another</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2060" w:type="dxa"/>
            <w:vAlign w:val="bottom"/>
          </w:tcPr>
          <w:p>
            <w:pPr>
              <w:spacing w:after="0"/>
              <w:rPr>
                <w:sz w:val="20"/>
                <w:szCs w:val="20"/>
                <w:color w:val="auto"/>
              </w:rPr>
            </w:pPr>
            <w:r>
              <w:rPr>
                <w:rFonts w:ascii="Courier New" w:cs="Courier New" w:eastAsia="Courier New" w:hAnsi="Courier New"/>
                <w:sz w:val="18"/>
                <w:szCs w:val="18"/>
                <w:color w:val="auto"/>
              </w:rPr>
              <w:t>Person.</w:t>
            </w:r>
          </w:p>
        </w:tc>
        <w:tc>
          <w:tcPr>
            <w:tcW w:w="20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right="2099" w:firstLine="948"/>
        <w:spacing w:after="0" w:line="265"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GRAND CANYON EDUCATION INC. No one other person's interest in the COMMON STOCK of GRAND CANYON EDUCATION INC is more than five percent of the total outstanding COMMON STOCK.</w:t>
      </w:r>
    </w:p>
    <w:p>
      <w:pPr>
        <w:spacing w:after="0" w:line="90" w:lineRule="exact"/>
        <w:rPr>
          <w:sz w:val="20"/>
          <w:szCs w:val="20"/>
          <w:color w:val="auto"/>
        </w:rPr>
      </w:pPr>
    </w:p>
    <w:p>
      <w:pPr>
        <w:ind w:right="1679"/>
        <w:spacing w:after="0" w:line="347"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18"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attached Exhibit A.</w:t>
      </w:r>
    </w:p>
    <w:p>
      <w:pPr>
        <w:sectPr>
          <w:pgSz w:w="11900" w:h="16838" w:orient="portrait"/>
          <w:cols w:equalWidth="0" w:num="1">
            <w:col w:w="10219"/>
          </w:cols>
          <w:pgMar w:left="240" w:top="110" w:right="1440" w:bottom="39"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1820" w:space="720"/>
            <w:col w:w="7679"/>
          </w:cols>
          <w:pgMar w:left="240" w:top="110" w:right="1440" w:bottom="39"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10" w:right="1440" w:bottom="39"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200" w:lineRule="exact"/>
        <w:rPr>
          <w:sz w:val="20"/>
          <w:szCs w:val="20"/>
          <w:color w:val="auto"/>
        </w:rPr>
      </w:pPr>
    </w:p>
    <w:p>
      <w:pPr>
        <w:sectPr>
          <w:pgSz w:w="11900" w:h="16838" w:orient="portrait"/>
          <w:cols w:equalWidth="0" w:num="2">
            <w:col w:w="1820" w:space="720"/>
            <w:col w:w="7679"/>
          </w:cols>
          <w:pgMar w:left="240" w:top="110" w:right="1440" w:bottom="39"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10" w:right="1440" w:bottom="39"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Certifications.</w:t>
      </w:r>
    </w:p>
    <w:p>
      <w:pPr>
        <w:spacing w:after="0" w:line="200" w:lineRule="exact"/>
        <w:rPr>
          <w:sz w:val="20"/>
          <w:szCs w:val="20"/>
          <w:color w:val="auto"/>
        </w:rPr>
      </w:pPr>
    </w:p>
    <w:p>
      <w:pPr>
        <w:sectPr>
          <w:pgSz w:w="11900" w:h="16838" w:orient="portrait"/>
          <w:cols w:equalWidth="0" w:num="2">
            <w:col w:w="1820" w:space="720"/>
            <w:col w:w="7679"/>
          </w:cols>
          <w:pgMar w:left="240" w:top="110" w:right="1440" w:bottom="39"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right="2319"/>
        <w:spacing w:after="0" w:line="29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4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February 13, 2017</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Marc R. Bryant</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Marc R. Bryant</w:t>
      </w:r>
    </w:p>
    <w:p>
      <w:pPr>
        <w:spacing w:after="0" w:line="31" w:lineRule="exact"/>
        <w:rPr>
          <w:sz w:val="20"/>
          <w:szCs w:val="20"/>
          <w:color w:val="auto"/>
        </w:rPr>
      </w:pPr>
    </w:p>
    <w:p>
      <w:pPr>
        <w:ind w:right="1999" w:firstLine="948"/>
        <w:spacing w:after="0" w:line="378"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207" w:lineRule="exact"/>
        <w:rPr>
          <w:sz w:val="20"/>
          <w:szCs w:val="20"/>
          <w:color w:val="auto"/>
        </w:rPr>
      </w:pPr>
    </w:p>
    <w:p>
      <w:pPr>
        <w:ind w:right="2419" w:firstLine="8"/>
        <w:spacing w:after="0" w:line="292"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June 10, 2016, accession number: 0000315066-16-005935</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619" w:firstLine="1791"/>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219"/>
          </w:cols>
          <w:pgMar w:left="240" w:top="110" w:right="1440" w:bottom="39"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860" w:type="dxa"/>
            <w:vAlign w:val="bottom"/>
          </w:tcPr>
          <w:p>
            <w:pPr>
              <w:spacing w:after="0"/>
              <w:rPr>
                <w:sz w:val="20"/>
                <w:szCs w:val="20"/>
                <w:color w:val="auto"/>
              </w:rPr>
            </w:pPr>
            <w:r>
              <w:rPr>
                <w:rFonts w:ascii="Courier New" w:cs="Courier New" w:eastAsia="Courier New" w:hAnsi="Courier New"/>
                <w:sz w:val="18"/>
                <w:szCs w:val="18"/>
                <w:color w:val="auto"/>
              </w:rPr>
              <w:t>Entity</w:t>
            </w:r>
          </w:p>
        </w:tc>
        <w:tc>
          <w:tcPr>
            <w:tcW w:w="2360" w:type="dxa"/>
            <w:vAlign w:val="bottom"/>
            <w:gridSpan w:val="2"/>
          </w:tcPr>
          <w:p>
            <w:pPr>
              <w:spacing w:after="0"/>
              <w:rPr>
                <w:sz w:val="20"/>
                <w:szCs w:val="20"/>
                <w:color w:val="auto"/>
              </w:rPr>
            </w:pPr>
            <w:r>
              <w:rPr>
                <w:rFonts w:ascii="Courier New" w:cs="Courier New" w:eastAsia="Courier New" w:hAnsi="Courier New"/>
                <w:sz w:val="18"/>
                <w:szCs w:val="18"/>
                <w:color w:val="auto"/>
              </w:rPr>
              <w:t>ITEM 3 Classification</w:t>
            </w:r>
          </w:p>
        </w:tc>
        <w:tc>
          <w:tcPr>
            <w:tcW w:w="2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FIAM LLC</w:t>
            </w:r>
          </w:p>
        </w:tc>
        <w:tc>
          <w:tcPr>
            <w:tcW w:w="620" w:type="dxa"/>
            <w:vAlign w:val="bottom"/>
          </w:tcPr>
          <w:p>
            <w:pPr>
              <w:spacing w:after="0"/>
              <w:rPr>
                <w:sz w:val="17"/>
                <w:szCs w:val="17"/>
                <w:color w:val="auto"/>
              </w:rPr>
            </w:pPr>
          </w:p>
        </w:tc>
        <w:tc>
          <w:tcPr>
            <w:tcW w:w="1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IA</w:t>
            </w:r>
          </w:p>
        </w:tc>
        <w:tc>
          <w:tcPr>
            <w:tcW w:w="2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Fidelity</w:t>
            </w:r>
          </w:p>
        </w:tc>
        <w:tc>
          <w:tcPr>
            <w:tcW w:w="48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(Canada) Asset Management ULC  FI</w:t>
            </w:r>
          </w:p>
        </w:tc>
        <w:tc>
          <w:tcPr>
            <w:tcW w:w="380" w:type="dxa"/>
            <w:vAlign w:val="bottom"/>
            <w:vMerge w:val="restart"/>
          </w:tcPr>
          <w:p>
            <w:pPr>
              <w:ind w:left="160"/>
              <w:spacing w:after="0"/>
              <w:rPr>
                <w:sz w:val="20"/>
                <w:szCs w:val="20"/>
                <w:color w:val="auto"/>
              </w:rPr>
            </w:pPr>
            <w:r>
              <w:rPr>
                <w:rFonts w:ascii="Courier New" w:cs="Courier New" w:eastAsia="Courier New" w:hAnsi="Courier New"/>
                <w:sz w:val="18"/>
                <w:szCs w:val="18"/>
                <w:color w:val="auto"/>
                <w:w w:val="92"/>
              </w:rPr>
              <w:t>BK</w:t>
            </w:r>
          </w:p>
        </w:tc>
        <w:tc>
          <w:tcPr>
            <w:tcW w:w="0" w:type="dxa"/>
            <w:vAlign w:val="bottom"/>
          </w:tcPr>
          <w:p>
            <w:pPr>
              <w:spacing w:after="0"/>
              <w:rPr>
                <w:sz w:val="1"/>
                <w:szCs w:val="1"/>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Fidelity</w:t>
            </w:r>
          </w:p>
        </w:tc>
        <w:tc>
          <w:tcPr>
            <w:tcW w:w="48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Institutional Asset Management Trust Company</w:t>
            </w:r>
          </w:p>
        </w:tc>
        <w:tc>
          <w:tcPr>
            <w:tcW w:w="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FMR CO.,</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w:t>
            </w:r>
          </w:p>
        </w:tc>
        <w:tc>
          <w:tcPr>
            <w:tcW w:w="1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IA</w:t>
            </w:r>
          </w:p>
        </w:tc>
        <w:tc>
          <w:tcPr>
            <w:tcW w:w="252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IA</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220" w:type="dxa"/>
            <w:vAlign w:val="bottom"/>
            <w:gridSpan w:val="3"/>
          </w:tcPr>
          <w:p>
            <w:pPr>
              <w:spacing w:after="0"/>
              <w:rPr>
                <w:sz w:val="20"/>
                <w:szCs w:val="20"/>
                <w:color w:val="auto"/>
              </w:rPr>
            </w:pPr>
            <w:r>
              <w:rPr>
                <w:rFonts w:ascii="Courier New" w:cs="Courier New" w:eastAsia="Courier New" w:hAnsi="Courier New"/>
                <w:sz w:val="18"/>
                <w:szCs w:val="18"/>
                <w:color w:val="auto"/>
              </w:rPr>
              <w:t>STRATEGIC ADVISERS, INC.</w:t>
            </w:r>
          </w:p>
        </w:tc>
        <w:tc>
          <w:tcPr>
            <w:tcW w:w="25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2839" w:firstLine="1685"/>
        <w:spacing w:after="0" w:line="347"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0" w:lineRule="exact"/>
        <w:rPr>
          <w:sz w:val="20"/>
          <w:szCs w:val="20"/>
          <w:color w:val="auto"/>
        </w:rPr>
      </w:pPr>
    </w:p>
    <w:p>
      <w:pPr>
        <w:spacing w:after="0" w:line="223" w:lineRule="exact"/>
        <w:rPr>
          <w:sz w:val="20"/>
          <w:szCs w:val="20"/>
          <w:color w:val="auto"/>
        </w:rPr>
      </w:pPr>
    </w:p>
    <w:p>
      <w:pPr>
        <w:ind w:right="2319" w:firstLine="1685"/>
        <w:spacing w:after="0" w:line="276" w:lineRule="auto"/>
        <w:rPr>
          <w:sz w:val="20"/>
          <w:szCs w:val="20"/>
          <w:color w:val="auto"/>
        </w:rPr>
      </w:pPr>
      <w:r>
        <w:rPr>
          <w:rFonts w:ascii="Courier New" w:cs="Courier New" w:eastAsia="Courier New" w:hAnsi="Courier New"/>
          <w:sz w:val="16"/>
          <w:szCs w:val="16"/>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0" w:lineRule="exact"/>
        <w:rPr>
          <w:sz w:val="20"/>
          <w:szCs w:val="20"/>
          <w:color w:val="auto"/>
        </w:rPr>
      </w:pPr>
    </w:p>
    <w:p>
      <w:pPr>
        <w:spacing w:after="0" w:line="374" w:lineRule="exact"/>
        <w:rPr>
          <w:sz w:val="20"/>
          <w:szCs w:val="20"/>
          <w:color w:val="auto"/>
        </w:rPr>
      </w:pPr>
    </w:p>
    <w:p>
      <w:pPr>
        <w:ind w:right="2319" w:firstLine="1685"/>
        <w:spacing w:after="0" w:line="253"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w:t>
      </w:r>
    </w:p>
    <w:p>
      <w:pPr>
        <w:spacing w:after="0" w:line="200" w:lineRule="exact"/>
        <w:rPr>
          <w:sz w:val="20"/>
          <w:szCs w:val="20"/>
          <w:color w:val="auto"/>
        </w:rPr>
      </w:pPr>
    </w:p>
    <w:p>
      <w:pPr>
        <w:spacing w:after="0" w:line="309" w:lineRule="exact"/>
        <w:rPr>
          <w:sz w:val="20"/>
          <w:szCs w:val="20"/>
          <w:color w:val="auto"/>
        </w:rPr>
      </w:pPr>
    </w:p>
    <w:p>
      <w:pPr>
        <w:ind w:right="2319" w:firstLine="1685"/>
        <w:spacing w:after="0" w:line="293" w:lineRule="auto"/>
        <w:rPr>
          <w:sz w:val="20"/>
          <w:szCs w:val="20"/>
          <w:color w:val="auto"/>
        </w:rPr>
      </w:pPr>
      <w:r>
        <w:rPr>
          <w:rFonts w:ascii="Courier New" w:cs="Courier New" w:eastAsia="Courier New" w:hAnsi="Courier New"/>
          <w:sz w:val="16"/>
          <w:szCs w:val="16"/>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0" w:lineRule="exact"/>
        <w:rPr>
          <w:sz w:val="20"/>
          <w:szCs w:val="20"/>
          <w:color w:val="auto"/>
        </w:rPr>
      </w:pPr>
    </w:p>
    <w:p>
      <w:pPr>
        <w:spacing w:after="0" w:line="204" w:lineRule="exact"/>
        <w:rPr>
          <w:sz w:val="20"/>
          <w:szCs w:val="20"/>
          <w:color w:val="auto"/>
        </w:rPr>
      </w:pPr>
    </w:p>
    <w:p>
      <w:pPr>
        <w:ind w:right="2619" w:firstLine="1685"/>
        <w:spacing w:after="0" w:line="274" w:lineRule="auto"/>
        <w:rPr>
          <w:sz w:val="20"/>
          <w:szCs w:val="20"/>
          <w:color w:val="auto"/>
        </w:rPr>
      </w:pPr>
      <w:r>
        <w:rPr>
          <w:rFonts w:ascii="Courier New" w:cs="Courier New" w:eastAsia="Courier New" w:hAnsi="Courier New"/>
          <w:sz w:val="18"/>
          <w:szCs w:val="18"/>
          <w:color w:val="auto"/>
        </w:rPr>
        <w:t>The undersigned persons, on February 13, 2017, agree and consent to the joint filing on their behalf of this Schedule 13G in connection with their beneficial ownership of the COMMON STOCK of GRAND CANYON EDUCATION INC at December 30, 2016.</w:t>
      </w:r>
    </w:p>
    <w:p>
      <w:pPr>
        <w:spacing w:after="0" w:line="28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Marc R. Bryant</w:t>
      </w:r>
    </w:p>
    <w:p>
      <w:pPr>
        <w:ind w:right="2099" w:firstLine="843"/>
        <w:spacing w:after="0" w:line="378"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Marc R. Bryant</w:t>
      </w:r>
    </w:p>
    <w:p>
      <w:pPr>
        <w:ind w:right="2199" w:firstLine="843"/>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December 16, 2015, by and on behalf of Abigail P. Johnson*</w:t>
      </w:r>
    </w:p>
    <w:p>
      <w:pPr>
        <w:spacing w:after="0" w:line="253" w:lineRule="exact"/>
        <w:rPr>
          <w:sz w:val="20"/>
          <w:szCs w:val="20"/>
          <w:color w:val="auto"/>
        </w:rPr>
      </w:pPr>
    </w:p>
    <w:p>
      <w:pPr>
        <w:ind w:right="2419" w:firstLine="8"/>
        <w:spacing w:after="0" w:line="292"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June 10, 2016, accession number: 0000315066-16-005935</w:t>
      </w:r>
    </w:p>
    <w:p>
      <w:pPr>
        <w:sectPr>
          <w:pgSz w:w="11900" w:h="16838" w:orient="portrait"/>
          <w:cols w:equalWidth="0" w:num="1">
            <w:col w:w="10219"/>
          </w:cols>
          <w:pgMar w:left="240" w:top="108" w:right="1440" w:bottom="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Roman"/>
      <w:start w:val="10"/>
    </w:lvl>
  </w:abstractNum>
  <w:abstractNum w:abstractNumId="1">
    <w:nsid w:val="19495CFF"/>
    <w:multiLevelType w:val="hybridMultilevel"/>
    <w:lvl w:ilvl="0">
      <w:lvlJc w:val="left"/>
      <w:lvlText w:val="(%1)"/>
      <w:numFmt w:val="lowerLetter"/>
      <w:start w:val="3"/>
    </w:lvl>
    <w:lvl w:ilvl="1">
      <w:lvlJc w:val="left"/>
      <w:lvlText w:val="(%2)"/>
      <w:numFmt w:val="lowerLetter"/>
      <w:start w:val="9"/>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2019-12-07T08:52:18Z</dcterms:created>
  <dcterms:modified xsi:type="dcterms:W3CDTF">2019-12-07T08:52:18Z</dcterms:modified>
</cp:coreProperties>
</file>